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5F3CC" w14:textId="77777777" w:rsidR="00A55020" w:rsidRPr="0037712E" w:rsidRDefault="00A55020" w:rsidP="0037712E">
      <w:pPr>
        <w:pStyle w:val="PAOLogo"/>
      </w:pPr>
    </w:p>
    <w:p w14:paraId="1254972D" w14:textId="77777777" w:rsidR="00A55020" w:rsidRPr="0037712E" w:rsidRDefault="00A55020" w:rsidP="0037712E">
      <w:pPr>
        <w:pStyle w:val="PAOLogo"/>
      </w:pPr>
    </w:p>
    <w:p w14:paraId="7428464A" w14:textId="77777777" w:rsidR="00952C61" w:rsidRPr="0037712E" w:rsidRDefault="00952C61" w:rsidP="0037712E">
      <w:pPr>
        <w:pStyle w:val="PAOLogo"/>
      </w:pPr>
    </w:p>
    <w:p w14:paraId="3F706EE3" w14:textId="77777777" w:rsidR="00404779" w:rsidRDefault="00404779" w:rsidP="00B32BEB"/>
    <w:p w14:paraId="0D91391E" w14:textId="7ECF37C3" w:rsidR="0087017C" w:rsidRDefault="00A17E3E" w:rsidP="00C0067A">
      <w:pPr>
        <w:pStyle w:val="Coverpagedate"/>
        <w:spacing w:after="0"/>
        <w:rPr>
          <w:rStyle w:val="ViaElectronicFiling"/>
          <w:szCs w:val="20"/>
        </w:rPr>
      </w:pPr>
      <w:r w:rsidRPr="001A7A53">
        <w:t>December 6, 202</w:t>
      </w:r>
      <w:r w:rsidR="000B798D" w:rsidRPr="001A7A53">
        <w:t>4</w:t>
      </w:r>
      <w:r w:rsidR="0087017C" w:rsidRPr="001A7A53">
        <w:tab/>
      </w:r>
      <w:r w:rsidR="0087017C" w:rsidRPr="00C0067A">
        <w:rPr>
          <w:rStyle w:val="ViaElectronicFiling"/>
          <w:szCs w:val="20"/>
        </w:rPr>
        <w:t xml:space="preserve">Via Electronic </w:t>
      </w:r>
      <w:r w:rsidR="00621C89" w:rsidRPr="00C0067A">
        <w:rPr>
          <w:rStyle w:val="ViaElectronicFiling"/>
          <w:szCs w:val="20"/>
        </w:rPr>
        <w:t>Filing</w:t>
      </w:r>
    </w:p>
    <w:p w14:paraId="6826EE3A" w14:textId="77777777" w:rsidR="00C0067A" w:rsidRPr="00C0067A" w:rsidRDefault="00C0067A" w:rsidP="00C0067A"/>
    <w:p w14:paraId="0A18E229" w14:textId="146E9FC8" w:rsidR="0087017C" w:rsidRPr="001A7A53" w:rsidRDefault="0087017C" w:rsidP="00C0067A">
      <w:pPr>
        <w:pStyle w:val="Addressee"/>
        <w:spacing w:line="240" w:lineRule="auto"/>
      </w:pPr>
      <w:r w:rsidRPr="001A7A53">
        <w:t>Caroline Thomas Jacobs, Director</w:t>
      </w:r>
    </w:p>
    <w:p w14:paraId="58E0D6FF" w14:textId="77777777" w:rsidR="00621C89" w:rsidRPr="001A7A53" w:rsidRDefault="00621C89" w:rsidP="00C0067A">
      <w:pPr>
        <w:pStyle w:val="Addressee"/>
        <w:spacing w:line="240" w:lineRule="auto"/>
      </w:pPr>
      <w:r w:rsidRPr="001A7A53">
        <w:t>Office of Energy Infrastructure Safety</w:t>
      </w:r>
    </w:p>
    <w:p w14:paraId="44A4E39B" w14:textId="77777777" w:rsidR="00621C89" w:rsidRPr="001A7A53" w:rsidRDefault="00621C89" w:rsidP="00C0067A">
      <w:pPr>
        <w:pStyle w:val="Addressee"/>
        <w:spacing w:line="240" w:lineRule="auto"/>
      </w:pPr>
      <w:r w:rsidRPr="001A7A53">
        <w:t>California Natural Resources Agency</w:t>
      </w:r>
    </w:p>
    <w:p w14:paraId="04BC8B87" w14:textId="691EB0ED" w:rsidR="00621C89" w:rsidRPr="001A7A53" w:rsidRDefault="00621C89" w:rsidP="00C0067A">
      <w:pPr>
        <w:pStyle w:val="Addressee"/>
        <w:spacing w:line="240" w:lineRule="auto"/>
        <w:rPr>
          <w:lang w:val="es-419"/>
        </w:rPr>
      </w:pPr>
      <w:r w:rsidRPr="001A7A53">
        <w:rPr>
          <w:lang w:val="es-419"/>
        </w:rPr>
        <w:t xml:space="preserve">Sacramento, CA </w:t>
      </w:r>
      <w:r w:rsidR="00783528" w:rsidRPr="001A7A53">
        <w:rPr>
          <w:lang w:val="es-419"/>
        </w:rPr>
        <w:t>95814</w:t>
      </w:r>
    </w:p>
    <w:p w14:paraId="7752ED29" w14:textId="311674E7" w:rsidR="00621C89" w:rsidRDefault="004E385B" w:rsidP="00C0067A">
      <w:pPr>
        <w:pStyle w:val="Efilingemail"/>
        <w:spacing w:after="0" w:line="240" w:lineRule="auto"/>
        <w:rPr>
          <w:color w:val="000000" w:themeColor="text1"/>
          <w:lang w:val="es-ES"/>
        </w:rPr>
      </w:pPr>
      <w:hyperlink r:id="rId11" w:history="1">
        <w:r w:rsidRPr="00C0067A">
          <w:rPr>
            <w:rStyle w:val="Hyperlink"/>
            <w:color w:val="000000" w:themeColor="text1"/>
            <w:lang w:val="es-ES"/>
          </w:rPr>
          <w:t>https://efiling.energysafety.ca.gov/</w:t>
        </w:r>
      </w:hyperlink>
      <w:r w:rsidRPr="00C0067A">
        <w:rPr>
          <w:color w:val="000000" w:themeColor="text1"/>
          <w:lang w:val="es-ES"/>
        </w:rPr>
        <w:t xml:space="preserve"> </w:t>
      </w:r>
    </w:p>
    <w:p w14:paraId="3E9FAFF5" w14:textId="77777777" w:rsidR="00C0067A" w:rsidRPr="00C0067A" w:rsidRDefault="00C0067A" w:rsidP="00C0067A">
      <w:pPr>
        <w:pStyle w:val="Efilingemail"/>
        <w:spacing w:after="0" w:line="240" w:lineRule="auto"/>
        <w:rPr>
          <w:color w:val="000000" w:themeColor="text1"/>
          <w:lang w:val="es-ES"/>
        </w:rPr>
      </w:pPr>
    </w:p>
    <w:p w14:paraId="38BEE8D2" w14:textId="2D15D9E9" w:rsidR="0087017C" w:rsidRDefault="0087017C" w:rsidP="00C0067A">
      <w:pPr>
        <w:pStyle w:val="Subject"/>
        <w:spacing w:after="0" w:line="240" w:lineRule="auto"/>
      </w:pPr>
      <w:r w:rsidRPr="001A7A53">
        <w:t>Subject:</w:t>
      </w:r>
      <w:r w:rsidRPr="001A7A53">
        <w:tab/>
        <w:t>Comments</w:t>
      </w:r>
      <w:r w:rsidR="008367E9" w:rsidRPr="001A7A53">
        <w:t xml:space="preserve"> of the Public Advocates Office</w:t>
      </w:r>
      <w:r w:rsidRPr="001A7A53">
        <w:t xml:space="preserve"> on</w:t>
      </w:r>
      <w:r w:rsidR="007E04D1" w:rsidRPr="001A7A53">
        <w:t xml:space="preserve"> </w:t>
      </w:r>
      <w:r w:rsidR="00A17E3E" w:rsidRPr="001A7A53">
        <w:t xml:space="preserve">Draft </w:t>
      </w:r>
      <w:r w:rsidR="004E385B" w:rsidRPr="001A7A53">
        <w:t>WMP</w:t>
      </w:r>
      <w:r w:rsidR="007E04D1" w:rsidRPr="001A7A53">
        <w:t xml:space="preserve"> </w:t>
      </w:r>
      <w:r w:rsidR="00391972" w:rsidRPr="001A7A53">
        <w:t>Guidelines</w:t>
      </w:r>
      <w:r w:rsidR="007E04D1" w:rsidRPr="001A7A53">
        <w:t xml:space="preserve"> </w:t>
      </w:r>
      <w:r w:rsidR="00E9220B" w:rsidRPr="001A7A53">
        <w:t>(Package 1)</w:t>
      </w:r>
    </w:p>
    <w:p w14:paraId="636371FF" w14:textId="77777777" w:rsidR="00C0067A" w:rsidRPr="001A7A53" w:rsidRDefault="00C0067A" w:rsidP="00C0067A">
      <w:pPr>
        <w:pStyle w:val="Subject"/>
        <w:spacing w:after="0" w:line="240" w:lineRule="auto"/>
      </w:pPr>
    </w:p>
    <w:p w14:paraId="20424A5E" w14:textId="0164BD05" w:rsidR="006C3E8D" w:rsidRDefault="006C3E8D" w:rsidP="00C0067A">
      <w:pPr>
        <w:pStyle w:val="Docket"/>
        <w:spacing w:after="0" w:line="240" w:lineRule="auto"/>
      </w:pPr>
      <w:bookmarkStart w:id="0" w:name="_Toc8307844"/>
      <w:r w:rsidRPr="001A7A53">
        <w:t>Docket:</w:t>
      </w:r>
      <w:r w:rsidR="00201FFD" w:rsidRPr="001A7A53">
        <w:tab/>
      </w:r>
      <w:r w:rsidR="00E9220B" w:rsidRPr="001A7A53">
        <w:t>WMP-Guidelines</w:t>
      </w:r>
    </w:p>
    <w:p w14:paraId="3DC86D1A" w14:textId="77777777" w:rsidR="00C0067A" w:rsidRPr="001A7A53" w:rsidRDefault="00C0067A" w:rsidP="00C0067A">
      <w:pPr>
        <w:pStyle w:val="Docket"/>
        <w:spacing w:after="0" w:line="240" w:lineRule="auto"/>
      </w:pPr>
    </w:p>
    <w:p w14:paraId="2F30FE6D" w14:textId="6BFDC314" w:rsidR="00274D5C" w:rsidRDefault="00274D5C" w:rsidP="00C0067A">
      <w:pPr>
        <w:pStyle w:val="Dear"/>
        <w:spacing w:after="0" w:line="240" w:lineRule="auto"/>
      </w:pPr>
      <w:r w:rsidRPr="001A7A53">
        <w:t>Dear Director Thomas Jacobs,</w:t>
      </w:r>
    </w:p>
    <w:p w14:paraId="0DC74FA1" w14:textId="77777777" w:rsidR="00C0067A" w:rsidRPr="001A7A53" w:rsidRDefault="00C0067A" w:rsidP="00C0067A">
      <w:pPr>
        <w:pStyle w:val="Dear"/>
        <w:spacing w:after="0" w:line="240" w:lineRule="auto"/>
      </w:pPr>
    </w:p>
    <w:p w14:paraId="7B389F15" w14:textId="3EFCDCD5" w:rsidR="00621C89" w:rsidRDefault="00274D5C" w:rsidP="00C0067A">
      <w:pPr>
        <w:pStyle w:val="Covertext"/>
        <w:spacing w:after="0" w:line="240" w:lineRule="auto"/>
      </w:pPr>
      <w:r w:rsidRPr="001A7A53">
        <w:t xml:space="preserve">The Public Advocates Office at the California Public Utilities Commission (Cal Advocates) respectfully submits the following comments </w:t>
      </w:r>
      <w:r w:rsidR="003D4E1B" w:rsidRPr="001A7A53">
        <w:t xml:space="preserve">regarding the </w:t>
      </w:r>
      <w:r w:rsidR="00E95D89" w:rsidRPr="001A7A53">
        <w:t>Draft Wildfire Mitigation Plan Guidelines (Package 1)</w:t>
      </w:r>
      <w:r w:rsidR="00C06A2E" w:rsidRPr="001A7A53">
        <w:t>, which the Office of Energy Infrastructure Safety issued</w:t>
      </w:r>
      <w:r w:rsidR="00E95D89" w:rsidRPr="001A7A53">
        <w:t xml:space="preserve"> on November 12, </w:t>
      </w:r>
      <w:r w:rsidR="00A17E3E" w:rsidRPr="001A7A53">
        <w:t>202</w:t>
      </w:r>
      <w:r w:rsidR="00E95D89" w:rsidRPr="001A7A53">
        <w:t>4</w:t>
      </w:r>
      <w:r w:rsidR="00CD23BD" w:rsidRPr="001A7A53">
        <w:t xml:space="preserve">.  </w:t>
      </w:r>
      <w:r w:rsidRPr="001A7A53">
        <w:t xml:space="preserve">Please contact </w:t>
      </w:r>
      <w:r w:rsidR="009320DA" w:rsidRPr="001A7A53">
        <w:t>Nathaniel Skinner (</w:t>
      </w:r>
      <w:hyperlink r:id="rId12" w:history="1">
        <w:r w:rsidR="009320DA" w:rsidRPr="001A7A53">
          <w:rPr>
            <w:color w:val="000000" w:themeColor="text1"/>
            <w:szCs w:val="24"/>
          </w:rPr>
          <w:t>Nathaniel.Skinner@cpuc.ca.gov</w:t>
        </w:r>
      </w:hyperlink>
      <w:r w:rsidR="009320DA" w:rsidRPr="001A7A53">
        <w:t xml:space="preserve">) or </w:t>
      </w:r>
      <w:r w:rsidRPr="001A7A53">
        <w:t>Henry Burton (</w:t>
      </w:r>
      <w:hyperlink r:id="rId13" w:history="1">
        <w:r w:rsidR="009320DA" w:rsidRPr="001A7A53">
          <w:rPr>
            <w:color w:val="000000" w:themeColor="text1"/>
            <w:szCs w:val="24"/>
          </w:rPr>
          <w:t>Henry.Burton@cpuc.ca.gov</w:t>
        </w:r>
      </w:hyperlink>
      <w:r w:rsidRPr="001A7A53">
        <w:t>) with any questions relating to these comments.</w:t>
      </w:r>
      <w:r w:rsidR="009320DA" w:rsidRPr="001A7A53">
        <w:t xml:space="preserve"> </w:t>
      </w:r>
      <w:r w:rsidRPr="001A7A53">
        <w:t xml:space="preserve"> </w:t>
      </w:r>
    </w:p>
    <w:p w14:paraId="5A26FBB3" w14:textId="77777777" w:rsidR="00C0067A" w:rsidRPr="001A7A53" w:rsidRDefault="00C0067A" w:rsidP="00C0067A">
      <w:pPr>
        <w:pStyle w:val="Covertext"/>
        <w:spacing w:after="0" w:line="240" w:lineRule="auto"/>
      </w:pPr>
    </w:p>
    <w:p w14:paraId="7C5F60CE" w14:textId="463BF079" w:rsidR="00274D5C" w:rsidRDefault="00274D5C" w:rsidP="00C0067A">
      <w:pPr>
        <w:pStyle w:val="Covertext"/>
        <w:spacing w:after="0" w:line="240" w:lineRule="auto"/>
      </w:pPr>
      <w:r w:rsidRPr="001A7A53">
        <w:t xml:space="preserve">We respectfully urge the </w:t>
      </w:r>
      <w:r w:rsidR="00621C89" w:rsidRPr="001A7A53">
        <w:t xml:space="preserve">Office of Energy Infrastructure Safety </w:t>
      </w:r>
      <w:r w:rsidRPr="001A7A53">
        <w:t>to adopt the recommendations discussed herein.</w:t>
      </w:r>
    </w:p>
    <w:p w14:paraId="311804AD" w14:textId="77777777" w:rsidR="00C0067A" w:rsidRPr="001A7A53" w:rsidRDefault="00C0067A" w:rsidP="00C0067A">
      <w:pPr>
        <w:pStyle w:val="Covertext"/>
        <w:spacing w:after="0" w:line="240" w:lineRule="auto"/>
      </w:pPr>
    </w:p>
    <w:p w14:paraId="409F5C61" w14:textId="77777777" w:rsidR="00C0067A" w:rsidRDefault="00C0067A" w:rsidP="00C0067A">
      <w:pPr>
        <w:pStyle w:val="Respectfully"/>
        <w:spacing w:after="0" w:line="240" w:lineRule="auto"/>
        <w:ind w:left="0" w:firstLine="0"/>
      </w:pPr>
      <w:r>
        <w:t>Sincerely,</w:t>
      </w:r>
    </w:p>
    <w:p w14:paraId="65BE940F" w14:textId="75D9D3CD" w:rsidR="009320DA" w:rsidRPr="001A7A53" w:rsidRDefault="009320DA" w:rsidP="00C0067A">
      <w:pPr>
        <w:pStyle w:val="Respectfully"/>
        <w:spacing w:after="0" w:line="240" w:lineRule="auto"/>
        <w:ind w:left="0" w:firstLine="0"/>
      </w:pPr>
      <w:r w:rsidRPr="001A7A53">
        <w:t xml:space="preserve"> </w:t>
      </w:r>
    </w:p>
    <w:p w14:paraId="34EA2F99" w14:textId="4228D02E" w:rsidR="009320DA" w:rsidRPr="001A7A53" w:rsidRDefault="009320DA" w:rsidP="00C0067A">
      <w:pPr>
        <w:pStyle w:val="Signatureitalic"/>
        <w:spacing w:line="240" w:lineRule="auto"/>
        <w:ind w:left="0" w:firstLine="0"/>
      </w:pPr>
      <w:r w:rsidRPr="001A7A53">
        <w:t>/s/</w:t>
      </w:r>
      <w:r w:rsidRPr="001A7A53">
        <w:tab/>
      </w:r>
      <w:r w:rsidR="001A7A53" w:rsidRPr="001A7A53">
        <w:rPr>
          <w:b/>
          <w:bCs/>
          <w:i/>
          <w:iCs/>
        </w:rPr>
        <w:t>Marybelle Ang</w:t>
      </w:r>
    </w:p>
    <w:p w14:paraId="1730E237" w14:textId="77777777" w:rsidR="009320DA" w:rsidRPr="001A7A53" w:rsidRDefault="009320DA" w:rsidP="00C0067A">
      <w:pPr>
        <w:pStyle w:val="Signatureline"/>
        <w:spacing w:line="240" w:lineRule="auto"/>
        <w:ind w:left="0" w:firstLine="0"/>
      </w:pPr>
      <w:r w:rsidRPr="001A7A53">
        <w:t>__________________________</w:t>
      </w:r>
    </w:p>
    <w:p w14:paraId="49632575" w14:textId="3BEC94D3" w:rsidR="009320DA" w:rsidRPr="001A7A53" w:rsidRDefault="001A7A53" w:rsidP="00C0067A">
      <w:pPr>
        <w:pStyle w:val="Signaturetyped"/>
        <w:spacing w:line="240" w:lineRule="auto"/>
        <w:ind w:left="0" w:firstLine="0"/>
      </w:pPr>
      <w:r w:rsidRPr="001A7A53">
        <w:t>Marybelle Ang</w:t>
      </w:r>
    </w:p>
    <w:p w14:paraId="7BA0CC4C" w14:textId="77777777" w:rsidR="009320DA" w:rsidRPr="001A7A53" w:rsidRDefault="009320DA" w:rsidP="00C0067A">
      <w:pPr>
        <w:pStyle w:val="Signaturetyped"/>
        <w:spacing w:line="240" w:lineRule="auto"/>
        <w:ind w:left="0" w:firstLine="0"/>
      </w:pPr>
      <w:r w:rsidRPr="001A7A53">
        <w:t>Attorney</w:t>
      </w:r>
    </w:p>
    <w:p w14:paraId="62CA74CC" w14:textId="77777777" w:rsidR="009320DA" w:rsidRPr="001A7A53" w:rsidRDefault="009320DA" w:rsidP="00C0067A">
      <w:pPr>
        <w:pStyle w:val="Signaturefront"/>
        <w:spacing w:after="0" w:line="240" w:lineRule="auto"/>
        <w:ind w:left="0" w:firstLine="0"/>
      </w:pPr>
    </w:p>
    <w:p w14:paraId="0BEF9340" w14:textId="77777777" w:rsidR="009320DA" w:rsidRPr="001A7A53" w:rsidRDefault="009320DA" w:rsidP="00C0067A">
      <w:pPr>
        <w:pStyle w:val="Signatureaddress"/>
        <w:spacing w:line="240" w:lineRule="auto"/>
        <w:ind w:left="0"/>
      </w:pPr>
      <w:r w:rsidRPr="001A7A53">
        <w:t>Public Advocates Office</w:t>
      </w:r>
    </w:p>
    <w:p w14:paraId="00F0A943" w14:textId="04759D1B" w:rsidR="009320DA" w:rsidRPr="001A7A53" w:rsidRDefault="009320DA" w:rsidP="00C0067A">
      <w:pPr>
        <w:pStyle w:val="Signatureaddress"/>
        <w:spacing w:line="240" w:lineRule="auto"/>
        <w:ind w:left="0"/>
      </w:pPr>
      <w:r w:rsidRPr="001A7A53">
        <w:t>California Public Utilities Commission</w:t>
      </w:r>
    </w:p>
    <w:p w14:paraId="54B7AC45" w14:textId="4A91D089" w:rsidR="009320DA" w:rsidRPr="001A7A53" w:rsidRDefault="001A7A53" w:rsidP="00C0067A">
      <w:pPr>
        <w:pStyle w:val="Signatureaddress"/>
        <w:spacing w:line="240" w:lineRule="auto"/>
        <w:ind w:left="0"/>
      </w:pPr>
      <w:r w:rsidRPr="001A7A53">
        <w:t>505 Van Ness Avenue</w:t>
      </w:r>
    </w:p>
    <w:p w14:paraId="08FC4905" w14:textId="2ACB7577" w:rsidR="001A7A53" w:rsidRPr="001A7A53" w:rsidRDefault="001A7A53" w:rsidP="00C0067A">
      <w:pPr>
        <w:pStyle w:val="Signatureaddress"/>
        <w:spacing w:line="240" w:lineRule="auto"/>
        <w:ind w:left="0"/>
      </w:pPr>
      <w:r w:rsidRPr="001A7A53">
        <w:t>San Francisco, CA 94102</w:t>
      </w:r>
    </w:p>
    <w:p w14:paraId="2558A8D3" w14:textId="0EF958C9" w:rsidR="009320DA" w:rsidRPr="001A7A53" w:rsidRDefault="009320DA" w:rsidP="00C0067A">
      <w:pPr>
        <w:pStyle w:val="Signatureaddress"/>
        <w:spacing w:line="240" w:lineRule="auto"/>
        <w:ind w:left="0"/>
      </w:pPr>
      <w:r w:rsidRPr="001A7A53">
        <w:t xml:space="preserve">Telephone: </w:t>
      </w:r>
      <w:r w:rsidR="001A7A53" w:rsidRPr="001A7A53">
        <w:t>(415) 696-7329</w:t>
      </w:r>
    </w:p>
    <w:p w14:paraId="0214950D" w14:textId="57F2BB0E" w:rsidR="00EF4D1B" w:rsidRPr="001A7A53" w:rsidRDefault="009320DA" w:rsidP="00C0067A">
      <w:pPr>
        <w:pStyle w:val="Signatureaddress"/>
        <w:spacing w:line="240" w:lineRule="auto"/>
        <w:ind w:left="0"/>
      </w:pPr>
      <w:r w:rsidRPr="001A7A53">
        <w:t>E-mail:</w:t>
      </w:r>
      <w:r w:rsidR="001A7A53" w:rsidRPr="001A7A53">
        <w:t xml:space="preserve"> </w:t>
      </w:r>
      <w:hyperlink r:id="rId14" w:history="1">
        <w:r w:rsidR="001A7A53" w:rsidRPr="001A7A53">
          <w:rPr>
            <w:rStyle w:val="Hyperlink"/>
            <w:color w:val="000000" w:themeColor="text1"/>
          </w:rPr>
          <w:t>Marybelle.Ang@cpuc.ca.gov</w:t>
        </w:r>
      </w:hyperlink>
      <w:r w:rsidR="001A7A53" w:rsidRPr="001A7A53">
        <w:t xml:space="preserve"> </w:t>
      </w:r>
    </w:p>
    <w:p w14:paraId="0CF15DFD" w14:textId="1DCBF3BE" w:rsidR="00C1344A" w:rsidRPr="006C42D5" w:rsidRDefault="00C1344A" w:rsidP="00B32BEB">
      <w:pPr>
        <w:sectPr w:rsidR="00C1344A" w:rsidRPr="006C42D5" w:rsidSect="00A55020">
          <w:foot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p>
    <w:bookmarkEnd w:id="0"/>
    <w:p w14:paraId="6FEBA36E" w14:textId="77777777" w:rsidR="00C0067A" w:rsidRPr="00C0067A" w:rsidRDefault="00C0067A" w:rsidP="00C0067A">
      <w:pPr>
        <w:jc w:val="center"/>
        <w:rPr>
          <w:b/>
          <w:bCs/>
          <w:u w:val="single"/>
        </w:rPr>
      </w:pPr>
      <w:r w:rsidRPr="00C0067A">
        <w:rPr>
          <w:b/>
          <w:bCs/>
          <w:u w:val="single"/>
        </w:rPr>
        <w:lastRenderedPageBreak/>
        <w:t>TABLE OF CONTENTS</w:t>
      </w:r>
    </w:p>
    <w:p w14:paraId="46384A49" w14:textId="77777777" w:rsidR="00C0067A" w:rsidRDefault="00C0067A" w:rsidP="00C0067A">
      <w:pPr>
        <w:pStyle w:val="BodyText"/>
        <w:ind w:firstLine="0"/>
      </w:pPr>
    </w:p>
    <w:p w14:paraId="0FA6F4F9" w14:textId="77777777" w:rsidR="00C0067A" w:rsidRPr="00C0067A" w:rsidRDefault="00C0067A" w:rsidP="00C0067A">
      <w:pPr>
        <w:pStyle w:val="BodyText"/>
        <w:ind w:right="720" w:firstLine="0"/>
        <w:jc w:val="right"/>
        <w:rPr>
          <w:b/>
          <w:bCs/>
          <w:u w:val="single"/>
        </w:rPr>
      </w:pPr>
      <w:r w:rsidRPr="00C0067A">
        <w:rPr>
          <w:b/>
          <w:bCs/>
          <w:u w:val="single"/>
        </w:rPr>
        <w:t>Page</w:t>
      </w:r>
    </w:p>
    <w:p w14:paraId="3AF8B023" w14:textId="0327BAC1" w:rsidR="00BE7DCF" w:rsidRDefault="00C0067A">
      <w:pPr>
        <w:pStyle w:val="TOC1"/>
        <w:rPr>
          <w:rFonts w:asciiTheme="minorHAnsi" w:eastAsiaTheme="minorEastAsia" w:hAnsiTheme="minorHAnsi" w:cstheme="minorBidi"/>
          <w:caps w:val="0"/>
          <w:kern w:val="2"/>
          <w:szCs w:val="24"/>
          <w14:ligatures w14:val="standardContextual"/>
        </w:rPr>
      </w:pPr>
      <w:r>
        <w:fldChar w:fldCharType="begin"/>
      </w:r>
      <w:r>
        <w:instrText xml:space="preserve"> TOC \o "1-5" \h \z \u </w:instrText>
      </w:r>
      <w:r>
        <w:fldChar w:fldCharType="separate"/>
      </w:r>
      <w:hyperlink w:anchor="_Toc184385705" w:history="1">
        <w:r w:rsidR="00BE7DCF" w:rsidRPr="002223B2">
          <w:rPr>
            <w:rStyle w:val="Hyperlink"/>
          </w:rPr>
          <w:t>I.</w:t>
        </w:r>
        <w:r w:rsidR="00BE7DCF">
          <w:rPr>
            <w:rFonts w:asciiTheme="minorHAnsi" w:eastAsiaTheme="minorEastAsia" w:hAnsiTheme="minorHAnsi" w:cstheme="minorBidi"/>
            <w:caps w:val="0"/>
            <w:kern w:val="2"/>
            <w:szCs w:val="24"/>
            <w14:ligatures w14:val="standardContextual"/>
          </w:rPr>
          <w:tab/>
        </w:r>
        <w:r w:rsidR="00BE7DCF" w:rsidRPr="002223B2">
          <w:rPr>
            <w:rStyle w:val="Hyperlink"/>
          </w:rPr>
          <w:t>INTRODUCTION</w:t>
        </w:r>
        <w:r w:rsidR="00BE7DCF">
          <w:rPr>
            <w:webHidden/>
          </w:rPr>
          <w:tab/>
        </w:r>
        <w:r w:rsidR="00BE7DCF">
          <w:rPr>
            <w:webHidden/>
          </w:rPr>
          <w:fldChar w:fldCharType="begin"/>
        </w:r>
        <w:r w:rsidR="00BE7DCF">
          <w:rPr>
            <w:webHidden/>
          </w:rPr>
          <w:instrText xml:space="preserve"> PAGEREF _Toc184385705 \h </w:instrText>
        </w:r>
        <w:r w:rsidR="00BE7DCF">
          <w:rPr>
            <w:webHidden/>
          </w:rPr>
        </w:r>
        <w:r w:rsidR="00BE7DCF">
          <w:rPr>
            <w:webHidden/>
          </w:rPr>
          <w:fldChar w:fldCharType="separate"/>
        </w:r>
        <w:r w:rsidR="00BE7DCF">
          <w:rPr>
            <w:webHidden/>
          </w:rPr>
          <w:t>1</w:t>
        </w:r>
        <w:r w:rsidR="00BE7DCF">
          <w:rPr>
            <w:webHidden/>
          </w:rPr>
          <w:fldChar w:fldCharType="end"/>
        </w:r>
      </w:hyperlink>
    </w:p>
    <w:p w14:paraId="718A0C5F" w14:textId="7B62051F" w:rsidR="00BE7DCF" w:rsidRDefault="00BE7DCF">
      <w:pPr>
        <w:pStyle w:val="TOC1"/>
        <w:rPr>
          <w:rFonts w:asciiTheme="minorHAnsi" w:eastAsiaTheme="minorEastAsia" w:hAnsiTheme="minorHAnsi" w:cstheme="minorBidi"/>
          <w:caps w:val="0"/>
          <w:kern w:val="2"/>
          <w:szCs w:val="24"/>
          <w14:ligatures w14:val="standardContextual"/>
        </w:rPr>
      </w:pPr>
      <w:hyperlink w:anchor="_Toc184385706" w:history="1">
        <w:r w:rsidRPr="002223B2">
          <w:rPr>
            <w:rStyle w:val="Hyperlink"/>
          </w:rPr>
          <w:t>II.</w:t>
        </w:r>
        <w:r>
          <w:rPr>
            <w:rFonts w:asciiTheme="minorHAnsi" w:eastAsiaTheme="minorEastAsia" w:hAnsiTheme="minorHAnsi" w:cstheme="minorBidi"/>
            <w:caps w:val="0"/>
            <w:kern w:val="2"/>
            <w:szCs w:val="24"/>
            <w14:ligatures w14:val="standardContextual"/>
          </w:rPr>
          <w:tab/>
        </w:r>
        <w:r w:rsidRPr="002223B2">
          <w:rPr>
            <w:rStyle w:val="Hyperlink"/>
          </w:rPr>
          <w:t>Technical ISSUES</w:t>
        </w:r>
        <w:r>
          <w:rPr>
            <w:webHidden/>
          </w:rPr>
          <w:tab/>
        </w:r>
        <w:r>
          <w:rPr>
            <w:webHidden/>
          </w:rPr>
          <w:fldChar w:fldCharType="begin"/>
        </w:r>
        <w:r>
          <w:rPr>
            <w:webHidden/>
          </w:rPr>
          <w:instrText xml:space="preserve"> PAGEREF _Toc184385706 \h </w:instrText>
        </w:r>
        <w:r>
          <w:rPr>
            <w:webHidden/>
          </w:rPr>
        </w:r>
        <w:r>
          <w:rPr>
            <w:webHidden/>
          </w:rPr>
          <w:fldChar w:fldCharType="separate"/>
        </w:r>
        <w:r>
          <w:rPr>
            <w:webHidden/>
          </w:rPr>
          <w:t>1</w:t>
        </w:r>
        <w:r>
          <w:rPr>
            <w:webHidden/>
          </w:rPr>
          <w:fldChar w:fldCharType="end"/>
        </w:r>
      </w:hyperlink>
    </w:p>
    <w:p w14:paraId="58099AA9" w14:textId="750CF2DE" w:rsidR="00BE7DCF" w:rsidRDefault="00BE7DCF">
      <w:pPr>
        <w:pStyle w:val="TOC2"/>
        <w:tabs>
          <w:tab w:val="left" w:pos="1440"/>
        </w:tabs>
        <w:rPr>
          <w:rFonts w:asciiTheme="minorHAnsi" w:hAnsiTheme="minorHAnsi"/>
        </w:rPr>
      </w:pPr>
      <w:hyperlink w:anchor="_Toc184385707" w:history="1">
        <w:r w:rsidRPr="002223B2">
          <w:rPr>
            <w:rStyle w:val="Hyperlink"/>
          </w:rPr>
          <w:t>A.</w:t>
        </w:r>
        <w:r>
          <w:rPr>
            <w:rFonts w:asciiTheme="minorHAnsi" w:hAnsiTheme="minorHAnsi"/>
          </w:rPr>
          <w:tab/>
        </w:r>
        <w:r w:rsidRPr="002223B2">
          <w:rPr>
            <w:rStyle w:val="Hyperlink"/>
          </w:rPr>
          <w:t>Energy Safety should require utilities to use realistic and comparable assumptions to evaluate system hardening mitigations.</w:t>
        </w:r>
        <w:r>
          <w:rPr>
            <w:webHidden/>
          </w:rPr>
          <w:tab/>
        </w:r>
        <w:r>
          <w:rPr>
            <w:webHidden/>
          </w:rPr>
          <w:fldChar w:fldCharType="begin"/>
        </w:r>
        <w:r>
          <w:rPr>
            <w:webHidden/>
          </w:rPr>
          <w:instrText xml:space="preserve"> PAGEREF _Toc184385707 \h </w:instrText>
        </w:r>
        <w:r>
          <w:rPr>
            <w:webHidden/>
          </w:rPr>
        </w:r>
        <w:r>
          <w:rPr>
            <w:webHidden/>
          </w:rPr>
          <w:fldChar w:fldCharType="separate"/>
        </w:r>
        <w:r>
          <w:rPr>
            <w:webHidden/>
          </w:rPr>
          <w:t>1</w:t>
        </w:r>
        <w:r>
          <w:rPr>
            <w:webHidden/>
          </w:rPr>
          <w:fldChar w:fldCharType="end"/>
        </w:r>
      </w:hyperlink>
    </w:p>
    <w:p w14:paraId="037F32DE" w14:textId="4D6478B2"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08" w:history="1">
        <w:r w:rsidRPr="002223B2">
          <w:rPr>
            <w:rStyle w:val="Hyperlink"/>
          </w:rPr>
          <w:t>1.</w:t>
        </w:r>
        <w:r>
          <w:rPr>
            <w:rFonts w:asciiTheme="minorHAnsi" w:eastAsiaTheme="minorEastAsia" w:hAnsiTheme="minorHAnsi" w:cstheme="minorBidi"/>
            <w:kern w:val="2"/>
            <w:szCs w:val="24"/>
            <w14:ligatures w14:val="standardContextual"/>
          </w:rPr>
          <w:tab/>
        </w:r>
        <w:r w:rsidRPr="002223B2">
          <w:rPr>
            <w:rStyle w:val="Hyperlink"/>
          </w:rPr>
          <w:t>Energy Safety should set guiding principles for utility assumptions.</w:t>
        </w:r>
        <w:r>
          <w:rPr>
            <w:webHidden/>
          </w:rPr>
          <w:tab/>
        </w:r>
        <w:r>
          <w:rPr>
            <w:webHidden/>
          </w:rPr>
          <w:fldChar w:fldCharType="begin"/>
        </w:r>
        <w:r>
          <w:rPr>
            <w:webHidden/>
          </w:rPr>
          <w:instrText xml:space="preserve"> PAGEREF _Toc184385708 \h </w:instrText>
        </w:r>
        <w:r>
          <w:rPr>
            <w:webHidden/>
          </w:rPr>
        </w:r>
        <w:r>
          <w:rPr>
            <w:webHidden/>
          </w:rPr>
          <w:fldChar w:fldCharType="separate"/>
        </w:r>
        <w:r>
          <w:rPr>
            <w:webHidden/>
          </w:rPr>
          <w:t>2</w:t>
        </w:r>
        <w:r>
          <w:rPr>
            <w:webHidden/>
          </w:rPr>
          <w:fldChar w:fldCharType="end"/>
        </w:r>
      </w:hyperlink>
    </w:p>
    <w:p w14:paraId="41CF3096" w14:textId="74F7E4BF"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09" w:history="1">
        <w:r w:rsidRPr="002223B2">
          <w:rPr>
            <w:rStyle w:val="Hyperlink"/>
          </w:rPr>
          <w:t>2.</w:t>
        </w:r>
        <w:r>
          <w:rPr>
            <w:rFonts w:asciiTheme="minorHAnsi" w:eastAsiaTheme="minorEastAsia" w:hAnsiTheme="minorHAnsi" w:cstheme="minorBidi"/>
            <w:kern w:val="2"/>
            <w:szCs w:val="24"/>
            <w14:ligatures w14:val="standardContextual"/>
          </w:rPr>
          <w:tab/>
        </w:r>
        <w:r w:rsidRPr="002223B2">
          <w:rPr>
            <w:rStyle w:val="Hyperlink"/>
          </w:rPr>
          <w:t>Energy Safety should require utilities to evaluate reasonable sets of mitigations.</w:t>
        </w:r>
        <w:r>
          <w:rPr>
            <w:webHidden/>
          </w:rPr>
          <w:tab/>
        </w:r>
        <w:r>
          <w:rPr>
            <w:webHidden/>
          </w:rPr>
          <w:fldChar w:fldCharType="begin"/>
        </w:r>
        <w:r>
          <w:rPr>
            <w:webHidden/>
          </w:rPr>
          <w:instrText xml:space="preserve"> PAGEREF _Toc184385709 \h </w:instrText>
        </w:r>
        <w:r>
          <w:rPr>
            <w:webHidden/>
          </w:rPr>
        </w:r>
        <w:r>
          <w:rPr>
            <w:webHidden/>
          </w:rPr>
          <w:fldChar w:fldCharType="separate"/>
        </w:r>
        <w:r>
          <w:rPr>
            <w:webHidden/>
          </w:rPr>
          <w:t>2</w:t>
        </w:r>
        <w:r>
          <w:rPr>
            <w:webHidden/>
          </w:rPr>
          <w:fldChar w:fldCharType="end"/>
        </w:r>
      </w:hyperlink>
    </w:p>
    <w:p w14:paraId="4487BE56" w14:textId="4265FA17" w:rsidR="00BE7DCF" w:rsidRDefault="00BE7DCF">
      <w:pPr>
        <w:pStyle w:val="TOC2"/>
        <w:tabs>
          <w:tab w:val="left" w:pos="1440"/>
        </w:tabs>
        <w:rPr>
          <w:rFonts w:asciiTheme="minorHAnsi" w:hAnsiTheme="minorHAnsi"/>
        </w:rPr>
      </w:pPr>
      <w:hyperlink w:anchor="_Toc184385710" w:history="1">
        <w:r w:rsidRPr="002223B2">
          <w:rPr>
            <w:rStyle w:val="Hyperlink"/>
          </w:rPr>
          <w:t>B.</w:t>
        </w:r>
        <w:r>
          <w:rPr>
            <w:rFonts w:asciiTheme="minorHAnsi" w:hAnsiTheme="minorHAnsi"/>
          </w:rPr>
          <w:tab/>
        </w:r>
        <w:r w:rsidRPr="002223B2">
          <w:rPr>
            <w:rStyle w:val="Hyperlink"/>
          </w:rPr>
          <w:t>Energy Safety should require additional information on the circuits most affected by protective equipment settings.</w:t>
        </w:r>
        <w:r>
          <w:rPr>
            <w:webHidden/>
          </w:rPr>
          <w:tab/>
        </w:r>
        <w:r>
          <w:rPr>
            <w:webHidden/>
          </w:rPr>
          <w:fldChar w:fldCharType="begin"/>
        </w:r>
        <w:r>
          <w:rPr>
            <w:webHidden/>
          </w:rPr>
          <w:instrText xml:space="preserve"> PAGEREF _Toc184385710 \h </w:instrText>
        </w:r>
        <w:r>
          <w:rPr>
            <w:webHidden/>
          </w:rPr>
        </w:r>
        <w:r>
          <w:rPr>
            <w:webHidden/>
          </w:rPr>
          <w:fldChar w:fldCharType="separate"/>
        </w:r>
        <w:r>
          <w:rPr>
            <w:webHidden/>
          </w:rPr>
          <w:t>3</w:t>
        </w:r>
        <w:r>
          <w:rPr>
            <w:webHidden/>
          </w:rPr>
          <w:fldChar w:fldCharType="end"/>
        </w:r>
      </w:hyperlink>
    </w:p>
    <w:p w14:paraId="269DCCE6" w14:textId="4D5553B9" w:rsidR="00BE7DCF" w:rsidRDefault="00BE7DCF">
      <w:pPr>
        <w:pStyle w:val="TOC2"/>
        <w:tabs>
          <w:tab w:val="left" w:pos="1440"/>
        </w:tabs>
        <w:rPr>
          <w:rFonts w:asciiTheme="minorHAnsi" w:hAnsiTheme="minorHAnsi"/>
        </w:rPr>
      </w:pPr>
      <w:hyperlink w:anchor="_Toc184385711" w:history="1">
        <w:r w:rsidRPr="002223B2">
          <w:rPr>
            <w:rStyle w:val="Hyperlink"/>
          </w:rPr>
          <w:t>C.</w:t>
        </w:r>
        <w:r>
          <w:rPr>
            <w:rFonts w:asciiTheme="minorHAnsi" w:hAnsiTheme="minorHAnsi"/>
          </w:rPr>
          <w:tab/>
        </w:r>
        <w:r w:rsidRPr="002223B2">
          <w:rPr>
            <w:rStyle w:val="Hyperlink"/>
          </w:rPr>
          <w:t>Energy Safety should specify the data quality and reporting outcomes it envisions for Quality Assurance and Quality Control (QA/QC) data.</w:t>
        </w:r>
        <w:r>
          <w:rPr>
            <w:webHidden/>
          </w:rPr>
          <w:tab/>
        </w:r>
        <w:r>
          <w:rPr>
            <w:webHidden/>
          </w:rPr>
          <w:fldChar w:fldCharType="begin"/>
        </w:r>
        <w:r>
          <w:rPr>
            <w:webHidden/>
          </w:rPr>
          <w:instrText xml:space="preserve"> PAGEREF _Toc184385711 \h </w:instrText>
        </w:r>
        <w:r>
          <w:rPr>
            <w:webHidden/>
          </w:rPr>
        </w:r>
        <w:r>
          <w:rPr>
            <w:webHidden/>
          </w:rPr>
          <w:fldChar w:fldCharType="separate"/>
        </w:r>
        <w:r>
          <w:rPr>
            <w:webHidden/>
          </w:rPr>
          <w:t>4</w:t>
        </w:r>
        <w:r>
          <w:rPr>
            <w:webHidden/>
          </w:rPr>
          <w:fldChar w:fldCharType="end"/>
        </w:r>
      </w:hyperlink>
    </w:p>
    <w:p w14:paraId="0ECA5D5D" w14:textId="1E20ED37"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12" w:history="1">
        <w:r w:rsidRPr="002223B2">
          <w:rPr>
            <w:rStyle w:val="Hyperlink"/>
          </w:rPr>
          <w:t>1.</w:t>
        </w:r>
        <w:r>
          <w:rPr>
            <w:rFonts w:asciiTheme="minorHAnsi" w:eastAsiaTheme="minorEastAsia" w:hAnsiTheme="minorHAnsi" w:cstheme="minorBidi"/>
            <w:kern w:val="2"/>
            <w:szCs w:val="24"/>
            <w14:ligatures w14:val="standardContextual"/>
          </w:rPr>
          <w:tab/>
        </w:r>
        <w:r w:rsidRPr="002223B2">
          <w:rPr>
            <w:rStyle w:val="Hyperlink"/>
          </w:rPr>
          <w:t>Energy Safety should set expected objectives for utility reporting on Quality Assurance and Quality Control data for the 2026-2028 WMP cycle.</w:t>
        </w:r>
        <w:r>
          <w:rPr>
            <w:webHidden/>
          </w:rPr>
          <w:tab/>
        </w:r>
        <w:r>
          <w:rPr>
            <w:webHidden/>
          </w:rPr>
          <w:fldChar w:fldCharType="begin"/>
        </w:r>
        <w:r>
          <w:rPr>
            <w:webHidden/>
          </w:rPr>
          <w:instrText xml:space="preserve"> PAGEREF _Toc184385712 \h </w:instrText>
        </w:r>
        <w:r>
          <w:rPr>
            <w:webHidden/>
          </w:rPr>
        </w:r>
        <w:r>
          <w:rPr>
            <w:webHidden/>
          </w:rPr>
          <w:fldChar w:fldCharType="separate"/>
        </w:r>
        <w:r>
          <w:rPr>
            <w:webHidden/>
          </w:rPr>
          <w:t>5</w:t>
        </w:r>
        <w:r>
          <w:rPr>
            <w:webHidden/>
          </w:rPr>
          <w:fldChar w:fldCharType="end"/>
        </w:r>
      </w:hyperlink>
    </w:p>
    <w:p w14:paraId="046C690B" w14:textId="5EBACB73"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13" w:history="1">
        <w:r w:rsidRPr="002223B2">
          <w:rPr>
            <w:rStyle w:val="Hyperlink"/>
          </w:rPr>
          <w:t>2.</w:t>
        </w:r>
        <w:r>
          <w:rPr>
            <w:rFonts w:asciiTheme="minorHAnsi" w:eastAsiaTheme="minorEastAsia" w:hAnsiTheme="minorHAnsi" w:cstheme="minorBidi"/>
            <w:kern w:val="2"/>
            <w:szCs w:val="24"/>
            <w14:ligatures w14:val="standardContextual"/>
          </w:rPr>
          <w:tab/>
        </w:r>
        <w:r w:rsidRPr="002223B2">
          <w:rPr>
            <w:rStyle w:val="Hyperlink"/>
          </w:rPr>
          <w:t>Energy Safety should describe consequences for any failure to accurately report QA/QC data.</w:t>
        </w:r>
        <w:r>
          <w:rPr>
            <w:webHidden/>
          </w:rPr>
          <w:tab/>
        </w:r>
        <w:r>
          <w:rPr>
            <w:webHidden/>
          </w:rPr>
          <w:fldChar w:fldCharType="begin"/>
        </w:r>
        <w:r>
          <w:rPr>
            <w:webHidden/>
          </w:rPr>
          <w:instrText xml:space="preserve"> PAGEREF _Toc184385713 \h </w:instrText>
        </w:r>
        <w:r>
          <w:rPr>
            <w:webHidden/>
          </w:rPr>
        </w:r>
        <w:r>
          <w:rPr>
            <w:webHidden/>
          </w:rPr>
          <w:fldChar w:fldCharType="separate"/>
        </w:r>
        <w:r>
          <w:rPr>
            <w:webHidden/>
          </w:rPr>
          <w:t>5</w:t>
        </w:r>
        <w:r>
          <w:rPr>
            <w:webHidden/>
          </w:rPr>
          <w:fldChar w:fldCharType="end"/>
        </w:r>
      </w:hyperlink>
    </w:p>
    <w:p w14:paraId="4E067D92" w14:textId="1E903B5B" w:rsidR="00BE7DCF" w:rsidRDefault="00BE7DCF">
      <w:pPr>
        <w:pStyle w:val="TOC2"/>
        <w:tabs>
          <w:tab w:val="left" w:pos="1440"/>
        </w:tabs>
        <w:rPr>
          <w:rFonts w:asciiTheme="minorHAnsi" w:hAnsiTheme="minorHAnsi"/>
        </w:rPr>
      </w:pPr>
      <w:hyperlink w:anchor="_Toc184385714" w:history="1">
        <w:r w:rsidRPr="002223B2">
          <w:rPr>
            <w:rStyle w:val="Hyperlink"/>
          </w:rPr>
          <w:t>D.</w:t>
        </w:r>
        <w:r>
          <w:rPr>
            <w:rFonts w:asciiTheme="minorHAnsi" w:hAnsiTheme="minorHAnsi"/>
          </w:rPr>
          <w:tab/>
        </w:r>
        <w:r w:rsidRPr="002223B2">
          <w:rPr>
            <w:rStyle w:val="Hyperlink"/>
          </w:rPr>
          <w:t>Energy Safety should require utilities to include actual WMP expenditures from the prior WMP cycle.</w:t>
        </w:r>
        <w:r>
          <w:rPr>
            <w:webHidden/>
          </w:rPr>
          <w:tab/>
        </w:r>
        <w:r>
          <w:rPr>
            <w:webHidden/>
          </w:rPr>
          <w:fldChar w:fldCharType="begin"/>
        </w:r>
        <w:r>
          <w:rPr>
            <w:webHidden/>
          </w:rPr>
          <w:instrText xml:space="preserve"> PAGEREF _Toc184385714 \h </w:instrText>
        </w:r>
        <w:r>
          <w:rPr>
            <w:webHidden/>
          </w:rPr>
        </w:r>
        <w:r>
          <w:rPr>
            <w:webHidden/>
          </w:rPr>
          <w:fldChar w:fldCharType="separate"/>
        </w:r>
        <w:r>
          <w:rPr>
            <w:webHidden/>
          </w:rPr>
          <w:t>7</w:t>
        </w:r>
        <w:r>
          <w:rPr>
            <w:webHidden/>
          </w:rPr>
          <w:fldChar w:fldCharType="end"/>
        </w:r>
      </w:hyperlink>
    </w:p>
    <w:p w14:paraId="6A0C3B2E" w14:textId="48072782" w:rsidR="00BE7DCF" w:rsidRDefault="00BE7DCF">
      <w:pPr>
        <w:pStyle w:val="TOC1"/>
        <w:rPr>
          <w:rFonts w:asciiTheme="minorHAnsi" w:eastAsiaTheme="minorEastAsia" w:hAnsiTheme="minorHAnsi" w:cstheme="minorBidi"/>
          <w:caps w:val="0"/>
          <w:kern w:val="2"/>
          <w:szCs w:val="24"/>
          <w14:ligatures w14:val="standardContextual"/>
        </w:rPr>
      </w:pPr>
      <w:hyperlink w:anchor="_Toc184385715" w:history="1">
        <w:r w:rsidRPr="002223B2">
          <w:rPr>
            <w:rStyle w:val="Hyperlink"/>
          </w:rPr>
          <w:t>III.</w:t>
        </w:r>
        <w:r>
          <w:rPr>
            <w:rFonts w:asciiTheme="minorHAnsi" w:eastAsiaTheme="minorEastAsia" w:hAnsiTheme="minorHAnsi" w:cstheme="minorBidi"/>
            <w:caps w:val="0"/>
            <w:kern w:val="2"/>
            <w:szCs w:val="24"/>
            <w14:ligatures w14:val="standardContextual"/>
          </w:rPr>
          <w:tab/>
        </w:r>
        <w:r w:rsidRPr="002223B2">
          <w:rPr>
            <w:rStyle w:val="Hyperlink"/>
          </w:rPr>
          <w:t>DATA TABLES</w:t>
        </w:r>
        <w:r>
          <w:rPr>
            <w:webHidden/>
          </w:rPr>
          <w:tab/>
        </w:r>
        <w:r>
          <w:rPr>
            <w:webHidden/>
          </w:rPr>
          <w:fldChar w:fldCharType="begin"/>
        </w:r>
        <w:r>
          <w:rPr>
            <w:webHidden/>
          </w:rPr>
          <w:instrText xml:space="preserve"> PAGEREF _Toc184385715 \h </w:instrText>
        </w:r>
        <w:r>
          <w:rPr>
            <w:webHidden/>
          </w:rPr>
        </w:r>
        <w:r>
          <w:rPr>
            <w:webHidden/>
          </w:rPr>
          <w:fldChar w:fldCharType="separate"/>
        </w:r>
        <w:r>
          <w:rPr>
            <w:webHidden/>
          </w:rPr>
          <w:t>8</w:t>
        </w:r>
        <w:r>
          <w:rPr>
            <w:webHidden/>
          </w:rPr>
          <w:fldChar w:fldCharType="end"/>
        </w:r>
      </w:hyperlink>
    </w:p>
    <w:p w14:paraId="72473830" w14:textId="0160937C" w:rsidR="00BE7DCF" w:rsidRDefault="00BE7DCF">
      <w:pPr>
        <w:pStyle w:val="TOC2"/>
        <w:tabs>
          <w:tab w:val="left" w:pos="1440"/>
        </w:tabs>
        <w:rPr>
          <w:rFonts w:asciiTheme="minorHAnsi" w:hAnsiTheme="minorHAnsi"/>
        </w:rPr>
      </w:pPr>
      <w:hyperlink w:anchor="_Toc184385716" w:history="1">
        <w:r w:rsidRPr="002223B2">
          <w:rPr>
            <w:rStyle w:val="Hyperlink"/>
          </w:rPr>
          <w:t>A.</w:t>
        </w:r>
        <w:r>
          <w:rPr>
            <w:rFonts w:asciiTheme="minorHAnsi" w:hAnsiTheme="minorHAnsi"/>
          </w:rPr>
          <w:tab/>
        </w:r>
        <w:r w:rsidRPr="002223B2">
          <w:rPr>
            <w:rStyle w:val="Hyperlink"/>
          </w:rPr>
          <w:t>Energy Safety should require practical and accessible data formats in the Draft 2026-2028 WMP Guidelines.</w:t>
        </w:r>
        <w:r>
          <w:rPr>
            <w:webHidden/>
          </w:rPr>
          <w:tab/>
        </w:r>
        <w:r>
          <w:rPr>
            <w:webHidden/>
          </w:rPr>
          <w:fldChar w:fldCharType="begin"/>
        </w:r>
        <w:r>
          <w:rPr>
            <w:webHidden/>
          </w:rPr>
          <w:instrText xml:space="preserve"> PAGEREF _Toc184385716 \h </w:instrText>
        </w:r>
        <w:r>
          <w:rPr>
            <w:webHidden/>
          </w:rPr>
        </w:r>
        <w:r>
          <w:rPr>
            <w:webHidden/>
          </w:rPr>
          <w:fldChar w:fldCharType="separate"/>
        </w:r>
        <w:r>
          <w:rPr>
            <w:webHidden/>
          </w:rPr>
          <w:t>8</w:t>
        </w:r>
        <w:r>
          <w:rPr>
            <w:webHidden/>
          </w:rPr>
          <w:fldChar w:fldCharType="end"/>
        </w:r>
      </w:hyperlink>
    </w:p>
    <w:p w14:paraId="31437988" w14:textId="3BFE66E8"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17" w:history="1">
        <w:r w:rsidRPr="002223B2">
          <w:rPr>
            <w:rStyle w:val="Hyperlink"/>
          </w:rPr>
          <w:t>1.</w:t>
        </w:r>
        <w:r>
          <w:rPr>
            <w:rFonts w:asciiTheme="minorHAnsi" w:eastAsiaTheme="minorEastAsia" w:hAnsiTheme="minorHAnsi" w:cstheme="minorBidi"/>
            <w:kern w:val="2"/>
            <w:szCs w:val="24"/>
            <w14:ligatures w14:val="standardContextual"/>
          </w:rPr>
          <w:tab/>
        </w:r>
        <w:r w:rsidRPr="002223B2">
          <w:rPr>
            <w:rStyle w:val="Hyperlink"/>
          </w:rPr>
          <w:t>Energy Safety should provide explicit guidance on accessible data file formats.</w:t>
        </w:r>
        <w:r>
          <w:rPr>
            <w:webHidden/>
          </w:rPr>
          <w:tab/>
        </w:r>
        <w:r>
          <w:rPr>
            <w:webHidden/>
          </w:rPr>
          <w:fldChar w:fldCharType="begin"/>
        </w:r>
        <w:r>
          <w:rPr>
            <w:webHidden/>
          </w:rPr>
          <w:instrText xml:space="preserve"> PAGEREF _Toc184385717 \h </w:instrText>
        </w:r>
        <w:r>
          <w:rPr>
            <w:webHidden/>
          </w:rPr>
        </w:r>
        <w:r>
          <w:rPr>
            <w:webHidden/>
          </w:rPr>
          <w:fldChar w:fldCharType="separate"/>
        </w:r>
        <w:r>
          <w:rPr>
            <w:webHidden/>
          </w:rPr>
          <w:t>8</w:t>
        </w:r>
        <w:r>
          <w:rPr>
            <w:webHidden/>
          </w:rPr>
          <w:fldChar w:fldCharType="end"/>
        </w:r>
      </w:hyperlink>
    </w:p>
    <w:p w14:paraId="049A260F" w14:textId="5603FE1A"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18" w:history="1">
        <w:r w:rsidRPr="002223B2">
          <w:rPr>
            <w:rStyle w:val="Hyperlink"/>
          </w:rPr>
          <w:t>2.</w:t>
        </w:r>
        <w:r>
          <w:rPr>
            <w:rFonts w:asciiTheme="minorHAnsi" w:eastAsiaTheme="minorEastAsia" w:hAnsiTheme="minorHAnsi" w:cstheme="minorBidi"/>
            <w:kern w:val="2"/>
            <w:szCs w:val="24"/>
            <w14:ligatures w14:val="standardContextual"/>
          </w:rPr>
          <w:tab/>
        </w:r>
        <w:r w:rsidRPr="002223B2">
          <w:rPr>
            <w:rStyle w:val="Hyperlink"/>
          </w:rPr>
          <w:t>Energy Safety should require the provision of raw data to support graphs, maps, and figures.</w:t>
        </w:r>
        <w:r>
          <w:rPr>
            <w:webHidden/>
          </w:rPr>
          <w:tab/>
        </w:r>
        <w:r>
          <w:rPr>
            <w:webHidden/>
          </w:rPr>
          <w:fldChar w:fldCharType="begin"/>
        </w:r>
        <w:r>
          <w:rPr>
            <w:webHidden/>
          </w:rPr>
          <w:instrText xml:space="preserve"> PAGEREF _Toc184385718 \h </w:instrText>
        </w:r>
        <w:r>
          <w:rPr>
            <w:webHidden/>
          </w:rPr>
        </w:r>
        <w:r>
          <w:rPr>
            <w:webHidden/>
          </w:rPr>
          <w:fldChar w:fldCharType="separate"/>
        </w:r>
        <w:r>
          <w:rPr>
            <w:webHidden/>
          </w:rPr>
          <w:t>9</w:t>
        </w:r>
        <w:r>
          <w:rPr>
            <w:webHidden/>
          </w:rPr>
          <w:fldChar w:fldCharType="end"/>
        </w:r>
      </w:hyperlink>
    </w:p>
    <w:p w14:paraId="28B2C426" w14:textId="2DC0549D"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19" w:history="1">
        <w:r w:rsidRPr="002223B2">
          <w:rPr>
            <w:rStyle w:val="Hyperlink"/>
          </w:rPr>
          <w:t>3.</w:t>
        </w:r>
        <w:r>
          <w:rPr>
            <w:rFonts w:asciiTheme="minorHAnsi" w:eastAsiaTheme="minorEastAsia" w:hAnsiTheme="minorHAnsi" w:cstheme="minorBidi"/>
            <w:kern w:val="2"/>
            <w:szCs w:val="24"/>
            <w14:ligatures w14:val="standardContextual"/>
          </w:rPr>
          <w:tab/>
        </w:r>
        <w:r w:rsidRPr="002223B2">
          <w:rPr>
            <w:rStyle w:val="Hyperlink"/>
          </w:rPr>
          <w:t>Energy Safety should include a requirement for detailed footnotes or metadata.</w:t>
        </w:r>
        <w:r>
          <w:rPr>
            <w:webHidden/>
          </w:rPr>
          <w:tab/>
        </w:r>
        <w:r>
          <w:rPr>
            <w:webHidden/>
          </w:rPr>
          <w:fldChar w:fldCharType="begin"/>
        </w:r>
        <w:r>
          <w:rPr>
            <w:webHidden/>
          </w:rPr>
          <w:instrText xml:space="preserve"> PAGEREF _Toc184385719 \h </w:instrText>
        </w:r>
        <w:r>
          <w:rPr>
            <w:webHidden/>
          </w:rPr>
        </w:r>
        <w:r>
          <w:rPr>
            <w:webHidden/>
          </w:rPr>
          <w:fldChar w:fldCharType="separate"/>
        </w:r>
        <w:r>
          <w:rPr>
            <w:webHidden/>
          </w:rPr>
          <w:t>9</w:t>
        </w:r>
        <w:r>
          <w:rPr>
            <w:webHidden/>
          </w:rPr>
          <w:fldChar w:fldCharType="end"/>
        </w:r>
      </w:hyperlink>
    </w:p>
    <w:p w14:paraId="6D1BB035" w14:textId="2E997B9C" w:rsidR="00BE7DCF" w:rsidRDefault="00BE7DCF">
      <w:pPr>
        <w:pStyle w:val="TOC2"/>
        <w:tabs>
          <w:tab w:val="left" w:pos="1440"/>
        </w:tabs>
        <w:rPr>
          <w:rFonts w:asciiTheme="minorHAnsi" w:hAnsiTheme="minorHAnsi"/>
        </w:rPr>
      </w:pPr>
      <w:hyperlink w:anchor="_Toc184385720" w:history="1">
        <w:r w:rsidRPr="002223B2">
          <w:rPr>
            <w:rStyle w:val="Hyperlink"/>
          </w:rPr>
          <w:t>B.</w:t>
        </w:r>
        <w:r>
          <w:rPr>
            <w:rFonts w:asciiTheme="minorHAnsi" w:hAnsiTheme="minorHAnsi"/>
          </w:rPr>
          <w:tab/>
        </w:r>
        <w:r w:rsidRPr="002223B2">
          <w:rPr>
            <w:rStyle w:val="Hyperlink"/>
          </w:rPr>
          <w:t>Energy Safety should refine Table 3-1 for clearer risk prioritization.</w:t>
        </w:r>
        <w:r>
          <w:rPr>
            <w:webHidden/>
          </w:rPr>
          <w:tab/>
        </w:r>
        <w:r>
          <w:rPr>
            <w:webHidden/>
          </w:rPr>
          <w:fldChar w:fldCharType="begin"/>
        </w:r>
        <w:r>
          <w:rPr>
            <w:webHidden/>
          </w:rPr>
          <w:instrText xml:space="preserve"> PAGEREF _Toc184385720 \h </w:instrText>
        </w:r>
        <w:r>
          <w:rPr>
            <w:webHidden/>
          </w:rPr>
        </w:r>
        <w:r>
          <w:rPr>
            <w:webHidden/>
          </w:rPr>
          <w:fldChar w:fldCharType="separate"/>
        </w:r>
        <w:r>
          <w:rPr>
            <w:webHidden/>
          </w:rPr>
          <w:t>10</w:t>
        </w:r>
        <w:r>
          <w:rPr>
            <w:webHidden/>
          </w:rPr>
          <w:fldChar w:fldCharType="end"/>
        </w:r>
      </w:hyperlink>
    </w:p>
    <w:p w14:paraId="5A43C941" w14:textId="5F264EF2"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1" w:history="1">
        <w:r w:rsidRPr="002223B2">
          <w:rPr>
            <w:rStyle w:val="Hyperlink"/>
          </w:rPr>
          <w:t>1.</w:t>
        </w:r>
        <w:r>
          <w:rPr>
            <w:rFonts w:asciiTheme="minorHAnsi" w:eastAsiaTheme="minorEastAsia" w:hAnsiTheme="minorHAnsi" w:cstheme="minorBidi"/>
            <w:kern w:val="2"/>
            <w:szCs w:val="24"/>
            <w14:ligatures w14:val="standardContextual"/>
          </w:rPr>
          <w:tab/>
        </w:r>
        <w:r w:rsidRPr="002223B2">
          <w:rPr>
            <w:rStyle w:val="Hyperlink"/>
          </w:rPr>
          <w:t>Energy Safety should require sequential ordering of risks by priority.</w:t>
        </w:r>
        <w:r>
          <w:rPr>
            <w:webHidden/>
          </w:rPr>
          <w:tab/>
        </w:r>
        <w:r>
          <w:rPr>
            <w:webHidden/>
          </w:rPr>
          <w:fldChar w:fldCharType="begin"/>
        </w:r>
        <w:r>
          <w:rPr>
            <w:webHidden/>
          </w:rPr>
          <w:instrText xml:space="preserve"> PAGEREF _Toc184385721 \h </w:instrText>
        </w:r>
        <w:r>
          <w:rPr>
            <w:webHidden/>
          </w:rPr>
        </w:r>
        <w:r>
          <w:rPr>
            <w:webHidden/>
          </w:rPr>
          <w:fldChar w:fldCharType="separate"/>
        </w:r>
        <w:r>
          <w:rPr>
            <w:webHidden/>
          </w:rPr>
          <w:t>11</w:t>
        </w:r>
        <w:r>
          <w:rPr>
            <w:webHidden/>
          </w:rPr>
          <w:fldChar w:fldCharType="end"/>
        </w:r>
      </w:hyperlink>
    </w:p>
    <w:p w14:paraId="758CA0F2" w14:textId="21EA8FC2"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2" w:history="1">
        <w:r w:rsidRPr="002223B2">
          <w:rPr>
            <w:rStyle w:val="Hyperlink"/>
          </w:rPr>
          <w:t>2.</w:t>
        </w:r>
        <w:r>
          <w:rPr>
            <w:rFonts w:asciiTheme="minorHAnsi" w:eastAsiaTheme="minorEastAsia" w:hAnsiTheme="minorHAnsi" w:cstheme="minorBidi"/>
            <w:kern w:val="2"/>
            <w:szCs w:val="24"/>
            <w14:ligatures w14:val="standardContextual"/>
          </w:rPr>
          <w:tab/>
        </w:r>
        <w:r w:rsidRPr="002223B2">
          <w:rPr>
            <w:rStyle w:val="Hyperlink"/>
          </w:rPr>
          <w:t>Energy Safety should require utilities to provide outage data.</w:t>
        </w:r>
        <w:r>
          <w:rPr>
            <w:webHidden/>
          </w:rPr>
          <w:tab/>
        </w:r>
        <w:r>
          <w:rPr>
            <w:webHidden/>
          </w:rPr>
          <w:fldChar w:fldCharType="begin"/>
        </w:r>
        <w:r>
          <w:rPr>
            <w:webHidden/>
          </w:rPr>
          <w:instrText xml:space="preserve"> PAGEREF _Toc184385722 \h </w:instrText>
        </w:r>
        <w:r>
          <w:rPr>
            <w:webHidden/>
          </w:rPr>
        </w:r>
        <w:r>
          <w:rPr>
            <w:webHidden/>
          </w:rPr>
          <w:fldChar w:fldCharType="separate"/>
        </w:r>
        <w:r>
          <w:rPr>
            <w:webHidden/>
          </w:rPr>
          <w:t>11</w:t>
        </w:r>
        <w:r>
          <w:rPr>
            <w:webHidden/>
          </w:rPr>
          <w:fldChar w:fldCharType="end"/>
        </w:r>
      </w:hyperlink>
    </w:p>
    <w:p w14:paraId="2F07580E" w14:textId="49EB9954"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3" w:history="1">
        <w:r w:rsidRPr="002223B2">
          <w:rPr>
            <w:rStyle w:val="Hyperlink"/>
          </w:rPr>
          <w:t>3.</w:t>
        </w:r>
        <w:r>
          <w:rPr>
            <w:rFonts w:asciiTheme="minorHAnsi" w:eastAsiaTheme="minorEastAsia" w:hAnsiTheme="minorHAnsi" w:cstheme="minorBidi"/>
            <w:kern w:val="2"/>
            <w:szCs w:val="24"/>
            <w14:ligatures w14:val="standardContextual"/>
          </w:rPr>
          <w:tab/>
        </w:r>
        <w:r w:rsidRPr="002223B2">
          <w:rPr>
            <w:rStyle w:val="Hyperlink"/>
          </w:rPr>
          <w:t>Energy Safety should define timeframes for data consistency.</w:t>
        </w:r>
        <w:r>
          <w:rPr>
            <w:webHidden/>
          </w:rPr>
          <w:tab/>
        </w:r>
        <w:r>
          <w:rPr>
            <w:webHidden/>
          </w:rPr>
          <w:fldChar w:fldCharType="begin"/>
        </w:r>
        <w:r>
          <w:rPr>
            <w:webHidden/>
          </w:rPr>
          <w:instrText xml:space="preserve"> PAGEREF _Toc184385723 \h </w:instrText>
        </w:r>
        <w:r>
          <w:rPr>
            <w:webHidden/>
          </w:rPr>
        </w:r>
        <w:r>
          <w:rPr>
            <w:webHidden/>
          </w:rPr>
          <w:fldChar w:fldCharType="separate"/>
        </w:r>
        <w:r>
          <w:rPr>
            <w:webHidden/>
          </w:rPr>
          <w:t>11</w:t>
        </w:r>
        <w:r>
          <w:rPr>
            <w:webHidden/>
          </w:rPr>
          <w:fldChar w:fldCharType="end"/>
        </w:r>
      </w:hyperlink>
    </w:p>
    <w:p w14:paraId="47C9D98B" w14:textId="1C2547B9" w:rsidR="00BE7DCF" w:rsidRDefault="00BE7DCF">
      <w:pPr>
        <w:pStyle w:val="TOC2"/>
        <w:tabs>
          <w:tab w:val="left" w:pos="1440"/>
        </w:tabs>
        <w:rPr>
          <w:rFonts w:asciiTheme="minorHAnsi" w:hAnsiTheme="minorHAnsi"/>
        </w:rPr>
      </w:pPr>
      <w:hyperlink w:anchor="_Toc184385724" w:history="1">
        <w:r w:rsidRPr="002223B2">
          <w:rPr>
            <w:rStyle w:val="Hyperlink"/>
          </w:rPr>
          <w:t>C.</w:t>
        </w:r>
        <w:r>
          <w:rPr>
            <w:rFonts w:asciiTheme="minorHAnsi" w:hAnsiTheme="minorHAnsi"/>
          </w:rPr>
          <w:tab/>
        </w:r>
        <w:r w:rsidRPr="002223B2">
          <w:rPr>
            <w:rStyle w:val="Hyperlink"/>
          </w:rPr>
          <w:t>Energy Safety should enhance reporting on wildfire history in Table 4-2.</w:t>
        </w:r>
        <w:r>
          <w:rPr>
            <w:webHidden/>
          </w:rPr>
          <w:tab/>
        </w:r>
        <w:r>
          <w:rPr>
            <w:webHidden/>
          </w:rPr>
          <w:fldChar w:fldCharType="begin"/>
        </w:r>
        <w:r>
          <w:rPr>
            <w:webHidden/>
          </w:rPr>
          <w:instrText xml:space="preserve"> PAGEREF _Toc184385724 \h </w:instrText>
        </w:r>
        <w:r>
          <w:rPr>
            <w:webHidden/>
          </w:rPr>
        </w:r>
        <w:r>
          <w:rPr>
            <w:webHidden/>
          </w:rPr>
          <w:fldChar w:fldCharType="separate"/>
        </w:r>
        <w:r>
          <w:rPr>
            <w:webHidden/>
          </w:rPr>
          <w:t>12</w:t>
        </w:r>
        <w:r>
          <w:rPr>
            <w:webHidden/>
          </w:rPr>
          <w:fldChar w:fldCharType="end"/>
        </w:r>
      </w:hyperlink>
    </w:p>
    <w:p w14:paraId="25AB75C6" w14:textId="19FF17B3"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5" w:history="1">
        <w:r w:rsidRPr="002223B2">
          <w:rPr>
            <w:rStyle w:val="Hyperlink"/>
          </w:rPr>
          <w:t>1.</w:t>
        </w:r>
        <w:r>
          <w:rPr>
            <w:rFonts w:asciiTheme="minorHAnsi" w:eastAsiaTheme="minorEastAsia" w:hAnsiTheme="minorHAnsi" w:cstheme="minorBidi"/>
            <w:kern w:val="2"/>
            <w:szCs w:val="24"/>
            <w14:ligatures w14:val="standardContextual"/>
          </w:rPr>
          <w:tab/>
        </w:r>
        <w:r w:rsidRPr="002223B2">
          <w:rPr>
            <w:rStyle w:val="Hyperlink"/>
          </w:rPr>
          <w:t>Energy Safety should require utilities to provide geospatial data on smaller fires.</w:t>
        </w:r>
        <w:r>
          <w:rPr>
            <w:webHidden/>
          </w:rPr>
          <w:tab/>
        </w:r>
        <w:r>
          <w:rPr>
            <w:webHidden/>
          </w:rPr>
          <w:fldChar w:fldCharType="begin"/>
        </w:r>
        <w:r>
          <w:rPr>
            <w:webHidden/>
          </w:rPr>
          <w:instrText xml:space="preserve"> PAGEREF _Toc184385725 \h </w:instrText>
        </w:r>
        <w:r>
          <w:rPr>
            <w:webHidden/>
          </w:rPr>
        </w:r>
        <w:r>
          <w:rPr>
            <w:webHidden/>
          </w:rPr>
          <w:fldChar w:fldCharType="separate"/>
        </w:r>
        <w:r>
          <w:rPr>
            <w:webHidden/>
          </w:rPr>
          <w:t>12</w:t>
        </w:r>
        <w:r>
          <w:rPr>
            <w:webHidden/>
          </w:rPr>
          <w:fldChar w:fldCharType="end"/>
        </w:r>
      </w:hyperlink>
    </w:p>
    <w:p w14:paraId="3DD20353" w14:textId="3EADA03C"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6" w:history="1">
        <w:r w:rsidRPr="002223B2">
          <w:rPr>
            <w:rStyle w:val="Hyperlink"/>
          </w:rPr>
          <w:t>2.</w:t>
        </w:r>
        <w:r>
          <w:rPr>
            <w:rFonts w:asciiTheme="minorHAnsi" w:eastAsiaTheme="minorEastAsia" w:hAnsiTheme="minorHAnsi" w:cstheme="minorBidi"/>
            <w:kern w:val="2"/>
            <w:szCs w:val="24"/>
            <w14:ligatures w14:val="standardContextual"/>
          </w:rPr>
          <w:tab/>
        </w:r>
        <w:r w:rsidRPr="002223B2">
          <w:rPr>
            <w:rStyle w:val="Hyperlink"/>
          </w:rPr>
          <w:t>Energy Safety should require utilities to identify the causes of all utility-related wildfires in their territories, not just catastrophic ones.</w:t>
        </w:r>
        <w:r>
          <w:rPr>
            <w:webHidden/>
          </w:rPr>
          <w:tab/>
        </w:r>
        <w:r>
          <w:rPr>
            <w:webHidden/>
          </w:rPr>
          <w:fldChar w:fldCharType="begin"/>
        </w:r>
        <w:r>
          <w:rPr>
            <w:webHidden/>
          </w:rPr>
          <w:instrText xml:space="preserve"> PAGEREF _Toc184385726 \h </w:instrText>
        </w:r>
        <w:r>
          <w:rPr>
            <w:webHidden/>
          </w:rPr>
        </w:r>
        <w:r>
          <w:rPr>
            <w:webHidden/>
          </w:rPr>
          <w:fldChar w:fldCharType="separate"/>
        </w:r>
        <w:r>
          <w:rPr>
            <w:webHidden/>
          </w:rPr>
          <w:t>13</w:t>
        </w:r>
        <w:r>
          <w:rPr>
            <w:webHidden/>
          </w:rPr>
          <w:fldChar w:fldCharType="end"/>
        </w:r>
      </w:hyperlink>
    </w:p>
    <w:p w14:paraId="3CD64B30" w14:textId="08A5C61D" w:rsidR="00BE7DCF" w:rsidRDefault="00BE7DCF">
      <w:pPr>
        <w:pStyle w:val="TOC2"/>
        <w:tabs>
          <w:tab w:val="left" w:pos="1440"/>
        </w:tabs>
        <w:rPr>
          <w:rFonts w:asciiTheme="minorHAnsi" w:hAnsiTheme="minorHAnsi"/>
        </w:rPr>
      </w:pPr>
      <w:hyperlink w:anchor="_Toc184385727" w:history="1">
        <w:r w:rsidRPr="002223B2">
          <w:rPr>
            <w:rStyle w:val="Hyperlink"/>
          </w:rPr>
          <w:t>D.</w:t>
        </w:r>
        <w:r>
          <w:rPr>
            <w:rFonts w:asciiTheme="minorHAnsi" w:hAnsiTheme="minorHAnsi"/>
          </w:rPr>
          <w:tab/>
        </w:r>
        <w:r w:rsidRPr="002223B2">
          <w:rPr>
            <w:rStyle w:val="Hyperlink"/>
          </w:rPr>
          <w:t>Energy Safety should require utilities to provide detail about corrective actions in Table 4-3.</w:t>
        </w:r>
        <w:r>
          <w:rPr>
            <w:webHidden/>
          </w:rPr>
          <w:tab/>
        </w:r>
        <w:r>
          <w:rPr>
            <w:webHidden/>
          </w:rPr>
          <w:fldChar w:fldCharType="begin"/>
        </w:r>
        <w:r>
          <w:rPr>
            <w:webHidden/>
          </w:rPr>
          <w:instrText xml:space="preserve"> PAGEREF _Toc184385727 \h </w:instrText>
        </w:r>
        <w:r>
          <w:rPr>
            <w:webHidden/>
          </w:rPr>
        </w:r>
        <w:r>
          <w:rPr>
            <w:webHidden/>
          </w:rPr>
          <w:fldChar w:fldCharType="separate"/>
        </w:r>
        <w:r>
          <w:rPr>
            <w:webHidden/>
          </w:rPr>
          <w:t>13</w:t>
        </w:r>
        <w:r>
          <w:rPr>
            <w:webHidden/>
          </w:rPr>
          <w:fldChar w:fldCharType="end"/>
        </w:r>
      </w:hyperlink>
    </w:p>
    <w:p w14:paraId="040F4795" w14:textId="47F55F4D"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8" w:history="1">
        <w:r w:rsidRPr="002223B2">
          <w:rPr>
            <w:rStyle w:val="Hyperlink"/>
          </w:rPr>
          <w:t>1.</w:t>
        </w:r>
        <w:r>
          <w:rPr>
            <w:rFonts w:asciiTheme="minorHAnsi" w:eastAsiaTheme="minorEastAsia" w:hAnsiTheme="minorHAnsi" w:cstheme="minorBidi"/>
            <w:kern w:val="2"/>
            <w:szCs w:val="24"/>
            <w14:ligatures w14:val="standardContextual"/>
          </w:rPr>
          <w:tab/>
        </w:r>
        <w:r w:rsidRPr="002223B2">
          <w:rPr>
            <w:rStyle w:val="Hyperlink"/>
          </w:rPr>
          <w:t>Energy Safety should link corrective actions to lessons.</w:t>
        </w:r>
        <w:r>
          <w:rPr>
            <w:webHidden/>
          </w:rPr>
          <w:tab/>
        </w:r>
        <w:r>
          <w:rPr>
            <w:webHidden/>
          </w:rPr>
          <w:fldChar w:fldCharType="begin"/>
        </w:r>
        <w:r>
          <w:rPr>
            <w:webHidden/>
          </w:rPr>
          <w:instrText xml:space="preserve"> PAGEREF _Toc184385728 \h </w:instrText>
        </w:r>
        <w:r>
          <w:rPr>
            <w:webHidden/>
          </w:rPr>
        </w:r>
        <w:r>
          <w:rPr>
            <w:webHidden/>
          </w:rPr>
          <w:fldChar w:fldCharType="separate"/>
        </w:r>
        <w:r>
          <w:rPr>
            <w:webHidden/>
          </w:rPr>
          <w:t>14</w:t>
        </w:r>
        <w:r>
          <w:rPr>
            <w:webHidden/>
          </w:rPr>
          <w:fldChar w:fldCharType="end"/>
        </w:r>
      </w:hyperlink>
    </w:p>
    <w:p w14:paraId="5939DC1F" w14:textId="40243473" w:rsidR="00BE7DCF" w:rsidRDefault="00BE7DCF">
      <w:pPr>
        <w:pStyle w:val="TOC3"/>
        <w:tabs>
          <w:tab w:val="left" w:pos="2160"/>
        </w:tabs>
        <w:rPr>
          <w:rFonts w:asciiTheme="minorHAnsi" w:eastAsiaTheme="minorEastAsia" w:hAnsiTheme="minorHAnsi" w:cstheme="minorBidi"/>
          <w:kern w:val="2"/>
          <w:szCs w:val="24"/>
          <w14:ligatures w14:val="standardContextual"/>
        </w:rPr>
      </w:pPr>
      <w:hyperlink w:anchor="_Toc184385729" w:history="1">
        <w:r w:rsidRPr="002223B2">
          <w:rPr>
            <w:rStyle w:val="Hyperlink"/>
          </w:rPr>
          <w:t>2.</w:t>
        </w:r>
        <w:r>
          <w:rPr>
            <w:rFonts w:asciiTheme="minorHAnsi" w:eastAsiaTheme="minorEastAsia" w:hAnsiTheme="minorHAnsi" w:cstheme="minorBidi"/>
            <w:kern w:val="2"/>
            <w:szCs w:val="24"/>
            <w14:ligatures w14:val="standardContextual"/>
          </w:rPr>
          <w:tab/>
        </w:r>
        <w:r w:rsidRPr="002223B2">
          <w:rPr>
            <w:rStyle w:val="Hyperlink"/>
          </w:rPr>
          <w:t>Energy Safety should establish timelines and progress updates for corrective actions.</w:t>
        </w:r>
        <w:r>
          <w:rPr>
            <w:webHidden/>
          </w:rPr>
          <w:tab/>
        </w:r>
        <w:r>
          <w:rPr>
            <w:webHidden/>
          </w:rPr>
          <w:fldChar w:fldCharType="begin"/>
        </w:r>
        <w:r>
          <w:rPr>
            <w:webHidden/>
          </w:rPr>
          <w:instrText xml:space="preserve"> PAGEREF _Toc184385729 \h </w:instrText>
        </w:r>
        <w:r>
          <w:rPr>
            <w:webHidden/>
          </w:rPr>
        </w:r>
        <w:r>
          <w:rPr>
            <w:webHidden/>
          </w:rPr>
          <w:fldChar w:fldCharType="separate"/>
        </w:r>
        <w:r>
          <w:rPr>
            <w:webHidden/>
          </w:rPr>
          <w:t>14</w:t>
        </w:r>
        <w:r>
          <w:rPr>
            <w:webHidden/>
          </w:rPr>
          <w:fldChar w:fldCharType="end"/>
        </w:r>
      </w:hyperlink>
    </w:p>
    <w:p w14:paraId="1BBE658F" w14:textId="3B2F3237" w:rsidR="00BE7DCF" w:rsidRDefault="00BE7DCF">
      <w:pPr>
        <w:pStyle w:val="TOC1"/>
        <w:rPr>
          <w:rFonts w:asciiTheme="minorHAnsi" w:eastAsiaTheme="minorEastAsia" w:hAnsiTheme="minorHAnsi" w:cstheme="minorBidi"/>
          <w:caps w:val="0"/>
          <w:kern w:val="2"/>
          <w:szCs w:val="24"/>
          <w14:ligatures w14:val="standardContextual"/>
        </w:rPr>
      </w:pPr>
      <w:hyperlink w:anchor="_Toc184385730" w:history="1">
        <w:r w:rsidRPr="002223B2">
          <w:rPr>
            <w:rStyle w:val="Hyperlink"/>
          </w:rPr>
          <w:t>IV.</w:t>
        </w:r>
        <w:r>
          <w:rPr>
            <w:rFonts w:asciiTheme="minorHAnsi" w:eastAsiaTheme="minorEastAsia" w:hAnsiTheme="minorHAnsi" w:cstheme="minorBidi"/>
            <w:caps w:val="0"/>
            <w:kern w:val="2"/>
            <w:szCs w:val="24"/>
            <w14:ligatures w14:val="standardContextual"/>
          </w:rPr>
          <w:tab/>
        </w:r>
        <w:r w:rsidRPr="002223B2">
          <w:rPr>
            <w:rStyle w:val="Hyperlink"/>
          </w:rPr>
          <w:t>PROCEDURAL and scheduling ISSUES</w:t>
        </w:r>
        <w:r>
          <w:rPr>
            <w:webHidden/>
          </w:rPr>
          <w:tab/>
        </w:r>
        <w:r>
          <w:rPr>
            <w:webHidden/>
          </w:rPr>
          <w:fldChar w:fldCharType="begin"/>
        </w:r>
        <w:r>
          <w:rPr>
            <w:webHidden/>
          </w:rPr>
          <w:instrText xml:space="preserve"> PAGEREF _Toc184385730 \h </w:instrText>
        </w:r>
        <w:r>
          <w:rPr>
            <w:webHidden/>
          </w:rPr>
        </w:r>
        <w:r>
          <w:rPr>
            <w:webHidden/>
          </w:rPr>
          <w:fldChar w:fldCharType="separate"/>
        </w:r>
        <w:r>
          <w:rPr>
            <w:webHidden/>
          </w:rPr>
          <w:t>14</w:t>
        </w:r>
        <w:r>
          <w:rPr>
            <w:webHidden/>
          </w:rPr>
          <w:fldChar w:fldCharType="end"/>
        </w:r>
      </w:hyperlink>
    </w:p>
    <w:p w14:paraId="724ADFAF" w14:textId="61F96B1F" w:rsidR="00BE7DCF" w:rsidRDefault="00BE7DCF">
      <w:pPr>
        <w:pStyle w:val="TOC2"/>
        <w:tabs>
          <w:tab w:val="left" w:pos="1440"/>
        </w:tabs>
        <w:rPr>
          <w:rFonts w:asciiTheme="minorHAnsi" w:hAnsiTheme="minorHAnsi"/>
        </w:rPr>
      </w:pPr>
      <w:hyperlink w:anchor="_Toc184385731" w:history="1">
        <w:r w:rsidRPr="002223B2">
          <w:rPr>
            <w:rStyle w:val="Hyperlink"/>
          </w:rPr>
          <w:t>A.</w:t>
        </w:r>
        <w:r>
          <w:rPr>
            <w:rFonts w:asciiTheme="minorHAnsi" w:hAnsiTheme="minorHAnsi"/>
          </w:rPr>
          <w:tab/>
        </w:r>
        <w:r w:rsidRPr="002223B2">
          <w:rPr>
            <w:rStyle w:val="Hyperlink"/>
          </w:rPr>
          <w:t>Energy Safety should direct PG&amp;E, PacifiCorp, and Liberty to submit comprehensive WMPs in 2025, and require SCE, SDG&amp;E, and BVES to submit WMP Updates.</w:t>
        </w:r>
        <w:r>
          <w:rPr>
            <w:webHidden/>
          </w:rPr>
          <w:tab/>
        </w:r>
        <w:r>
          <w:rPr>
            <w:webHidden/>
          </w:rPr>
          <w:fldChar w:fldCharType="begin"/>
        </w:r>
        <w:r>
          <w:rPr>
            <w:webHidden/>
          </w:rPr>
          <w:instrText xml:space="preserve"> PAGEREF _Toc184385731 \h </w:instrText>
        </w:r>
        <w:r>
          <w:rPr>
            <w:webHidden/>
          </w:rPr>
        </w:r>
        <w:r>
          <w:rPr>
            <w:webHidden/>
          </w:rPr>
          <w:fldChar w:fldCharType="separate"/>
        </w:r>
        <w:r>
          <w:rPr>
            <w:webHidden/>
          </w:rPr>
          <w:t>15</w:t>
        </w:r>
        <w:r>
          <w:rPr>
            <w:webHidden/>
          </w:rPr>
          <w:fldChar w:fldCharType="end"/>
        </w:r>
      </w:hyperlink>
    </w:p>
    <w:p w14:paraId="3D743A61" w14:textId="7B787C09" w:rsidR="00BE7DCF" w:rsidRDefault="00BE7DCF">
      <w:pPr>
        <w:pStyle w:val="TOC2"/>
        <w:tabs>
          <w:tab w:val="left" w:pos="1440"/>
        </w:tabs>
        <w:rPr>
          <w:rFonts w:asciiTheme="minorHAnsi" w:hAnsiTheme="minorHAnsi"/>
        </w:rPr>
      </w:pPr>
      <w:hyperlink w:anchor="_Toc184385732" w:history="1">
        <w:r w:rsidRPr="002223B2">
          <w:rPr>
            <w:rStyle w:val="Hyperlink"/>
          </w:rPr>
          <w:t>B.</w:t>
        </w:r>
        <w:r>
          <w:rPr>
            <w:rFonts w:asciiTheme="minorHAnsi" w:hAnsiTheme="minorHAnsi"/>
          </w:rPr>
          <w:tab/>
        </w:r>
        <w:r w:rsidRPr="002223B2">
          <w:rPr>
            <w:rStyle w:val="Hyperlink"/>
          </w:rPr>
          <w:t>Energy Safety should work with the CPUC to require alignment between the cost-accounting used in GRCs and WMPs.</w:t>
        </w:r>
        <w:r>
          <w:rPr>
            <w:webHidden/>
          </w:rPr>
          <w:tab/>
        </w:r>
        <w:r>
          <w:rPr>
            <w:webHidden/>
          </w:rPr>
          <w:fldChar w:fldCharType="begin"/>
        </w:r>
        <w:r>
          <w:rPr>
            <w:webHidden/>
          </w:rPr>
          <w:instrText xml:space="preserve"> PAGEREF _Toc184385732 \h </w:instrText>
        </w:r>
        <w:r>
          <w:rPr>
            <w:webHidden/>
          </w:rPr>
        </w:r>
        <w:r>
          <w:rPr>
            <w:webHidden/>
          </w:rPr>
          <w:fldChar w:fldCharType="separate"/>
        </w:r>
        <w:r>
          <w:rPr>
            <w:webHidden/>
          </w:rPr>
          <w:t>17</w:t>
        </w:r>
        <w:r>
          <w:rPr>
            <w:webHidden/>
          </w:rPr>
          <w:fldChar w:fldCharType="end"/>
        </w:r>
      </w:hyperlink>
    </w:p>
    <w:p w14:paraId="2EF0742E" w14:textId="14530059" w:rsidR="00BE7DCF" w:rsidRDefault="00BE7DCF">
      <w:pPr>
        <w:pStyle w:val="TOC1"/>
        <w:rPr>
          <w:rFonts w:asciiTheme="minorHAnsi" w:eastAsiaTheme="minorEastAsia" w:hAnsiTheme="minorHAnsi" w:cstheme="minorBidi"/>
          <w:caps w:val="0"/>
          <w:kern w:val="2"/>
          <w:szCs w:val="24"/>
          <w14:ligatures w14:val="standardContextual"/>
        </w:rPr>
      </w:pPr>
      <w:hyperlink w:anchor="_Toc184385733" w:history="1">
        <w:r w:rsidRPr="002223B2">
          <w:rPr>
            <w:rStyle w:val="Hyperlink"/>
          </w:rPr>
          <w:t>V.</w:t>
        </w:r>
        <w:r>
          <w:rPr>
            <w:rFonts w:asciiTheme="minorHAnsi" w:eastAsiaTheme="minorEastAsia" w:hAnsiTheme="minorHAnsi" w:cstheme="minorBidi"/>
            <w:caps w:val="0"/>
            <w:kern w:val="2"/>
            <w:szCs w:val="24"/>
            <w14:ligatures w14:val="standardContextual"/>
          </w:rPr>
          <w:tab/>
        </w:r>
        <w:r w:rsidRPr="002223B2">
          <w:rPr>
            <w:rStyle w:val="Hyperlink"/>
          </w:rPr>
          <w:t>CONCLUSION</w:t>
        </w:r>
        <w:r>
          <w:rPr>
            <w:webHidden/>
          </w:rPr>
          <w:tab/>
        </w:r>
        <w:r>
          <w:rPr>
            <w:webHidden/>
          </w:rPr>
          <w:fldChar w:fldCharType="begin"/>
        </w:r>
        <w:r>
          <w:rPr>
            <w:webHidden/>
          </w:rPr>
          <w:instrText xml:space="preserve"> PAGEREF _Toc184385733 \h </w:instrText>
        </w:r>
        <w:r>
          <w:rPr>
            <w:webHidden/>
          </w:rPr>
        </w:r>
        <w:r>
          <w:rPr>
            <w:webHidden/>
          </w:rPr>
          <w:fldChar w:fldCharType="separate"/>
        </w:r>
        <w:r>
          <w:rPr>
            <w:webHidden/>
          </w:rPr>
          <w:t>18</w:t>
        </w:r>
        <w:r>
          <w:rPr>
            <w:webHidden/>
          </w:rPr>
          <w:fldChar w:fldCharType="end"/>
        </w:r>
      </w:hyperlink>
    </w:p>
    <w:p w14:paraId="02887C2C" w14:textId="03022E67" w:rsidR="00C0067A" w:rsidRDefault="00C0067A" w:rsidP="00C0067A">
      <w:pPr>
        <w:pStyle w:val="BodyText"/>
        <w:ind w:firstLine="0"/>
      </w:pPr>
      <w:r>
        <w:fldChar w:fldCharType="end"/>
      </w:r>
      <w:r w:rsidR="00BE7DCF">
        <w:t>APPENDIX A</w:t>
      </w:r>
    </w:p>
    <w:p w14:paraId="6E308311" w14:textId="77777777" w:rsidR="00BE7DCF" w:rsidRDefault="00BE7DCF" w:rsidP="00C0067A">
      <w:pPr>
        <w:pStyle w:val="BodyText"/>
        <w:ind w:firstLine="0"/>
      </w:pPr>
    </w:p>
    <w:p w14:paraId="3301A529" w14:textId="0F3C05D3" w:rsidR="00C0067A" w:rsidRPr="00C0067A" w:rsidRDefault="00C0067A" w:rsidP="00C0067A">
      <w:pPr>
        <w:pStyle w:val="BodyText"/>
        <w:ind w:firstLine="0"/>
        <w:sectPr w:rsidR="00C0067A" w:rsidRPr="00C0067A" w:rsidSect="00F240DB">
          <w:headerReference w:type="default" r:id="rId18"/>
          <w:footerReference w:type="default" r:id="rId19"/>
          <w:pgSz w:w="12240" w:h="15840"/>
          <w:pgMar w:top="1440" w:right="1440" w:bottom="1440" w:left="1440" w:header="720" w:footer="720" w:gutter="0"/>
          <w:pgNumType w:fmt="lowerRoman" w:start="1"/>
          <w:cols w:space="720"/>
          <w:docGrid w:linePitch="360"/>
        </w:sectPr>
      </w:pPr>
    </w:p>
    <w:p w14:paraId="07B5255C" w14:textId="5F7F21AE" w:rsidR="002F7C71" w:rsidRPr="00BE7DCF" w:rsidRDefault="007E04D1" w:rsidP="00BE7DCF">
      <w:pPr>
        <w:pStyle w:val="Heading1"/>
      </w:pPr>
      <w:bookmarkStart w:id="1" w:name="_Toc184385705"/>
      <w:r w:rsidRPr="00BE7DCF">
        <w:lastRenderedPageBreak/>
        <w:t>INTRODUCTION</w:t>
      </w:r>
      <w:bookmarkEnd w:id="1"/>
    </w:p>
    <w:p w14:paraId="01BF2E6C" w14:textId="0C3D5B7D" w:rsidR="006D3A81" w:rsidRPr="006C42D5" w:rsidRDefault="006D3A81" w:rsidP="006C6C8D">
      <w:pPr>
        <w:pStyle w:val="BodyText"/>
      </w:pPr>
      <w:r w:rsidRPr="006C42D5">
        <w:t xml:space="preserve">On </w:t>
      </w:r>
      <w:r w:rsidR="00E95D89">
        <w:t>March</w:t>
      </w:r>
      <w:r w:rsidRPr="006C42D5">
        <w:t xml:space="preserve"> </w:t>
      </w:r>
      <w:r w:rsidR="00E95D89">
        <w:t>4</w:t>
      </w:r>
      <w:r w:rsidRPr="006C42D5">
        <w:t>, 202</w:t>
      </w:r>
      <w:r w:rsidR="00E95D89">
        <w:t>4</w:t>
      </w:r>
      <w:r w:rsidR="00DB7C3D" w:rsidRPr="006C42D5">
        <w:t>,</w:t>
      </w:r>
      <w:r w:rsidRPr="006C42D5">
        <w:t xml:space="preserve"> the Office of Energy Infrastructure Safety (Energy Safety) </w:t>
      </w:r>
      <w:r w:rsidR="00E95D89">
        <w:t>solicit</w:t>
      </w:r>
      <w:r w:rsidR="009344B1">
        <w:t>ed</w:t>
      </w:r>
      <w:r w:rsidR="00E95D89">
        <w:t xml:space="preserve"> public input on the ne</w:t>
      </w:r>
      <w:r w:rsidR="009344B1">
        <w:t>x</w:t>
      </w:r>
      <w:r w:rsidR="00E95D89">
        <w:t xml:space="preserve">t iteration of its </w:t>
      </w:r>
      <w:r w:rsidRPr="006C42D5">
        <w:t>guidelines for 202</w:t>
      </w:r>
      <w:r w:rsidR="00E95D89">
        <w:t>6-2028</w:t>
      </w:r>
      <w:r w:rsidRPr="006C42D5">
        <w:t xml:space="preserve"> </w:t>
      </w:r>
      <w:r w:rsidR="0083598F">
        <w:t>w</w:t>
      </w:r>
      <w:r w:rsidRPr="006C42D5">
        <w:t xml:space="preserve">ildfire </w:t>
      </w:r>
      <w:r w:rsidR="0083598F">
        <w:t>m</w:t>
      </w:r>
      <w:r w:rsidRPr="006C42D5">
        <w:t xml:space="preserve">itigation </w:t>
      </w:r>
      <w:r w:rsidR="0083598F">
        <w:t>p</w:t>
      </w:r>
      <w:r w:rsidRPr="006C42D5">
        <w:t>lan</w:t>
      </w:r>
      <w:r w:rsidR="00E95D89">
        <w:t>s</w:t>
      </w:r>
      <w:r w:rsidRPr="006C42D5">
        <w:t xml:space="preserve"> </w:t>
      </w:r>
      <w:r w:rsidR="0083598F">
        <w:t>(WMP</w:t>
      </w:r>
      <w:r w:rsidR="009344B1">
        <w:t>s</w:t>
      </w:r>
      <w:r w:rsidR="0083598F">
        <w:t>)</w:t>
      </w:r>
      <w:r w:rsidRPr="006C42D5">
        <w:t>.</w:t>
      </w:r>
      <w:r w:rsidRPr="006C42D5">
        <w:rPr>
          <w:rStyle w:val="FootnoteReference"/>
        </w:rPr>
        <w:footnoteReference w:id="1"/>
      </w:r>
      <w:r w:rsidRPr="006C42D5">
        <w:t xml:space="preserve"> </w:t>
      </w:r>
      <w:r w:rsidR="00C26E5D" w:rsidRPr="006C42D5">
        <w:t xml:space="preserve"> </w:t>
      </w:r>
      <w:r w:rsidRPr="006C42D5">
        <w:t xml:space="preserve">The Public Advocates Office at the California Public Utilities Commission (Cal Advocates) submitted comments on </w:t>
      </w:r>
      <w:r w:rsidR="00E95D89">
        <w:t>April</w:t>
      </w:r>
      <w:r w:rsidRPr="006C42D5">
        <w:t xml:space="preserve"> 8, 202</w:t>
      </w:r>
      <w:r w:rsidR="00E95D89">
        <w:t>4</w:t>
      </w:r>
      <w:r w:rsidRPr="006C42D5">
        <w:t>.</w:t>
      </w:r>
      <w:r w:rsidRPr="006C42D5">
        <w:rPr>
          <w:rStyle w:val="FootnoteReference"/>
        </w:rPr>
        <w:footnoteReference w:id="2"/>
      </w:r>
    </w:p>
    <w:p w14:paraId="5D11A4C3" w14:textId="48834152" w:rsidR="00676A33" w:rsidRPr="006C42D5" w:rsidRDefault="006D3A81" w:rsidP="006C6C8D">
      <w:pPr>
        <w:pStyle w:val="BodyText"/>
      </w:pPr>
      <w:r w:rsidRPr="006C42D5">
        <w:t xml:space="preserve">On </w:t>
      </w:r>
      <w:r w:rsidR="00E95D89">
        <w:t>November</w:t>
      </w:r>
      <w:r w:rsidRPr="006C42D5">
        <w:t xml:space="preserve"> </w:t>
      </w:r>
      <w:r w:rsidR="00E95D89">
        <w:t>12</w:t>
      </w:r>
      <w:r w:rsidRPr="006C42D5">
        <w:t>, 202</w:t>
      </w:r>
      <w:r w:rsidR="00E95D89">
        <w:t>4</w:t>
      </w:r>
      <w:r w:rsidRPr="006C42D5">
        <w:t xml:space="preserve">, Energy Safety issued </w:t>
      </w:r>
      <w:r w:rsidR="00E95D89">
        <w:t xml:space="preserve">the first package of its </w:t>
      </w:r>
      <w:r w:rsidRPr="006C42D5">
        <w:t>Draft Wildfire Mitigation Plan Guidelines (Draft 202</w:t>
      </w:r>
      <w:r w:rsidR="00E95D89">
        <w:t>6-2028 WMP</w:t>
      </w:r>
      <w:r w:rsidR="00634464" w:rsidRPr="006C42D5">
        <w:t xml:space="preserve"> </w:t>
      </w:r>
      <w:r w:rsidRPr="006C42D5">
        <w:t>Guidelines)</w:t>
      </w:r>
      <w:r w:rsidR="009344B1">
        <w:t xml:space="preserve"> and invited public comments </w:t>
      </w:r>
      <w:r w:rsidR="00F70A7D">
        <w:t xml:space="preserve">to be submitted </w:t>
      </w:r>
      <w:r w:rsidR="009344B1">
        <w:t>by December 6, 2024</w:t>
      </w:r>
      <w:r w:rsidRPr="006C42D5">
        <w:t>.</w:t>
      </w:r>
      <w:r w:rsidRPr="006C42D5">
        <w:rPr>
          <w:rStyle w:val="FootnoteReference"/>
        </w:rPr>
        <w:footnoteReference w:id="3"/>
      </w:r>
      <w:r w:rsidRPr="006C42D5">
        <w:t xml:space="preserve"> </w:t>
      </w:r>
      <w:r w:rsidR="00C26E5D" w:rsidRPr="006C42D5">
        <w:t xml:space="preserve"> </w:t>
      </w:r>
      <w:r w:rsidRPr="006C42D5">
        <w:t xml:space="preserve">On November </w:t>
      </w:r>
      <w:r w:rsidR="00E95D89">
        <w:t>26, 2024</w:t>
      </w:r>
      <w:r w:rsidRPr="006C42D5">
        <w:t xml:space="preserve">, Energy Safety hosted a workshop regarding the </w:t>
      </w:r>
      <w:r w:rsidR="00E95D89" w:rsidRPr="006C42D5">
        <w:t>Draft 202</w:t>
      </w:r>
      <w:r w:rsidR="00E95D89">
        <w:t>6-2028 WMP</w:t>
      </w:r>
      <w:r w:rsidR="00E95D89" w:rsidRPr="006C42D5">
        <w:t xml:space="preserve"> Guidelines</w:t>
      </w:r>
      <w:r w:rsidR="00BB1DF3" w:rsidRPr="006C42D5">
        <w:t xml:space="preserve">.  </w:t>
      </w:r>
      <w:r w:rsidR="002F7C71" w:rsidRPr="006C42D5">
        <w:t xml:space="preserve">Pursuant to </w:t>
      </w:r>
      <w:r w:rsidR="00E95D89">
        <w:t xml:space="preserve">the cover letter of the </w:t>
      </w:r>
      <w:r w:rsidR="00E95D89" w:rsidRPr="006C42D5">
        <w:t>Draft 202</w:t>
      </w:r>
      <w:r w:rsidR="00E95D89">
        <w:t>6-2028 WMP</w:t>
      </w:r>
      <w:r w:rsidR="00E95D89" w:rsidRPr="006C42D5">
        <w:t xml:space="preserve"> Guidelines</w:t>
      </w:r>
      <w:r w:rsidR="00775638" w:rsidRPr="006C42D5">
        <w:t xml:space="preserve">, </w:t>
      </w:r>
      <w:r w:rsidR="006C62BC" w:rsidRPr="006C42D5">
        <w:t xml:space="preserve">Cal Advocates </w:t>
      </w:r>
      <w:r w:rsidR="00B33DAD">
        <w:t xml:space="preserve">timely </w:t>
      </w:r>
      <w:r w:rsidR="006C62BC" w:rsidRPr="006C42D5">
        <w:t>submits these comments</w:t>
      </w:r>
      <w:r w:rsidR="00775638" w:rsidRPr="006C42D5">
        <w:t>.</w:t>
      </w:r>
      <w:r w:rsidR="00E554DE" w:rsidRPr="006C42D5">
        <w:t xml:space="preserve"> </w:t>
      </w:r>
      <w:r w:rsidR="00624468">
        <w:t xml:space="preserve"> </w:t>
      </w:r>
      <w:r w:rsidR="005A68F3">
        <w:t>Our</w:t>
      </w:r>
      <w:r w:rsidR="00624468" w:rsidRPr="00624468">
        <w:t xml:space="preserve"> recommendations </w:t>
      </w:r>
      <w:r w:rsidR="00E56F4C">
        <w:t>aim</w:t>
      </w:r>
      <w:r w:rsidR="00624468" w:rsidRPr="00624468">
        <w:t xml:space="preserve"> to improve the clarity, transparency, and overall effectiveness of the Draft 2026-2028 WMP Guidelines and </w:t>
      </w:r>
      <w:r w:rsidR="00624468">
        <w:t xml:space="preserve">data </w:t>
      </w:r>
      <w:r w:rsidR="00624468" w:rsidRPr="00624468">
        <w:t xml:space="preserve">reporting standards, </w:t>
      </w:r>
      <w:r w:rsidR="00624468">
        <w:t>to ensure that they</w:t>
      </w:r>
      <w:r w:rsidR="00624468" w:rsidRPr="00624468">
        <w:t xml:space="preserve"> serve the needs of all stakeholders.</w:t>
      </w:r>
    </w:p>
    <w:p w14:paraId="1CC26C1B" w14:textId="5B0A1B4E" w:rsidR="00EB456D" w:rsidRPr="00777124" w:rsidRDefault="00824C65" w:rsidP="00BE7DCF">
      <w:pPr>
        <w:pStyle w:val="Heading1"/>
      </w:pPr>
      <w:bookmarkStart w:id="2" w:name="_Toc184385706"/>
      <w:r w:rsidRPr="00777124">
        <w:t xml:space="preserve">Technical </w:t>
      </w:r>
      <w:r w:rsidR="00AE34BE">
        <w:t>ISSUES</w:t>
      </w:r>
      <w:bookmarkEnd w:id="2"/>
    </w:p>
    <w:p w14:paraId="13139196" w14:textId="4DDF4E15" w:rsidR="004F3B92" w:rsidRPr="00C0067A" w:rsidRDefault="008E01A7" w:rsidP="00F240DB">
      <w:pPr>
        <w:pStyle w:val="Heading2"/>
      </w:pPr>
      <w:bookmarkStart w:id="3" w:name="_Toc184385707"/>
      <w:r w:rsidRPr="00C0067A">
        <w:t xml:space="preserve">Energy Safety should </w:t>
      </w:r>
      <w:r w:rsidR="004F3B92" w:rsidRPr="00C0067A">
        <w:t xml:space="preserve">require utilities to use realistic and comparable assumptions </w:t>
      </w:r>
      <w:r w:rsidR="00AE34BE" w:rsidRPr="00C0067A">
        <w:t xml:space="preserve">to </w:t>
      </w:r>
      <w:r w:rsidR="004F3B92" w:rsidRPr="00C0067A">
        <w:t>evaluat</w:t>
      </w:r>
      <w:r w:rsidR="00AE34BE" w:rsidRPr="00C0067A">
        <w:t>e</w:t>
      </w:r>
      <w:r w:rsidR="004F3B92" w:rsidRPr="00C0067A">
        <w:t xml:space="preserve"> s</w:t>
      </w:r>
      <w:r w:rsidR="00421E57" w:rsidRPr="00C0067A">
        <w:t>y</w:t>
      </w:r>
      <w:r w:rsidR="004F3B92" w:rsidRPr="00C0067A">
        <w:t>stem hardening mitigations.</w:t>
      </w:r>
      <w:bookmarkEnd w:id="3"/>
    </w:p>
    <w:p w14:paraId="67BEEFA3" w14:textId="2DDC1E2E" w:rsidR="000F25DB" w:rsidRPr="000F25DB" w:rsidRDefault="00A71BE9" w:rsidP="000F25DB">
      <w:pPr>
        <w:pStyle w:val="BodyText"/>
      </w:pPr>
      <w:r>
        <w:t>T</w:t>
      </w:r>
      <w:r w:rsidR="00896B19" w:rsidRPr="00777124">
        <w:t>he Draft 2026-2028 WMP Guidelines require utilities to discuss 13 distinct grid design and system hardening mitigations</w:t>
      </w:r>
      <w:r w:rsidR="002C7CD5">
        <w:t xml:space="preserve"> they plan to use</w:t>
      </w:r>
      <w:r w:rsidR="00896B19" w:rsidRPr="00777124">
        <w:t>.</w:t>
      </w:r>
      <w:r w:rsidR="00896B19" w:rsidRPr="00777124">
        <w:rPr>
          <w:rStyle w:val="FootnoteReference"/>
        </w:rPr>
        <w:footnoteReference w:id="4"/>
      </w:r>
      <w:r w:rsidR="00896B19" w:rsidRPr="00777124">
        <w:t xml:space="preserve">  </w:t>
      </w:r>
      <w:r w:rsidR="000F25DB" w:rsidRPr="000F25DB">
        <w:t>For each mitigation, utilities are required to report the anticipated risk reduction and provide a detailed list of the assumptions used, along with their justifications.</w:t>
      </w:r>
      <w:r w:rsidR="000F25DB" w:rsidRPr="00777124">
        <w:rPr>
          <w:rStyle w:val="FootnoteReference"/>
        </w:rPr>
        <w:footnoteReference w:id="5"/>
      </w:r>
    </w:p>
    <w:p w14:paraId="08DAF98D" w14:textId="4B3724C7" w:rsidR="00896B19" w:rsidRPr="00777124" w:rsidRDefault="00896B19" w:rsidP="00FA4E85">
      <w:pPr>
        <w:pStyle w:val="BodyText"/>
      </w:pPr>
      <w:r w:rsidRPr="00777124">
        <w:t xml:space="preserve">However, this section does not </w:t>
      </w:r>
      <w:r w:rsidR="00421E57" w:rsidRPr="00777124">
        <w:t>establish</w:t>
      </w:r>
      <w:r w:rsidRPr="00777124">
        <w:t xml:space="preserve"> a framework for how the utility should estimate risk reduction or determine appropriate assumptions.  The Guidelines further</w:t>
      </w:r>
      <w:r w:rsidR="008D5FB3">
        <w:t>more</w:t>
      </w:r>
      <w:r w:rsidRPr="00777124">
        <w:t xml:space="preserve"> do not require a utility to evaluate whether initiatives are cost-effective.</w:t>
      </w:r>
    </w:p>
    <w:p w14:paraId="3CE63F77" w14:textId="562D6D63" w:rsidR="00297ACB" w:rsidRPr="00C0067A" w:rsidRDefault="00297ACB" w:rsidP="00F240DB">
      <w:pPr>
        <w:pStyle w:val="Heading3"/>
      </w:pPr>
      <w:bookmarkStart w:id="4" w:name="_Toc184385708"/>
      <w:r w:rsidRPr="00C0067A">
        <w:lastRenderedPageBreak/>
        <w:t>Energy Safety should set guiding principles for utilit</w:t>
      </w:r>
      <w:r w:rsidR="004260BD" w:rsidRPr="00C0067A">
        <w:t>y</w:t>
      </w:r>
      <w:r w:rsidRPr="00C0067A">
        <w:t xml:space="preserve"> assumptions.</w:t>
      </w:r>
      <w:bookmarkEnd w:id="4"/>
    </w:p>
    <w:p w14:paraId="7BE8BAEC" w14:textId="5B980861" w:rsidR="00076F18" w:rsidRPr="00777124" w:rsidRDefault="00896B19" w:rsidP="00896B19">
      <w:pPr>
        <w:pStyle w:val="BodyText"/>
      </w:pPr>
      <w:r w:rsidRPr="00777124">
        <w:t xml:space="preserve">Cal Advocates </w:t>
      </w:r>
      <w:r w:rsidR="0096681E" w:rsidRPr="00777124">
        <w:t xml:space="preserve">previously </w:t>
      </w:r>
      <w:r w:rsidR="00777124" w:rsidRPr="00777124">
        <w:t>showed</w:t>
      </w:r>
      <w:r w:rsidR="0096681E" w:rsidRPr="00777124">
        <w:t xml:space="preserve"> </w:t>
      </w:r>
      <w:r w:rsidR="00777124" w:rsidRPr="00777124">
        <w:t xml:space="preserve">that </w:t>
      </w:r>
      <w:r w:rsidR="0096681E" w:rsidRPr="00777124">
        <w:t xml:space="preserve">utilities have used </w:t>
      </w:r>
      <w:r w:rsidRPr="00777124">
        <w:t>inappropriate assumptions</w:t>
      </w:r>
      <w:r w:rsidRPr="00777124">
        <w:rPr>
          <w:rStyle w:val="FootnoteReference"/>
        </w:rPr>
        <w:footnoteReference w:id="6"/>
      </w:r>
      <w:r w:rsidRPr="00777124">
        <w:t xml:space="preserve"> and </w:t>
      </w:r>
      <w:r w:rsidR="0096681E" w:rsidRPr="00777124">
        <w:t xml:space="preserve">prioritized </w:t>
      </w:r>
      <w:r w:rsidRPr="00777124">
        <w:t>programs with low cost-effectiveness.</w:t>
      </w:r>
      <w:r w:rsidRPr="00777124">
        <w:rPr>
          <w:rStyle w:val="FootnoteReference"/>
        </w:rPr>
        <w:footnoteReference w:id="7"/>
      </w:r>
      <w:r w:rsidRPr="00777124">
        <w:t xml:space="preserve">  </w:t>
      </w:r>
      <w:r w:rsidR="00076F18" w:rsidRPr="00777124">
        <w:t xml:space="preserve">Energy Safety should revise the </w:t>
      </w:r>
      <w:r w:rsidR="007E7FF1" w:rsidRPr="00777124">
        <w:t>Draft 2026-2028 WMP Guidelines to establish guidin</w:t>
      </w:r>
      <w:r w:rsidR="0096681E" w:rsidRPr="00777124">
        <w:t>g</w:t>
      </w:r>
      <w:r w:rsidR="007E7FF1" w:rsidRPr="00777124">
        <w:t xml:space="preserve"> principles for utility assumptions.  For example, utilities should base </w:t>
      </w:r>
      <w:r w:rsidR="008D5FB3">
        <w:t>the</w:t>
      </w:r>
      <w:r w:rsidR="008D5FB3" w:rsidRPr="00777124">
        <w:t xml:space="preserve"> </w:t>
      </w:r>
      <w:r w:rsidR="007E7FF1" w:rsidRPr="00777124">
        <w:t>estimate</w:t>
      </w:r>
      <w:r w:rsidR="0096681E" w:rsidRPr="00777124">
        <w:t>d</w:t>
      </w:r>
      <w:r w:rsidR="007E7FF1" w:rsidRPr="00777124">
        <w:t xml:space="preserve"> risk reduction </w:t>
      </w:r>
      <w:r w:rsidR="0096681E" w:rsidRPr="00777124">
        <w:t xml:space="preserve">for a given mitigation </w:t>
      </w:r>
      <w:r w:rsidR="007E7FF1" w:rsidRPr="00777124">
        <w:t xml:space="preserve">on </w:t>
      </w:r>
      <w:r w:rsidR="008D5FB3">
        <w:t xml:space="preserve">actual, </w:t>
      </w:r>
      <w:r w:rsidR="007E7FF1" w:rsidRPr="00777124">
        <w:t xml:space="preserve">observed values in areas where </w:t>
      </w:r>
      <w:r w:rsidR="0096681E" w:rsidRPr="00777124">
        <w:t xml:space="preserve">that </w:t>
      </w:r>
      <w:r w:rsidR="007E7FF1" w:rsidRPr="00777124">
        <w:t>mitigation ha</w:t>
      </w:r>
      <w:r w:rsidR="0096681E" w:rsidRPr="00777124">
        <w:t>s</w:t>
      </w:r>
      <w:r w:rsidR="007E7FF1" w:rsidRPr="00777124">
        <w:t xml:space="preserve"> been deployed</w:t>
      </w:r>
      <w:r w:rsidR="0096681E" w:rsidRPr="00777124">
        <w:t xml:space="preserve">; the utility should </w:t>
      </w:r>
      <w:r w:rsidR="007E7FF1" w:rsidRPr="00777124">
        <w:t xml:space="preserve">minimize </w:t>
      </w:r>
      <w:r w:rsidR="0096681E" w:rsidRPr="00777124">
        <w:t xml:space="preserve">its </w:t>
      </w:r>
      <w:r w:rsidR="007E7FF1" w:rsidRPr="00777124">
        <w:t xml:space="preserve">reliance on </w:t>
      </w:r>
      <w:r w:rsidR="00E61B15">
        <w:t>Subject Matter Expert (</w:t>
      </w:r>
      <w:r w:rsidR="007E7FF1" w:rsidRPr="00777124">
        <w:t>SME</w:t>
      </w:r>
      <w:r w:rsidR="00E61B15">
        <w:t>)</w:t>
      </w:r>
      <w:r w:rsidR="007E7FF1" w:rsidRPr="00777124">
        <w:t xml:space="preserve"> judgement.</w:t>
      </w:r>
      <w:r w:rsidR="007E7FF1" w:rsidRPr="00777124">
        <w:rPr>
          <w:rStyle w:val="FootnoteReference"/>
        </w:rPr>
        <w:footnoteReference w:id="8"/>
      </w:r>
      <w:r w:rsidR="007E7FF1" w:rsidRPr="00777124">
        <w:t xml:space="preserve">  </w:t>
      </w:r>
      <w:r w:rsidR="0096681E" w:rsidRPr="00777124">
        <w:t xml:space="preserve">As another example, </w:t>
      </w:r>
      <w:r w:rsidR="007E7FF1" w:rsidRPr="00777124">
        <w:t>cost</w:t>
      </w:r>
      <w:r w:rsidR="0096681E" w:rsidRPr="00777124">
        <w:t xml:space="preserve"> estimates</w:t>
      </w:r>
      <w:r w:rsidR="007E7FF1" w:rsidRPr="00777124">
        <w:t xml:space="preserve"> should be based on actual historical costs</w:t>
      </w:r>
      <w:r w:rsidR="0096681E" w:rsidRPr="00777124">
        <w:t xml:space="preserve">, with reasonable </w:t>
      </w:r>
      <w:r w:rsidR="008D5FB3">
        <w:t xml:space="preserve">(and clearly identified) </w:t>
      </w:r>
      <w:r w:rsidR="0096681E" w:rsidRPr="00777124">
        <w:t>adjustments for inflation and other predictable trends</w:t>
      </w:r>
      <w:r w:rsidR="00E818DC" w:rsidRPr="00777124">
        <w:t>.</w:t>
      </w:r>
      <w:r w:rsidR="00E818DC" w:rsidRPr="00777124">
        <w:rPr>
          <w:rStyle w:val="FootnoteReference"/>
        </w:rPr>
        <w:footnoteReference w:id="9"/>
      </w:r>
    </w:p>
    <w:p w14:paraId="0185D7BA" w14:textId="5CDBBE03" w:rsidR="00297ACB" w:rsidRPr="00777124" w:rsidRDefault="00297ACB" w:rsidP="00F240DB">
      <w:pPr>
        <w:pStyle w:val="Heading3"/>
      </w:pPr>
      <w:bookmarkStart w:id="5" w:name="_Toc184385709"/>
      <w:r w:rsidRPr="00777124">
        <w:t>Energy Safety should require utilities to evaluate reasonable sets of mitigations.</w:t>
      </w:r>
      <w:bookmarkEnd w:id="5"/>
    </w:p>
    <w:p w14:paraId="76FEF27C" w14:textId="2D5BC52F" w:rsidR="00297ACB" w:rsidRPr="00777124" w:rsidRDefault="00777124" w:rsidP="004123CE">
      <w:pPr>
        <w:pStyle w:val="BodyText"/>
      </w:pPr>
      <w:r w:rsidRPr="00777124">
        <w:t xml:space="preserve">Cal Advocates previously showed </w:t>
      </w:r>
      <w:r w:rsidR="0096681E" w:rsidRPr="00777124">
        <w:t>that utilities do not always evaluate reasonable and realistic combinations of mitigations.</w:t>
      </w:r>
      <w:r w:rsidR="0096681E" w:rsidRPr="00777124">
        <w:rPr>
          <w:rStyle w:val="FootnoteReference"/>
        </w:rPr>
        <w:footnoteReference w:id="10"/>
      </w:r>
      <w:r w:rsidRPr="00777124">
        <w:t xml:space="preserve">  </w:t>
      </w:r>
      <w:r w:rsidR="008D5FB3">
        <w:t>The</w:t>
      </w:r>
      <w:r w:rsidR="004260BD" w:rsidRPr="00777124">
        <w:t xml:space="preserve"> Draft 2026-2028 WMP Guidelines state, with regard to risk reduction and implementation costs, “Where mitigations can be feasibly deployed in combination, the electrical corporation must compare these portfolios of mitigations.”</w:t>
      </w:r>
      <w:r w:rsidR="004260BD" w:rsidRPr="00777124">
        <w:rPr>
          <w:rStyle w:val="FootnoteReference"/>
        </w:rPr>
        <w:footnoteReference w:id="11"/>
      </w:r>
      <w:r w:rsidR="004260BD" w:rsidRPr="00777124">
        <w:t xml:space="preserve">  </w:t>
      </w:r>
    </w:p>
    <w:p w14:paraId="70AB6AB7" w14:textId="5A3A2566" w:rsidR="00297ACB" w:rsidRPr="001A7A53" w:rsidRDefault="001A6877" w:rsidP="003435BB">
      <w:pPr>
        <w:pStyle w:val="BodyText"/>
        <w:rPr>
          <w:strike/>
        </w:rPr>
      </w:pPr>
      <w:r>
        <w:t>T</w:t>
      </w:r>
      <w:r w:rsidR="00297ACB" w:rsidRPr="00777124">
        <w:t>he Draft 2026-2028 WMP Guidelines list 13 distinct mitigations,</w:t>
      </w:r>
      <w:r w:rsidR="00777124" w:rsidRPr="00777124">
        <w:rPr>
          <w:rStyle w:val="FootnoteReference"/>
        </w:rPr>
        <w:footnoteReference w:id="12"/>
      </w:r>
      <w:r w:rsidR="00297ACB" w:rsidRPr="00777124">
        <w:t xml:space="preserve"> but </w:t>
      </w:r>
      <w:r w:rsidR="00341F1B">
        <w:t>do</w:t>
      </w:r>
      <w:r w:rsidR="00341F1B" w:rsidRPr="00777124">
        <w:t xml:space="preserve"> </w:t>
      </w:r>
      <w:r w:rsidR="00297ACB" w:rsidRPr="00777124">
        <w:t xml:space="preserve">not </w:t>
      </w:r>
      <w:r w:rsidR="003A5425">
        <w:t>instruct</w:t>
      </w:r>
      <w:r w:rsidR="00297ACB" w:rsidRPr="00777124">
        <w:t xml:space="preserve"> utilities </w:t>
      </w:r>
      <w:r w:rsidR="003A5425">
        <w:t xml:space="preserve">on how </w:t>
      </w:r>
      <w:r w:rsidR="00297ACB" w:rsidRPr="00777124">
        <w:t>t</w:t>
      </w:r>
      <w:r w:rsidR="004260BD" w:rsidRPr="00777124">
        <w:t xml:space="preserve">o evaluate feasible combinations of these or other mitigations.  </w:t>
      </w:r>
      <w:r w:rsidR="006D6A8F" w:rsidRPr="006D6A8F">
        <w:t xml:space="preserve">This omission </w:t>
      </w:r>
      <w:r w:rsidR="006D6A8F" w:rsidRPr="006D6A8F">
        <w:lastRenderedPageBreak/>
        <w:t xml:space="preserve">may </w:t>
      </w:r>
      <w:r w:rsidR="005B2049">
        <w:t>lead</w:t>
      </w:r>
      <w:r w:rsidR="00E27B24">
        <w:t xml:space="preserve"> to</w:t>
      </w:r>
      <w:r w:rsidR="006D6A8F" w:rsidRPr="006D6A8F">
        <w:t xml:space="preserve"> </w:t>
      </w:r>
      <w:r w:rsidR="001C1A87">
        <w:t xml:space="preserve">utilities conducting poor comparisons between </w:t>
      </w:r>
      <w:r w:rsidR="00753345">
        <w:t>standalone</w:t>
      </w:r>
      <w:r w:rsidR="006D6A8F" w:rsidRPr="006D6A8F">
        <w:t xml:space="preserve"> mitigations </w:t>
      </w:r>
      <w:r w:rsidR="001A7A53">
        <w:t xml:space="preserve">(instead of realistic </w:t>
      </w:r>
      <w:r w:rsidR="006D6A8F" w:rsidRPr="006D6A8F">
        <w:t>combinations of complementary mitigations</w:t>
      </w:r>
      <w:r w:rsidR="001A7A53">
        <w:t>)</w:t>
      </w:r>
      <w:r w:rsidR="006D6A8F" w:rsidRPr="006D6A8F">
        <w:t>.</w:t>
      </w:r>
      <w:r w:rsidR="00905277">
        <w:t xml:space="preserve">  For instance, a</w:t>
      </w:r>
      <w:r w:rsidR="006D6A8F" w:rsidRPr="006D6A8F">
        <w:t xml:space="preserve"> comparison of undergrounding versus covered conductor</w:t>
      </w:r>
      <w:r w:rsidR="001A7A53">
        <w:t>,</w:t>
      </w:r>
      <w:r w:rsidR="006D6A8F" w:rsidRPr="006D6A8F">
        <w:t xml:space="preserve"> without considering the use of fast-trip settings</w:t>
      </w:r>
      <w:r w:rsidR="001A7A53">
        <w:t>,</w:t>
      </w:r>
      <w:r w:rsidR="006D6A8F" w:rsidRPr="006D6A8F">
        <w:t xml:space="preserve"> artificially reduces the perceived benefit and cost-effectiveness of </w:t>
      </w:r>
      <w:r w:rsidR="001A7A53">
        <w:t>the covered conductor option</w:t>
      </w:r>
      <w:r w:rsidR="002F1517">
        <w:t>,</w:t>
      </w:r>
      <w:r w:rsidR="001A7A53">
        <w:t xml:space="preserve"> thereby</w:t>
      </w:r>
      <w:r w:rsidR="002F1517">
        <w:t xml:space="preserve"> skewing the results</w:t>
      </w:r>
      <w:r w:rsidR="006D6A8F" w:rsidRPr="006D6A8F">
        <w:t>.</w:t>
      </w:r>
      <w:r w:rsidR="00D50645" w:rsidRPr="00F84DCB">
        <w:rPr>
          <w:rStyle w:val="FootnoteReference"/>
        </w:rPr>
        <w:footnoteReference w:id="13"/>
      </w:r>
      <w:r w:rsidR="00C57B7E">
        <w:t xml:space="preserve"> </w:t>
      </w:r>
    </w:p>
    <w:p w14:paraId="2692DF59" w14:textId="58B1212F" w:rsidR="004260BD" w:rsidRDefault="004260BD" w:rsidP="004123CE">
      <w:pPr>
        <w:pStyle w:val="BodyText"/>
      </w:pPr>
      <w:r w:rsidRPr="00777124">
        <w:t>Energy Safety should revise sectio</w:t>
      </w:r>
      <w:r w:rsidR="00777124" w:rsidRPr="00777124">
        <w:t>n</w:t>
      </w:r>
      <w:r w:rsidRPr="00777124">
        <w:t xml:space="preserve"> 8.2 of the Draft 2026-2028 WMP Guidelines to incorporate similar language as it employs in Section 6.1.3.1,</w:t>
      </w:r>
      <w:r w:rsidR="001A6877">
        <w:t xml:space="preserve"> so as</w:t>
      </w:r>
      <w:r w:rsidRPr="00777124">
        <w:t xml:space="preserve"> to </w:t>
      </w:r>
      <w:r w:rsidR="001A6877">
        <w:t xml:space="preserve">specifically </w:t>
      </w:r>
      <w:r w:rsidRPr="00777124">
        <w:t xml:space="preserve">require utilities to evaluate the risk reduction and implementation cost of </w:t>
      </w:r>
      <w:r w:rsidRPr="001E2DBD">
        <w:rPr>
          <w:i/>
          <w:iCs/>
        </w:rPr>
        <w:t>combinations</w:t>
      </w:r>
      <w:r w:rsidRPr="00777124">
        <w:t xml:space="preserve"> of mitigations “</w:t>
      </w:r>
      <w:r w:rsidR="001A6877">
        <w:t>w</w:t>
      </w:r>
      <w:r w:rsidRPr="00777124">
        <w:t>here mitigations can be feasibly deployed in combination.”</w:t>
      </w:r>
    </w:p>
    <w:p w14:paraId="64918ACC" w14:textId="3CE9B786" w:rsidR="00C06A2E" w:rsidRPr="006C42D5" w:rsidRDefault="00C06A2E" w:rsidP="00F240DB">
      <w:pPr>
        <w:pStyle w:val="Heading2"/>
      </w:pPr>
      <w:bookmarkStart w:id="6" w:name="_Toc183593898"/>
      <w:bookmarkStart w:id="7" w:name="_Toc184385710"/>
      <w:r w:rsidRPr="006C42D5">
        <w:t xml:space="preserve">Energy Safety should </w:t>
      </w:r>
      <w:r w:rsidR="00AE34BE">
        <w:t xml:space="preserve">require </w:t>
      </w:r>
      <w:r>
        <w:t xml:space="preserve">additional information </w:t>
      </w:r>
      <w:r w:rsidR="00A71BE9">
        <w:t>on the circuits most affected by protective equipment settings.</w:t>
      </w:r>
      <w:bookmarkEnd w:id="6"/>
      <w:bookmarkEnd w:id="7"/>
    </w:p>
    <w:p w14:paraId="2C489F7D" w14:textId="6FAA7CA3" w:rsidR="00C06A2E" w:rsidRDefault="00A71BE9" w:rsidP="001E21E2">
      <w:pPr>
        <w:pStyle w:val="BodyText"/>
        <w:spacing w:after="120"/>
      </w:pPr>
      <w:r w:rsidRPr="001E21E2">
        <w:t>The</w:t>
      </w:r>
      <w:r>
        <w:t xml:space="preserve"> </w:t>
      </w:r>
      <w:r w:rsidRPr="00A71BE9">
        <w:t xml:space="preserve">Draft </w:t>
      </w:r>
      <w:r w:rsidRPr="001E21E2">
        <w:t>2026-2028 WMP Guidelines include a data table regarding the “Top Ten Impacted Circuits from Changes to Protective</w:t>
      </w:r>
      <w:r w:rsidRPr="00A71BE9">
        <w:t xml:space="preserve"> Equipment and Device Settings (PEDS) in the past Three Years</w:t>
      </w:r>
      <w:r>
        <w:t>” (Top Ten table).</w:t>
      </w:r>
      <w:r w:rsidR="00680D2A">
        <w:rPr>
          <w:rStyle w:val="FootnoteReference"/>
        </w:rPr>
        <w:footnoteReference w:id="14"/>
      </w:r>
      <w:r>
        <w:t xml:space="preserve">  The</w:t>
      </w:r>
      <w:r w:rsidR="00C06A2E">
        <w:t xml:space="preserve"> Top Ten table could be improved with additional information, </w:t>
      </w:r>
      <w:r>
        <w:t>since it</w:t>
      </w:r>
      <w:r w:rsidR="00C06A2E">
        <w:t xml:space="preserve"> only has four columns.</w:t>
      </w:r>
      <w:r w:rsidR="00C06A2E">
        <w:rPr>
          <w:rStyle w:val="FootnoteReference"/>
        </w:rPr>
        <w:footnoteReference w:id="15"/>
      </w:r>
      <w:r w:rsidR="00C06A2E">
        <w:t xml:space="preserve">  Table 1 </w:t>
      </w:r>
      <w:r>
        <w:t xml:space="preserve">below </w:t>
      </w:r>
      <w:r w:rsidR="00C06A2E">
        <w:t xml:space="preserve">shows the columns that should be added </w:t>
      </w:r>
      <w:r>
        <w:t xml:space="preserve">and provides Cal Advocates’ reasoning for each addition. </w:t>
      </w:r>
    </w:p>
    <w:tbl>
      <w:tblPr>
        <w:tblStyle w:val="TableGrid"/>
        <w:tblW w:w="0" w:type="auto"/>
        <w:jc w:val="center"/>
        <w:tblLook w:val="04A0" w:firstRow="1" w:lastRow="0" w:firstColumn="1" w:lastColumn="0" w:noHBand="0" w:noVBand="1"/>
      </w:tblPr>
      <w:tblGrid>
        <w:gridCol w:w="4675"/>
        <w:gridCol w:w="4675"/>
      </w:tblGrid>
      <w:tr w:rsidR="00A71BE9" w14:paraId="1B337321" w14:textId="77777777" w:rsidTr="000F6EB3">
        <w:trPr>
          <w:jc w:val="center"/>
        </w:trPr>
        <w:tc>
          <w:tcPr>
            <w:tcW w:w="9350" w:type="dxa"/>
            <w:gridSpan w:val="2"/>
            <w:vAlign w:val="center"/>
          </w:tcPr>
          <w:p w14:paraId="5DDDA5EE" w14:textId="23E824AC" w:rsidR="00A71BE9" w:rsidRPr="00C0067A" w:rsidRDefault="00A71BE9" w:rsidP="00F937F8">
            <w:pPr>
              <w:pStyle w:val="BodyText"/>
              <w:keepNext/>
              <w:spacing w:before="40" w:after="40" w:line="240" w:lineRule="auto"/>
              <w:ind w:firstLine="0"/>
              <w:jc w:val="center"/>
              <w:rPr>
                <w:b/>
                <w:bCs/>
              </w:rPr>
            </w:pPr>
            <w:r w:rsidRPr="00C0067A">
              <w:rPr>
                <w:b/>
                <w:bCs/>
              </w:rPr>
              <w:lastRenderedPageBreak/>
              <w:t>Table 1</w:t>
            </w:r>
            <w:r w:rsidR="00AE34BE" w:rsidRPr="00C0067A">
              <w:rPr>
                <w:b/>
                <w:bCs/>
              </w:rPr>
              <w:t xml:space="preserve">: </w:t>
            </w:r>
            <w:r w:rsidRPr="00C0067A">
              <w:rPr>
                <w:b/>
                <w:bCs/>
              </w:rPr>
              <w:t>Additions to Top Ten table</w:t>
            </w:r>
          </w:p>
        </w:tc>
      </w:tr>
      <w:tr w:rsidR="00C06A2E" w14:paraId="19748133" w14:textId="77777777" w:rsidTr="00C0067A">
        <w:trPr>
          <w:jc w:val="center"/>
        </w:trPr>
        <w:tc>
          <w:tcPr>
            <w:tcW w:w="4675" w:type="dxa"/>
            <w:shd w:val="clear" w:color="auto" w:fill="D9E2F3" w:themeFill="accent1" w:themeFillTint="33"/>
            <w:vAlign w:val="center"/>
          </w:tcPr>
          <w:p w14:paraId="791B375A" w14:textId="77777777" w:rsidR="00C06A2E" w:rsidRPr="00D93608" w:rsidRDefault="00C06A2E" w:rsidP="00F937F8">
            <w:pPr>
              <w:pStyle w:val="BodyText"/>
              <w:keepNext/>
              <w:spacing w:before="40" w:after="40" w:line="240" w:lineRule="auto"/>
              <w:ind w:firstLine="0"/>
              <w:rPr>
                <w:b/>
                <w:bCs/>
              </w:rPr>
            </w:pPr>
            <w:r w:rsidRPr="00D93608">
              <w:rPr>
                <w:b/>
                <w:bCs/>
              </w:rPr>
              <w:t>Columns to add</w:t>
            </w:r>
          </w:p>
        </w:tc>
        <w:tc>
          <w:tcPr>
            <w:tcW w:w="4675" w:type="dxa"/>
            <w:shd w:val="clear" w:color="auto" w:fill="D9E2F3" w:themeFill="accent1" w:themeFillTint="33"/>
            <w:vAlign w:val="center"/>
          </w:tcPr>
          <w:p w14:paraId="242779B3" w14:textId="7A7C70A6" w:rsidR="00C06A2E" w:rsidRPr="00D93608" w:rsidRDefault="00A71BE9" w:rsidP="00F937F8">
            <w:pPr>
              <w:pStyle w:val="BodyText"/>
              <w:keepNext/>
              <w:spacing w:before="40" w:after="40" w:line="240" w:lineRule="auto"/>
              <w:ind w:firstLine="0"/>
              <w:rPr>
                <w:b/>
                <w:bCs/>
              </w:rPr>
            </w:pPr>
            <w:r>
              <w:rPr>
                <w:b/>
                <w:bCs/>
              </w:rPr>
              <w:t>Reason for adding data</w:t>
            </w:r>
          </w:p>
        </w:tc>
      </w:tr>
      <w:tr w:rsidR="00C06A2E" w14:paraId="27EB3C88" w14:textId="77777777" w:rsidTr="000F6EB3">
        <w:trPr>
          <w:trHeight w:val="755"/>
          <w:jc w:val="center"/>
        </w:trPr>
        <w:tc>
          <w:tcPr>
            <w:tcW w:w="4675" w:type="dxa"/>
            <w:vAlign w:val="center"/>
          </w:tcPr>
          <w:p w14:paraId="258D4BB5" w14:textId="77777777" w:rsidR="00C06A2E" w:rsidRPr="00D93608" w:rsidRDefault="00C06A2E" w:rsidP="00F937F8">
            <w:pPr>
              <w:pStyle w:val="BodyText"/>
              <w:keepNext/>
              <w:spacing w:before="40" w:after="40" w:line="240" w:lineRule="auto"/>
              <w:ind w:firstLine="0"/>
            </w:pPr>
            <w:r w:rsidRPr="00D93608">
              <w:t>Division or district</w:t>
            </w:r>
          </w:p>
        </w:tc>
        <w:tc>
          <w:tcPr>
            <w:tcW w:w="4675" w:type="dxa"/>
            <w:vAlign w:val="center"/>
          </w:tcPr>
          <w:p w14:paraId="389E31DA" w14:textId="5A522FA9" w:rsidR="00C06A2E" w:rsidRDefault="00A71BE9" w:rsidP="00F937F8">
            <w:pPr>
              <w:pStyle w:val="BodyText"/>
              <w:keepNext/>
              <w:spacing w:before="40" w:after="40" w:line="240" w:lineRule="auto"/>
              <w:ind w:firstLine="0"/>
            </w:pPr>
            <w:r>
              <w:t>Enables</w:t>
            </w:r>
            <w:r w:rsidR="00C06A2E">
              <w:t xml:space="preserve"> analysis of regional trends.</w:t>
            </w:r>
          </w:p>
        </w:tc>
      </w:tr>
      <w:tr w:rsidR="00C06A2E" w14:paraId="4CB9F395" w14:textId="77777777" w:rsidTr="000F6EB3">
        <w:trPr>
          <w:jc w:val="center"/>
        </w:trPr>
        <w:tc>
          <w:tcPr>
            <w:tcW w:w="4675" w:type="dxa"/>
            <w:vAlign w:val="center"/>
          </w:tcPr>
          <w:p w14:paraId="067DFA10" w14:textId="77777777" w:rsidR="00C06A2E" w:rsidRPr="00D93608" w:rsidRDefault="00C06A2E" w:rsidP="00F937F8">
            <w:pPr>
              <w:pStyle w:val="BodyText"/>
              <w:keepNext/>
              <w:spacing w:before="40" w:after="40" w:line="240" w:lineRule="auto"/>
              <w:ind w:firstLine="0"/>
            </w:pPr>
            <w:r w:rsidRPr="00D93608">
              <w:t>Circuit name</w:t>
            </w:r>
          </w:p>
        </w:tc>
        <w:tc>
          <w:tcPr>
            <w:tcW w:w="4675" w:type="dxa"/>
            <w:vAlign w:val="center"/>
          </w:tcPr>
          <w:p w14:paraId="29EEE452" w14:textId="36523C0F" w:rsidR="00C06A2E" w:rsidRDefault="000A7017" w:rsidP="00F937F8">
            <w:pPr>
              <w:pStyle w:val="BodyText"/>
              <w:keepNext/>
              <w:spacing w:before="40" w:after="40" w:line="240" w:lineRule="auto"/>
              <w:ind w:firstLine="0"/>
            </w:pPr>
            <w:r>
              <w:t xml:space="preserve">Allows matching to other data sources. </w:t>
            </w:r>
          </w:p>
        </w:tc>
      </w:tr>
      <w:tr w:rsidR="00C06A2E" w14:paraId="12DEEECC" w14:textId="77777777" w:rsidTr="000F6EB3">
        <w:trPr>
          <w:jc w:val="center"/>
        </w:trPr>
        <w:tc>
          <w:tcPr>
            <w:tcW w:w="4675" w:type="dxa"/>
            <w:vAlign w:val="center"/>
          </w:tcPr>
          <w:p w14:paraId="14C27426" w14:textId="77777777" w:rsidR="00C06A2E" w:rsidRPr="00D93608" w:rsidRDefault="00C06A2E" w:rsidP="00F937F8">
            <w:pPr>
              <w:pStyle w:val="BodyText"/>
              <w:keepNext/>
              <w:spacing w:before="40" w:after="40" w:line="240" w:lineRule="auto"/>
              <w:ind w:firstLine="0"/>
            </w:pPr>
            <w:r w:rsidRPr="00D93608">
              <w:t>Substation</w:t>
            </w:r>
          </w:p>
        </w:tc>
        <w:tc>
          <w:tcPr>
            <w:tcW w:w="4675" w:type="dxa"/>
            <w:vAlign w:val="center"/>
          </w:tcPr>
          <w:p w14:paraId="02EE8131" w14:textId="44DE0CAB" w:rsidR="00C06A2E" w:rsidRDefault="000A7017" w:rsidP="00F937F8">
            <w:pPr>
              <w:pStyle w:val="BodyText"/>
              <w:keepNext/>
              <w:spacing w:before="40" w:after="40" w:line="240" w:lineRule="auto"/>
              <w:ind w:firstLine="0"/>
            </w:pPr>
            <w:r>
              <w:t>Enables</w:t>
            </w:r>
            <w:r w:rsidR="00C06A2E">
              <w:t xml:space="preserve"> analysis of </w:t>
            </w:r>
            <w:r>
              <w:t xml:space="preserve">local trends and identifying </w:t>
            </w:r>
            <w:r w:rsidR="00C06A2E">
              <w:t xml:space="preserve">substations where rapid earth fault current limiters (REFCL) could be applicable.  </w:t>
            </w:r>
          </w:p>
        </w:tc>
      </w:tr>
      <w:tr w:rsidR="00C06A2E" w14:paraId="42E5F6ED" w14:textId="77777777" w:rsidTr="000F6EB3">
        <w:trPr>
          <w:jc w:val="center"/>
        </w:trPr>
        <w:tc>
          <w:tcPr>
            <w:tcW w:w="4675" w:type="dxa"/>
            <w:vAlign w:val="center"/>
          </w:tcPr>
          <w:p w14:paraId="0D7BD238" w14:textId="34E45A58" w:rsidR="00C06A2E" w:rsidRPr="00D93608" w:rsidRDefault="00C06A2E" w:rsidP="00F937F8">
            <w:pPr>
              <w:pStyle w:val="BodyText"/>
              <w:keepNext/>
              <w:spacing w:before="40" w:after="40" w:line="240" w:lineRule="auto"/>
              <w:ind w:firstLine="0"/>
            </w:pPr>
            <w:r w:rsidRPr="00D93608">
              <w:t>Customer</w:t>
            </w:r>
            <w:r w:rsidR="004D63C5">
              <w:t xml:space="preserve"> accounts</w:t>
            </w:r>
            <w:r w:rsidRPr="00D93608">
              <w:t xml:space="preserve"> served </w:t>
            </w:r>
            <w:r w:rsidR="00A71BE9">
              <w:t>by</w:t>
            </w:r>
            <w:r w:rsidR="00A71BE9" w:rsidRPr="00D93608">
              <w:t xml:space="preserve"> </w:t>
            </w:r>
            <w:r w:rsidRPr="00D93608">
              <w:t>the circuit (3-year average)</w:t>
            </w:r>
            <w:r w:rsidR="000F6EB3">
              <w:rPr>
                <w:rStyle w:val="FootnoteReference"/>
              </w:rPr>
              <w:footnoteReference w:id="16"/>
            </w:r>
          </w:p>
        </w:tc>
        <w:tc>
          <w:tcPr>
            <w:tcW w:w="4675" w:type="dxa"/>
            <w:vAlign w:val="center"/>
          </w:tcPr>
          <w:p w14:paraId="623C6B1C" w14:textId="78543241" w:rsidR="00C06A2E" w:rsidRDefault="000A7017" w:rsidP="00F937F8">
            <w:pPr>
              <w:pStyle w:val="BodyText"/>
              <w:keepNext/>
              <w:spacing w:before="40" w:after="40" w:line="240" w:lineRule="auto"/>
              <w:ind w:firstLine="0"/>
            </w:pPr>
            <w:r>
              <w:t>Enables</w:t>
            </w:r>
            <w:r w:rsidR="00C06A2E">
              <w:t xml:space="preserve"> analysis of percentage customers impacted on a circuit.</w:t>
            </w:r>
          </w:p>
        </w:tc>
      </w:tr>
      <w:tr w:rsidR="00C06A2E" w14:paraId="2823FAE6" w14:textId="77777777" w:rsidTr="000F6EB3">
        <w:trPr>
          <w:jc w:val="center"/>
        </w:trPr>
        <w:tc>
          <w:tcPr>
            <w:tcW w:w="4675" w:type="dxa"/>
            <w:vAlign w:val="center"/>
          </w:tcPr>
          <w:p w14:paraId="0B3EAF34" w14:textId="5657B552" w:rsidR="00C06A2E" w:rsidRPr="00D93608" w:rsidRDefault="00C06A2E" w:rsidP="00F937F8">
            <w:pPr>
              <w:pStyle w:val="BodyText"/>
              <w:keepNext/>
              <w:spacing w:before="40" w:after="40" w:line="240" w:lineRule="auto"/>
              <w:ind w:firstLine="0"/>
            </w:pPr>
            <w:r w:rsidRPr="00D93608">
              <w:t>Unique number of customer</w:t>
            </w:r>
            <w:r w:rsidR="004D63C5">
              <w:t xml:space="preserve"> accounts</w:t>
            </w:r>
            <w:r w:rsidRPr="00D93608">
              <w:t xml:space="preserve"> impacted by outages </w:t>
            </w:r>
            <w:r w:rsidR="000F6EB3" w:rsidRPr="00D93608">
              <w:t>(3-year average)</w:t>
            </w:r>
            <w:r w:rsidR="000F6EB3">
              <w:rPr>
                <w:rStyle w:val="FootnoteReference"/>
              </w:rPr>
              <w:footnoteReference w:id="17"/>
            </w:r>
          </w:p>
        </w:tc>
        <w:tc>
          <w:tcPr>
            <w:tcW w:w="4675" w:type="dxa"/>
            <w:vAlign w:val="center"/>
          </w:tcPr>
          <w:p w14:paraId="7ED40DD7" w14:textId="7C162F1E" w:rsidR="00C06A2E" w:rsidRDefault="000A7017" w:rsidP="00F937F8">
            <w:pPr>
              <w:pStyle w:val="BodyText"/>
              <w:keepNext/>
              <w:spacing w:before="40" w:after="40" w:line="240" w:lineRule="auto"/>
              <w:ind w:firstLine="0"/>
            </w:pPr>
            <w:r>
              <w:t>Enables</w:t>
            </w:r>
            <w:r w:rsidR="00C06A2E">
              <w:t xml:space="preserve"> comparisons of unique customer</w:t>
            </w:r>
            <w:r w:rsidR="004D63C5">
              <w:t xml:space="preserve"> accounts</w:t>
            </w:r>
            <w:r w:rsidR="00C06A2E">
              <w:t xml:space="preserve"> compared to the cumulative number of customer</w:t>
            </w:r>
            <w:r w:rsidR="004D63C5">
              <w:t xml:space="preserve"> accounts</w:t>
            </w:r>
            <w:r w:rsidR="00C06A2E">
              <w:t xml:space="preserve"> impacted.</w:t>
            </w:r>
          </w:p>
        </w:tc>
      </w:tr>
      <w:tr w:rsidR="00C06A2E" w14:paraId="5FF22DFC" w14:textId="77777777" w:rsidTr="000F6EB3">
        <w:trPr>
          <w:jc w:val="center"/>
        </w:trPr>
        <w:tc>
          <w:tcPr>
            <w:tcW w:w="4675" w:type="dxa"/>
            <w:vAlign w:val="center"/>
          </w:tcPr>
          <w:p w14:paraId="075D24E5" w14:textId="77777777" w:rsidR="00C06A2E" w:rsidRPr="00D93608" w:rsidRDefault="00C06A2E" w:rsidP="00F937F8">
            <w:pPr>
              <w:pStyle w:val="BodyText"/>
              <w:keepNext/>
              <w:spacing w:before="40" w:after="40" w:line="240" w:lineRule="auto"/>
              <w:ind w:firstLine="0"/>
            </w:pPr>
            <w:r w:rsidRPr="00D93608">
              <w:t>Total circuit miles</w:t>
            </w:r>
          </w:p>
        </w:tc>
        <w:tc>
          <w:tcPr>
            <w:tcW w:w="4675" w:type="dxa"/>
            <w:vAlign w:val="center"/>
          </w:tcPr>
          <w:p w14:paraId="1B5D28C7" w14:textId="7356A8A6" w:rsidR="00C06A2E" w:rsidRDefault="000A7017" w:rsidP="00F937F8">
            <w:pPr>
              <w:pStyle w:val="BodyText"/>
              <w:keepNext/>
              <w:spacing w:before="40" w:after="40" w:line="240" w:lineRule="auto"/>
              <w:ind w:firstLine="0"/>
            </w:pPr>
            <w:r>
              <w:t>Enables</w:t>
            </w:r>
            <w:r w:rsidR="00C06A2E">
              <w:t xml:space="preserve"> analysis of </w:t>
            </w:r>
            <w:r>
              <w:t>unit costs for mitigation measures</w:t>
            </w:r>
            <w:r w:rsidR="00B131A6">
              <w:t xml:space="preserve"> and cost-effective options</w:t>
            </w:r>
            <w:r w:rsidR="00C06A2E">
              <w:t>.</w:t>
            </w:r>
          </w:p>
        </w:tc>
      </w:tr>
      <w:tr w:rsidR="00C06A2E" w14:paraId="70371FA2" w14:textId="77777777" w:rsidTr="000F6EB3">
        <w:trPr>
          <w:jc w:val="center"/>
        </w:trPr>
        <w:tc>
          <w:tcPr>
            <w:tcW w:w="4675" w:type="dxa"/>
            <w:vAlign w:val="center"/>
          </w:tcPr>
          <w:p w14:paraId="68DB18A0" w14:textId="77777777" w:rsidR="00C06A2E" w:rsidRPr="00D93608" w:rsidRDefault="00C06A2E" w:rsidP="00F937F8">
            <w:pPr>
              <w:pStyle w:val="BodyText"/>
              <w:keepNext/>
              <w:spacing w:before="40" w:after="40" w:line="240" w:lineRule="auto"/>
              <w:ind w:firstLine="0"/>
            </w:pPr>
            <w:r w:rsidRPr="00D93608">
              <w:t>Percentage overhead</w:t>
            </w:r>
          </w:p>
        </w:tc>
        <w:tc>
          <w:tcPr>
            <w:tcW w:w="4675" w:type="dxa"/>
            <w:vAlign w:val="center"/>
          </w:tcPr>
          <w:p w14:paraId="384CAA89" w14:textId="17C6A002" w:rsidR="00C06A2E" w:rsidRDefault="000A7017" w:rsidP="00F937F8">
            <w:pPr>
              <w:pStyle w:val="BodyText"/>
              <w:keepNext/>
              <w:spacing w:before="40" w:after="40" w:line="240" w:lineRule="auto"/>
              <w:ind w:firstLine="0"/>
            </w:pPr>
            <w:r>
              <w:t>Enables analysis of system hardening options.</w:t>
            </w:r>
          </w:p>
        </w:tc>
      </w:tr>
      <w:tr w:rsidR="00C06A2E" w14:paraId="15DD12C6" w14:textId="77777777" w:rsidTr="000F6EB3">
        <w:trPr>
          <w:jc w:val="center"/>
        </w:trPr>
        <w:tc>
          <w:tcPr>
            <w:tcW w:w="4675" w:type="dxa"/>
            <w:vAlign w:val="center"/>
          </w:tcPr>
          <w:p w14:paraId="0DC59034" w14:textId="77777777" w:rsidR="00C06A2E" w:rsidRPr="00D93608" w:rsidRDefault="00C06A2E" w:rsidP="00F937F8">
            <w:pPr>
              <w:pStyle w:val="BodyText"/>
              <w:keepNext/>
              <w:spacing w:before="40" w:after="40" w:line="240" w:lineRule="auto"/>
              <w:ind w:firstLine="0"/>
            </w:pPr>
            <w:r w:rsidRPr="00D93608">
              <w:t>Percentage underground</w:t>
            </w:r>
          </w:p>
        </w:tc>
        <w:tc>
          <w:tcPr>
            <w:tcW w:w="4675" w:type="dxa"/>
            <w:vAlign w:val="center"/>
          </w:tcPr>
          <w:p w14:paraId="6F39C23A" w14:textId="0BDF6FAC" w:rsidR="00C06A2E" w:rsidRDefault="000A7017" w:rsidP="00F937F8">
            <w:pPr>
              <w:pStyle w:val="BodyText"/>
              <w:keepNext/>
              <w:spacing w:before="40" w:after="40" w:line="240" w:lineRule="auto"/>
              <w:ind w:firstLine="0"/>
            </w:pPr>
            <w:r>
              <w:t>Enables</w:t>
            </w:r>
            <w:r w:rsidR="00C06A2E">
              <w:t xml:space="preserve"> analysis </w:t>
            </w:r>
            <w:r>
              <w:t xml:space="preserve">of how PEDS affect overhead and underground circuits differently. </w:t>
            </w:r>
          </w:p>
        </w:tc>
      </w:tr>
      <w:tr w:rsidR="00C06A2E" w14:paraId="498551AA" w14:textId="77777777" w:rsidTr="000F6EB3">
        <w:trPr>
          <w:jc w:val="center"/>
        </w:trPr>
        <w:tc>
          <w:tcPr>
            <w:tcW w:w="4675" w:type="dxa"/>
            <w:vAlign w:val="center"/>
          </w:tcPr>
          <w:p w14:paraId="5D25F864" w14:textId="77777777" w:rsidR="00C06A2E" w:rsidRPr="00D93608" w:rsidRDefault="00C06A2E" w:rsidP="00F937F8">
            <w:pPr>
              <w:pStyle w:val="BodyText"/>
              <w:keepNext/>
              <w:spacing w:before="40" w:after="40" w:line="240" w:lineRule="auto"/>
              <w:ind w:firstLine="0"/>
            </w:pPr>
            <w:r w:rsidRPr="00D93608">
              <w:t>High Fire Threat District (HFTD) category</w:t>
            </w:r>
          </w:p>
        </w:tc>
        <w:tc>
          <w:tcPr>
            <w:tcW w:w="4675" w:type="dxa"/>
            <w:vAlign w:val="center"/>
          </w:tcPr>
          <w:p w14:paraId="14B6F297" w14:textId="3084B12B" w:rsidR="00C06A2E" w:rsidRDefault="000A7017" w:rsidP="00F937F8">
            <w:pPr>
              <w:pStyle w:val="BodyText"/>
              <w:keepNext/>
              <w:spacing w:before="40" w:after="40" w:line="240" w:lineRule="auto"/>
              <w:ind w:firstLine="0"/>
            </w:pPr>
            <w:r>
              <w:t>Enables</w:t>
            </w:r>
            <w:r w:rsidR="00C06A2E">
              <w:t xml:space="preserve"> analysis of circuits affected by changes to PEDS in HFTDs and non-HFTDs.</w:t>
            </w:r>
          </w:p>
        </w:tc>
      </w:tr>
    </w:tbl>
    <w:p w14:paraId="2CBA685C" w14:textId="77777777" w:rsidR="00C0067A" w:rsidRPr="00C0067A" w:rsidRDefault="00C0067A" w:rsidP="00C0067A">
      <w:bookmarkStart w:id="8" w:name="_Toc184038692"/>
    </w:p>
    <w:p w14:paraId="39F99C65" w14:textId="3FF1724A" w:rsidR="00C06A2E" w:rsidRPr="000A7017" w:rsidRDefault="00C06A2E" w:rsidP="00F240DB">
      <w:pPr>
        <w:pStyle w:val="Heading2"/>
      </w:pPr>
      <w:bookmarkStart w:id="9" w:name="_Toc184385711"/>
      <w:r w:rsidRPr="000A7017">
        <w:t>Energy Safety should specify the</w:t>
      </w:r>
      <w:r w:rsidR="00667CBA">
        <w:t xml:space="preserve"> data quality and</w:t>
      </w:r>
      <w:r w:rsidRPr="000A7017">
        <w:t xml:space="preserve"> reporting outcomes it envisions </w:t>
      </w:r>
      <w:r w:rsidR="00AE34BE">
        <w:t>for</w:t>
      </w:r>
      <w:r w:rsidRPr="000A7017">
        <w:t xml:space="preserve"> Quality Assurance and Quality Control (QA/QC) data.</w:t>
      </w:r>
      <w:bookmarkEnd w:id="8"/>
      <w:bookmarkEnd w:id="9"/>
      <w:r w:rsidRPr="000A7017">
        <w:t xml:space="preserve"> </w:t>
      </w:r>
    </w:p>
    <w:p w14:paraId="37F19E91" w14:textId="4E6823A5" w:rsidR="00C06A2E" w:rsidRPr="00C06A2E" w:rsidRDefault="000A7017" w:rsidP="00223A13">
      <w:pPr>
        <w:pStyle w:val="BodyText"/>
      </w:pPr>
      <w:r>
        <w:t>T</w:t>
      </w:r>
      <w:r w:rsidR="00C06A2E" w:rsidRPr="00C06A2E">
        <w:t>he Draft 2026-2028 WMP Guidelines require utilities to discuss and report on the</w:t>
      </w:r>
      <w:r w:rsidR="00B33DAD">
        <w:t>ir</w:t>
      </w:r>
      <w:r w:rsidR="00C06A2E" w:rsidRPr="00C06A2E">
        <w:t xml:space="preserve"> Quality Assurance and Quality Control (QA/QC) programs, procedures, and data related to asset inspections and vegetation management.</w:t>
      </w:r>
      <w:r w:rsidR="00C06A2E" w:rsidRPr="00C06A2E">
        <w:rPr>
          <w:b/>
          <w:u w:val="single"/>
          <w:vertAlign w:val="superscript"/>
        </w:rPr>
        <w:footnoteReference w:id="18"/>
      </w:r>
      <w:r w:rsidR="00C06A2E" w:rsidRPr="00C06A2E">
        <w:rPr>
          <w:b/>
          <w:u w:val="single"/>
          <w:vertAlign w:val="superscript"/>
        </w:rPr>
        <w:t>,</w:t>
      </w:r>
      <w:r w:rsidR="00C06A2E" w:rsidRPr="00C06A2E">
        <w:t xml:space="preserve"> </w:t>
      </w:r>
      <w:r w:rsidR="00C06A2E" w:rsidRPr="00C06A2E">
        <w:rPr>
          <w:b/>
          <w:u w:val="single"/>
          <w:vertAlign w:val="superscript"/>
        </w:rPr>
        <w:footnoteReference w:id="19"/>
      </w:r>
      <w:r w:rsidR="00C06A2E" w:rsidRPr="00C06A2E">
        <w:t xml:space="preserve">  Energy Safety made </w:t>
      </w:r>
      <w:r w:rsidR="00B131A6">
        <w:t xml:space="preserve">beneficial </w:t>
      </w:r>
      <w:r w:rsidR="00C06A2E" w:rsidRPr="00C06A2E">
        <w:t xml:space="preserve">revisions reflected in the </w:t>
      </w:r>
      <w:r w:rsidR="00667CBA">
        <w:t xml:space="preserve">Draft </w:t>
      </w:r>
      <w:r w:rsidR="00C06A2E" w:rsidRPr="00C06A2E">
        <w:t>2026-2028 WMP Guidelines</w:t>
      </w:r>
      <w:r w:rsidR="00801DA1">
        <w:t xml:space="preserve">: these </w:t>
      </w:r>
      <w:r w:rsidR="00C06A2E" w:rsidRPr="00C06A2E">
        <w:t>requir</w:t>
      </w:r>
      <w:r w:rsidR="00801DA1">
        <w:t>e</w:t>
      </w:r>
      <w:r w:rsidR="00C06A2E" w:rsidRPr="00C06A2E">
        <w:t xml:space="preserve"> the utilities to report on program </w:t>
      </w:r>
      <w:r w:rsidR="00C06A2E" w:rsidRPr="00C06A2E">
        <w:lastRenderedPageBreak/>
        <w:t>objectives</w:t>
      </w:r>
      <w:r w:rsidR="00801DA1">
        <w:t xml:space="preserve"> and</w:t>
      </w:r>
      <w:r w:rsidR="00C06A2E" w:rsidRPr="00C06A2E">
        <w:t xml:space="preserve"> sampl</w:t>
      </w:r>
      <w:r w:rsidR="00801DA1">
        <w:t>e</w:t>
      </w:r>
      <w:r w:rsidR="00C06A2E" w:rsidRPr="00C06A2E">
        <w:t xml:space="preserve"> methodology, pass rate calculations, and other metrics that evaluate the effectiveness of QA/QC by the utilities.</w:t>
      </w:r>
      <w:r w:rsidR="00C06A2E" w:rsidRPr="00C06A2E">
        <w:rPr>
          <w:b/>
          <w:u w:val="single"/>
          <w:vertAlign w:val="superscript"/>
        </w:rPr>
        <w:footnoteReference w:id="20"/>
      </w:r>
      <w:r w:rsidR="00C06A2E" w:rsidRPr="00C06A2E">
        <w:rPr>
          <w:b/>
          <w:u w:val="single"/>
          <w:vertAlign w:val="superscript"/>
        </w:rPr>
        <w:t>,</w:t>
      </w:r>
      <w:r w:rsidR="00C06A2E" w:rsidRPr="00C06A2E">
        <w:t xml:space="preserve"> </w:t>
      </w:r>
      <w:r w:rsidR="00C06A2E" w:rsidRPr="00C06A2E">
        <w:rPr>
          <w:b/>
          <w:u w:val="single"/>
          <w:vertAlign w:val="superscript"/>
        </w:rPr>
        <w:footnoteReference w:id="21"/>
      </w:r>
    </w:p>
    <w:p w14:paraId="4B5CEC47" w14:textId="6B6105F1" w:rsidR="00C06A2E" w:rsidRPr="00C06A2E" w:rsidRDefault="00C06A2E" w:rsidP="00223A13">
      <w:pPr>
        <w:pStyle w:val="BodyText"/>
      </w:pPr>
      <w:r w:rsidRPr="00C06A2E">
        <w:t xml:space="preserve">However, the Draft 2026-2028 WMP </w:t>
      </w:r>
      <w:r w:rsidR="00667CBA">
        <w:t>G</w:t>
      </w:r>
      <w:r w:rsidRPr="00C06A2E">
        <w:t xml:space="preserve">uidelines do not establish the expected outcomes </w:t>
      </w:r>
      <w:r w:rsidR="00C1432C">
        <w:t xml:space="preserve">which </w:t>
      </w:r>
      <w:r w:rsidRPr="00C06A2E">
        <w:t>Energy Safety expects the utilities to reach</w:t>
      </w:r>
      <w:r w:rsidR="00667CBA">
        <w:t xml:space="preserve">, in terms of the types and quality </w:t>
      </w:r>
      <w:r w:rsidRPr="00C06A2E">
        <w:t xml:space="preserve">of QA/QC data </w:t>
      </w:r>
      <w:r w:rsidR="00667CBA">
        <w:t>that utilities will report during</w:t>
      </w:r>
      <w:r w:rsidR="00667CBA" w:rsidRPr="00C06A2E">
        <w:t xml:space="preserve"> </w:t>
      </w:r>
      <w:r w:rsidRPr="00C06A2E">
        <w:t xml:space="preserve">the upcoming 2026-2028 WMP cycle.  Additionally, the </w:t>
      </w:r>
      <w:r w:rsidR="00667CBA" w:rsidRPr="00667CBA">
        <w:t xml:space="preserve">Draft 2026-2028 WMP </w:t>
      </w:r>
      <w:r w:rsidRPr="00C06A2E">
        <w:t xml:space="preserve">Guidelines do not address potential repercussions or </w:t>
      </w:r>
      <w:r w:rsidR="00893C2A">
        <w:t>remedies</w:t>
      </w:r>
      <w:r w:rsidR="00893C2A" w:rsidRPr="00C06A2E">
        <w:t xml:space="preserve"> </w:t>
      </w:r>
      <w:r w:rsidR="000A7017">
        <w:t>if</w:t>
      </w:r>
      <w:r w:rsidR="000A7017" w:rsidRPr="00C06A2E">
        <w:t xml:space="preserve"> </w:t>
      </w:r>
      <w:r w:rsidRPr="00C06A2E">
        <w:t>utilities fail to meet the standards that</w:t>
      </w:r>
      <w:r w:rsidR="006D66A6">
        <w:t xml:space="preserve"> Energy Safety sets forth in WMP guidelines or decisions approving WMPs</w:t>
      </w:r>
      <w:r w:rsidRPr="00C06A2E">
        <w:t>.</w:t>
      </w:r>
      <w:r w:rsidR="00C1432C">
        <w:t xml:space="preserve"> Thus, </w:t>
      </w:r>
      <w:r w:rsidR="00893C2A">
        <w:t>Energy Safety should improve the guidelines by setting QA/QC objectives and discussing remedies for non-compliance, as described below.</w:t>
      </w:r>
    </w:p>
    <w:p w14:paraId="46E14432" w14:textId="77777777" w:rsidR="00C06A2E" w:rsidRPr="00C0067A" w:rsidRDefault="00C06A2E" w:rsidP="00F240DB">
      <w:pPr>
        <w:pStyle w:val="Heading3"/>
      </w:pPr>
      <w:bookmarkStart w:id="10" w:name="_Toc184038693"/>
      <w:bookmarkStart w:id="11" w:name="_Toc184385712"/>
      <w:r w:rsidRPr="00C0067A">
        <w:t>Energy Safety should set expected objectives for utility reporting on Quality Assurance and Quality Control data for the 2026-2028 WMP cycle.</w:t>
      </w:r>
      <w:bookmarkEnd w:id="10"/>
      <w:bookmarkEnd w:id="11"/>
    </w:p>
    <w:p w14:paraId="581913C7" w14:textId="2127D68C" w:rsidR="00223A13" w:rsidRPr="00C06A2E" w:rsidRDefault="00223A13" w:rsidP="00223A13">
      <w:pPr>
        <w:pStyle w:val="BodyText"/>
        <w:spacing w:before="240"/>
      </w:pPr>
      <w:r w:rsidRPr="00C06A2E">
        <w:t xml:space="preserve">Cal Advocates has previously </w:t>
      </w:r>
      <w:r w:rsidR="004D63C5">
        <w:t>demonstrated</w:t>
      </w:r>
      <w:r w:rsidR="004D63C5" w:rsidRPr="00C06A2E">
        <w:t xml:space="preserve"> </w:t>
      </w:r>
      <w:r w:rsidRPr="00C06A2E">
        <w:t>utilities</w:t>
      </w:r>
      <w:r>
        <w:t>’ shortcomings</w:t>
      </w:r>
      <w:r w:rsidRPr="00C06A2E">
        <w:t xml:space="preserve"> related to QA/QC data reported within the WMP</w:t>
      </w:r>
      <w:r>
        <w:t>s</w:t>
      </w:r>
      <w:r w:rsidR="00C1432C">
        <w:t>.</w:t>
      </w:r>
      <w:r w:rsidRPr="00C06A2E">
        <w:rPr>
          <w:b/>
          <w:u w:val="single"/>
          <w:vertAlign w:val="superscript"/>
        </w:rPr>
        <w:footnoteReference w:id="22"/>
      </w:r>
      <w:r w:rsidRPr="00C06A2E">
        <w:t xml:space="preserve"> </w:t>
      </w:r>
      <w:r w:rsidR="00C1432C">
        <w:t xml:space="preserve"> These shortcomings include</w:t>
      </w:r>
      <w:r>
        <w:t xml:space="preserve"> </w:t>
      </w:r>
      <w:r w:rsidR="004D63C5">
        <w:t xml:space="preserve">the </w:t>
      </w:r>
      <w:r>
        <w:t>routine failure</w:t>
      </w:r>
      <w:r w:rsidRPr="00C06A2E">
        <w:t xml:space="preserve"> to report QA/QC data in the appropriate format or units </w:t>
      </w:r>
      <w:r>
        <w:t>(</w:t>
      </w:r>
      <w:r w:rsidRPr="00C06A2E">
        <w:t xml:space="preserve">as required by </w:t>
      </w:r>
      <w:r>
        <w:t>previous WMP g</w:t>
      </w:r>
      <w:r w:rsidRPr="00C06A2E">
        <w:t>uidelines</w:t>
      </w:r>
      <w:r>
        <w:t>)</w:t>
      </w:r>
      <w:r w:rsidRPr="00C06A2E">
        <w:t>.</w:t>
      </w:r>
      <w:r w:rsidRPr="00C06A2E">
        <w:rPr>
          <w:b/>
          <w:u w:val="single"/>
          <w:vertAlign w:val="superscript"/>
        </w:rPr>
        <w:footnoteReference w:id="23"/>
      </w:r>
      <w:r w:rsidRPr="00C06A2E">
        <w:t xml:space="preserve">  Energy Safety should revise the Draft 2026-2028 WMP Guidelines to establish expected objectives on </w:t>
      </w:r>
      <w:r>
        <w:t xml:space="preserve">the </w:t>
      </w:r>
      <w:r w:rsidRPr="00C06A2E">
        <w:t>reporting of QA/QC programs and procedures</w:t>
      </w:r>
      <w:r>
        <w:t>, and expected outcomes</w:t>
      </w:r>
      <w:r w:rsidRPr="00C06A2E">
        <w:t xml:space="preserve"> by the end of the 2026-2028 WMP cycle.  For example, all utilities should be required to report QA/QC data in </w:t>
      </w:r>
      <w:r w:rsidR="00C1432C">
        <w:t>comparable</w:t>
      </w:r>
      <w:r w:rsidRPr="00C06A2E">
        <w:t xml:space="preserve"> units </w:t>
      </w:r>
      <w:r>
        <w:t>(which should be specified in</w:t>
      </w:r>
      <w:r w:rsidRPr="00C06A2E">
        <w:t xml:space="preserve"> the WMP </w:t>
      </w:r>
      <w:r>
        <w:t>g</w:t>
      </w:r>
      <w:r w:rsidRPr="00C06A2E">
        <w:t>uidelines</w:t>
      </w:r>
      <w:r>
        <w:t>)</w:t>
      </w:r>
      <w:r w:rsidRPr="00C06A2E">
        <w:t xml:space="preserve"> by the </w:t>
      </w:r>
      <w:r>
        <w:t>time they submit their next comprehensive WMPs</w:t>
      </w:r>
      <w:r w:rsidRPr="00C06A2E">
        <w:t xml:space="preserve"> (</w:t>
      </w:r>
      <w:r>
        <w:t>for 2026-2028</w:t>
      </w:r>
      <w:r w:rsidRPr="00C06A2E">
        <w:t>)</w:t>
      </w:r>
      <w:r>
        <w:t>.  Utilities should also</w:t>
      </w:r>
      <w:r w:rsidRPr="00C06A2E">
        <w:t xml:space="preserve"> achieve any additional Energy Safety requirements by the end of the upcoming WMP cycle (2026-2028 WMP cycle).    </w:t>
      </w:r>
    </w:p>
    <w:p w14:paraId="2ADDB9A7" w14:textId="6C89EC9C" w:rsidR="00C06A2E" w:rsidRPr="00C06A2E" w:rsidRDefault="00C06A2E" w:rsidP="00F240DB">
      <w:pPr>
        <w:pStyle w:val="Heading3"/>
      </w:pPr>
      <w:bookmarkStart w:id="12" w:name="_Toc184038694"/>
      <w:bookmarkStart w:id="13" w:name="_Toc184385713"/>
      <w:r w:rsidRPr="00C06A2E">
        <w:t xml:space="preserve">Energy Safety </w:t>
      </w:r>
      <w:r w:rsidRPr="003E4060">
        <w:t>should</w:t>
      </w:r>
      <w:r w:rsidRPr="00C06A2E">
        <w:t xml:space="preserve"> </w:t>
      </w:r>
      <w:r w:rsidR="00F937F8">
        <w:t>describe consequences for</w:t>
      </w:r>
      <w:r w:rsidRPr="00C06A2E">
        <w:t xml:space="preserve"> </w:t>
      </w:r>
      <w:r w:rsidR="00685AA0">
        <w:t xml:space="preserve">any </w:t>
      </w:r>
      <w:r w:rsidRPr="00C06A2E">
        <w:t xml:space="preserve">failure to accurately report </w:t>
      </w:r>
      <w:r w:rsidR="00685AA0">
        <w:t>QA/QC</w:t>
      </w:r>
      <w:r w:rsidRPr="00C06A2E">
        <w:t xml:space="preserve"> data.</w:t>
      </w:r>
      <w:bookmarkEnd w:id="12"/>
      <w:bookmarkEnd w:id="13"/>
    </w:p>
    <w:p w14:paraId="1728185B" w14:textId="67B17FC1" w:rsidR="00C06A2E" w:rsidRPr="00C06A2E" w:rsidRDefault="00B131A6" w:rsidP="00223A13">
      <w:pPr>
        <w:pStyle w:val="BodyText"/>
      </w:pPr>
      <w:r>
        <w:t>T</w:t>
      </w:r>
      <w:r w:rsidR="00C06A2E" w:rsidRPr="00C06A2E">
        <w:t>he utilities</w:t>
      </w:r>
      <w:r>
        <w:t>’</w:t>
      </w:r>
      <w:r w:rsidR="00C06A2E" w:rsidRPr="00C06A2E">
        <w:t xml:space="preserve"> reporting on their WMP QA/QC programs </w:t>
      </w:r>
      <w:r>
        <w:t>has</w:t>
      </w:r>
      <w:r w:rsidR="00C06A2E" w:rsidRPr="00C06A2E">
        <w:t xml:space="preserve"> been an ongoing issue throughout the past WMP cycles.  To prevent this issue from arising in upcoming WMP cycles, </w:t>
      </w:r>
      <w:r w:rsidR="00C06A2E" w:rsidRPr="00C06A2E">
        <w:lastRenderedPageBreak/>
        <w:t xml:space="preserve">Energy Safety should include language within the 2026-2028 WMP Guidelines to address </w:t>
      </w:r>
      <w:r>
        <w:t xml:space="preserve">what happens </w:t>
      </w:r>
      <w:r w:rsidR="00C06A2E" w:rsidRPr="00C06A2E">
        <w:t xml:space="preserve">when utilities fail to meet </w:t>
      </w:r>
      <w:r>
        <w:t>Energy Safety’s</w:t>
      </w:r>
      <w:r w:rsidRPr="00C06A2E">
        <w:t xml:space="preserve"> </w:t>
      </w:r>
      <w:r w:rsidR="00C06A2E" w:rsidRPr="00C06A2E">
        <w:t xml:space="preserve">standards.   </w:t>
      </w:r>
    </w:p>
    <w:p w14:paraId="783B28FB" w14:textId="154294C5" w:rsidR="00C06A2E" w:rsidRPr="00C06A2E" w:rsidRDefault="00C06A2E" w:rsidP="00223A13">
      <w:pPr>
        <w:pStyle w:val="BodyText"/>
      </w:pPr>
      <w:r w:rsidRPr="00C06A2E">
        <w:t>As the Draft 2026-2028 WMP Guidelines currently stand, there is no discussi</w:t>
      </w:r>
      <w:r w:rsidR="00E5112D">
        <w:t>o</w:t>
      </w:r>
      <w:r w:rsidRPr="00C06A2E">
        <w:t xml:space="preserve">n </w:t>
      </w:r>
      <w:r w:rsidR="00E5112D">
        <w:t>of</w:t>
      </w:r>
      <w:r w:rsidR="00E5112D" w:rsidRPr="00C06A2E">
        <w:t xml:space="preserve"> </w:t>
      </w:r>
      <w:r w:rsidRPr="00C06A2E">
        <w:t xml:space="preserve">potential </w:t>
      </w:r>
      <w:r w:rsidR="00F937F8">
        <w:t>remedies</w:t>
      </w:r>
      <w:r w:rsidRPr="00C06A2E">
        <w:t xml:space="preserve"> </w:t>
      </w:r>
      <w:r w:rsidR="00E5112D">
        <w:t>and</w:t>
      </w:r>
      <w:r w:rsidR="00E5112D" w:rsidRPr="00C06A2E">
        <w:t xml:space="preserve"> </w:t>
      </w:r>
      <w:r w:rsidRPr="00C06A2E">
        <w:t xml:space="preserve">repercussions </w:t>
      </w:r>
      <w:r w:rsidR="00E47909">
        <w:t>if</w:t>
      </w:r>
      <w:r w:rsidRPr="00C06A2E">
        <w:t xml:space="preserve"> utilities fail to meet the reporting standards.  Energy Safety should update the Draft 2026-2028 WMP Guidelines to </w:t>
      </w:r>
      <w:r w:rsidR="00D97298">
        <w:t>describe options</w:t>
      </w:r>
      <w:r w:rsidR="00E5112D">
        <w:t>,</w:t>
      </w:r>
      <w:r w:rsidR="00D97298">
        <w:t xml:space="preserve"> </w:t>
      </w:r>
      <w:r w:rsidR="00E5112D">
        <w:t>including</w:t>
      </w:r>
      <w:r w:rsidRPr="00C06A2E">
        <w:t xml:space="preserve"> the outright denial of a submitted WMP</w:t>
      </w:r>
      <w:r w:rsidR="00E5112D">
        <w:t>,</w:t>
      </w:r>
      <w:r w:rsidRPr="00C06A2E">
        <w:t xml:space="preserve"> for failure to comply with the </w:t>
      </w:r>
      <w:r w:rsidR="00D97298">
        <w:t>g</w:t>
      </w:r>
      <w:r w:rsidRPr="00C06A2E">
        <w:t xml:space="preserve">uidelines.  Energy Safety should revise Sections 8.5 and 9.10, </w:t>
      </w:r>
      <w:r w:rsidR="00D97298">
        <w:t>by adding the language proposed below to the end of each section</w:t>
      </w:r>
      <w:r w:rsidRPr="00C06A2E">
        <w:t>.</w:t>
      </w:r>
      <w:r w:rsidRPr="00C06A2E">
        <w:rPr>
          <w:b/>
          <w:u w:val="single"/>
          <w:vertAlign w:val="superscript"/>
        </w:rPr>
        <w:footnoteReference w:id="24"/>
      </w:r>
      <w:r w:rsidRPr="00C06A2E">
        <w:rPr>
          <w:b/>
          <w:u w:val="single"/>
          <w:vertAlign w:val="superscript"/>
        </w:rPr>
        <w:t>,</w:t>
      </w:r>
      <w:r w:rsidRPr="00C06A2E">
        <w:t xml:space="preserve"> </w:t>
      </w:r>
      <w:r w:rsidRPr="00C06A2E">
        <w:rPr>
          <w:b/>
          <w:u w:val="single"/>
          <w:vertAlign w:val="superscript"/>
        </w:rPr>
        <w:footnoteReference w:id="25"/>
      </w:r>
      <w:r w:rsidRPr="00C06A2E">
        <w:t xml:space="preserve">  </w:t>
      </w:r>
    </w:p>
    <w:p w14:paraId="10A021CB" w14:textId="77777777" w:rsidR="00C06A2E" w:rsidRDefault="00C06A2E" w:rsidP="00A854F4">
      <w:pPr>
        <w:tabs>
          <w:tab w:val="clear" w:pos="5040"/>
        </w:tabs>
        <w:ind w:left="720" w:right="720"/>
        <w:rPr>
          <w:color w:val="000000" w:themeColor="text1"/>
          <w:szCs w:val="24"/>
        </w:rPr>
      </w:pPr>
      <w:r w:rsidRPr="00A854F4">
        <w:rPr>
          <w:color w:val="000000" w:themeColor="text1"/>
          <w:szCs w:val="24"/>
        </w:rPr>
        <w:t xml:space="preserve">Section 8.5.8: Failure to Report QA and QC Data Related to Asset Inspections. </w:t>
      </w:r>
    </w:p>
    <w:p w14:paraId="63C3EA46" w14:textId="77777777" w:rsidR="00BE7DCF" w:rsidRPr="00A854F4" w:rsidRDefault="00BE7DCF" w:rsidP="00A854F4">
      <w:pPr>
        <w:tabs>
          <w:tab w:val="clear" w:pos="5040"/>
        </w:tabs>
        <w:ind w:left="720" w:right="720"/>
        <w:rPr>
          <w:color w:val="000000" w:themeColor="text1"/>
          <w:szCs w:val="24"/>
        </w:rPr>
      </w:pPr>
    </w:p>
    <w:p w14:paraId="4F771459" w14:textId="0B890834" w:rsidR="00D97298" w:rsidRPr="005D758E" w:rsidRDefault="00C06A2E" w:rsidP="00BE7DCF">
      <w:pPr>
        <w:pStyle w:val="ListParagraph"/>
        <w:spacing w:after="240"/>
        <w:ind w:left="1080" w:right="720"/>
      </w:pPr>
      <w:r w:rsidRPr="00A854F4">
        <w:t xml:space="preserve">In this section, the electrical corporation must follow the </w:t>
      </w:r>
      <w:r w:rsidR="00D97298">
        <w:t>requirements</w:t>
      </w:r>
      <w:r w:rsidR="00D97298" w:rsidRPr="00A854F4">
        <w:t xml:space="preserve"> </w:t>
      </w:r>
      <w:r w:rsidRPr="00A854F4">
        <w:t xml:space="preserve">related to </w:t>
      </w:r>
      <w:r w:rsidR="00D97298">
        <w:t>reporting</w:t>
      </w:r>
      <w:r w:rsidRPr="00A854F4">
        <w:t xml:space="preserve"> QA and QC data for Asset Inspections</w:t>
      </w:r>
      <w:r w:rsidR="00D97298">
        <w:t xml:space="preserve"> contained in the WMP Guidelines and in the Areas for Continued Improvement contained in previous decisions issued by Energy Safety</w:t>
      </w:r>
      <w:r w:rsidRPr="00A854F4">
        <w:t xml:space="preserve">.  </w:t>
      </w:r>
      <w:r w:rsidRPr="00893C2A">
        <w:t>Should</w:t>
      </w:r>
      <w:r w:rsidR="00CD7858" w:rsidRPr="00893C2A">
        <w:t xml:space="preserve"> </w:t>
      </w:r>
      <w:r w:rsidR="00D97298" w:rsidRPr="00893C2A">
        <w:t xml:space="preserve">an </w:t>
      </w:r>
      <w:r w:rsidRPr="00893C2A">
        <w:t>electrical corporation</w:t>
      </w:r>
      <w:r w:rsidR="00D97298" w:rsidRPr="00893C2A">
        <w:t>’</w:t>
      </w:r>
      <w:r w:rsidRPr="00893C2A">
        <w:t>s QA and QC data not meet the standards set forth by</w:t>
      </w:r>
      <w:r w:rsidR="00CD7858" w:rsidRPr="00893C2A">
        <w:t xml:space="preserve"> </w:t>
      </w:r>
      <w:r w:rsidRPr="00893C2A">
        <w:t>the Guidelines</w:t>
      </w:r>
      <w:r w:rsidR="00D97298" w:rsidRPr="00893C2A">
        <w:t xml:space="preserve"> or previous Energy Safety decisions</w:t>
      </w:r>
      <w:r w:rsidRPr="00893C2A">
        <w:t xml:space="preserve">, Energy Safety </w:t>
      </w:r>
      <w:r w:rsidR="00D97298" w:rsidRPr="00893C2A">
        <w:t>may</w:t>
      </w:r>
      <w:r w:rsidRPr="00893C2A">
        <w:t xml:space="preserve"> deny the electrical corporation</w:t>
      </w:r>
      <w:r w:rsidR="00D97298" w:rsidRPr="00893C2A">
        <w:t>’</w:t>
      </w:r>
      <w:r w:rsidRPr="00893C2A">
        <w:t>s submitted WMP or WMP Update</w:t>
      </w:r>
      <w:r w:rsidR="00D97298" w:rsidRPr="00893C2A">
        <w:t>, conduct supplemental audits of records and data, conduct supplemental compliance inspections, refer the non-compliance to the California Public Utilities Commission</w:t>
      </w:r>
      <w:r w:rsidR="00252BF9" w:rsidRPr="00893C2A">
        <w:t xml:space="preserve"> (CPUC)</w:t>
      </w:r>
      <w:r w:rsidR="00D97298" w:rsidRPr="00893C2A">
        <w:t xml:space="preserve"> for enforcement action, or </w:t>
      </w:r>
      <w:r w:rsidR="004D63C5" w:rsidRPr="00893C2A">
        <w:t xml:space="preserve">require the electrical corporation to undertake </w:t>
      </w:r>
      <w:r w:rsidR="00D97298" w:rsidRPr="00893C2A">
        <w:t>other remedial actions</w:t>
      </w:r>
      <w:r w:rsidR="00893C2A">
        <w:t xml:space="preserve"> (the costs of which should be tracked in a distinct sub-account of the </w:t>
      </w:r>
      <w:r w:rsidR="00885AD2">
        <w:t>electrical corporation’s</w:t>
      </w:r>
      <w:r w:rsidR="00893C2A">
        <w:t xml:space="preserve"> WMP memorandum account so that the CPUC can review them for reasonableness)</w:t>
      </w:r>
      <w:r w:rsidR="00D97298">
        <w:t>.</w:t>
      </w:r>
    </w:p>
    <w:p w14:paraId="45D803B9" w14:textId="274CFC48" w:rsidR="00C06A2E" w:rsidRDefault="00C06A2E" w:rsidP="00F240DB">
      <w:pPr>
        <w:tabs>
          <w:tab w:val="clear" w:pos="5040"/>
        </w:tabs>
        <w:spacing w:line="360" w:lineRule="auto"/>
        <w:ind w:right="720" w:firstLine="720"/>
        <w:rPr>
          <w:color w:val="000000" w:themeColor="text1"/>
          <w:szCs w:val="24"/>
        </w:rPr>
      </w:pPr>
      <w:r w:rsidRPr="00A854F4">
        <w:rPr>
          <w:color w:val="000000" w:themeColor="text1"/>
          <w:szCs w:val="24"/>
        </w:rPr>
        <w:t xml:space="preserve">Section 9.10.8: Failure to Report QA and QC Data Related to Vegetation Management. </w:t>
      </w:r>
    </w:p>
    <w:p w14:paraId="0B13AEB2" w14:textId="097808FD" w:rsidR="00C06A2E" w:rsidRPr="00A854F4" w:rsidRDefault="00C06A2E" w:rsidP="00BE7DCF">
      <w:pPr>
        <w:pStyle w:val="ListParagraph"/>
        <w:ind w:right="720"/>
      </w:pPr>
      <w:r w:rsidRPr="00A854F4">
        <w:t xml:space="preserve">In this section, the electrical corporation must follow the Guidelines related to </w:t>
      </w:r>
      <w:r w:rsidR="00D97298">
        <w:t xml:space="preserve">reporting </w:t>
      </w:r>
      <w:r w:rsidRPr="00A854F4">
        <w:t xml:space="preserve">QA and QC data for Vegetation Management.  Should </w:t>
      </w:r>
      <w:r w:rsidR="00D97298">
        <w:t>an</w:t>
      </w:r>
      <w:r w:rsidR="00D97298" w:rsidRPr="00A854F4">
        <w:t xml:space="preserve"> </w:t>
      </w:r>
      <w:r w:rsidRPr="00A854F4">
        <w:t>electrical corporation</w:t>
      </w:r>
      <w:r w:rsidR="00D97298">
        <w:t>’</w:t>
      </w:r>
      <w:r w:rsidRPr="00A854F4">
        <w:t>s QA and QC data not meet the standards set forth by the Guidelines, Energy Safety reserves the right to deny the electrical corporations submitted WMP or WMP Update.</w:t>
      </w:r>
      <w:r w:rsidR="00D80268">
        <w:t xml:space="preserve">  </w:t>
      </w:r>
      <w:r w:rsidR="00D80268" w:rsidRPr="00893C2A">
        <w:t xml:space="preserve">Should an electrical corporation’s QA and QC data not meet the standards set forth by the Guidelines or previous Energy Safety decisions, Energy Safety may deny the electrical corporation’s submitted WMP or WMP Update, conduct supplemental audits of records and data, conduct supplemental compliance inspections, refer the non-compliance to the </w:t>
      </w:r>
      <w:r w:rsidR="00252BF9" w:rsidRPr="00893C2A">
        <w:t xml:space="preserve">CPUC </w:t>
      </w:r>
      <w:r w:rsidR="00D80268" w:rsidRPr="00893C2A">
        <w:t xml:space="preserve">for </w:t>
      </w:r>
      <w:r w:rsidR="00D80268" w:rsidRPr="00893C2A">
        <w:lastRenderedPageBreak/>
        <w:t xml:space="preserve">enforcement action, or require the electrical corporation to undertake other remedial actions </w:t>
      </w:r>
      <w:r w:rsidR="00885AD2" w:rsidRPr="00885AD2">
        <w:t>(the costs of which should be tracked in a distinct sub-account of the electrical corporation’s WMP memorandum account so that the CPUC can review them for reasonableness)</w:t>
      </w:r>
      <w:r w:rsidR="00D80268">
        <w:t>.</w:t>
      </w:r>
      <w:r w:rsidRPr="00A854F4">
        <w:t xml:space="preserve"> </w:t>
      </w:r>
    </w:p>
    <w:p w14:paraId="0D219804" w14:textId="10FE3090" w:rsidR="00C06A2E" w:rsidRPr="00C06A2E" w:rsidRDefault="00C06A2E" w:rsidP="00223A13">
      <w:pPr>
        <w:pStyle w:val="BodyText"/>
      </w:pPr>
      <w:r w:rsidRPr="00C06A2E">
        <w:t>It is prudent for Energy Safety to includ</w:t>
      </w:r>
      <w:r w:rsidR="005D758E">
        <w:t>e</w:t>
      </w:r>
      <w:r w:rsidRPr="00C06A2E">
        <w:t xml:space="preserve"> this language within the current Draft 2026-2028 WMP Guidelines and at the beginning of a WMP cycle, to set </w:t>
      </w:r>
      <w:r w:rsidR="005D758E">
        <w:t>expectations</w:t>
      </w:r>
      <w:r w:rsidRPr="00C06A2E">
        <w:t xml:space="preserve"> prior to the </w:t>
      </w:r>
      <w:r w:rsidR="005D758E">
        <w:t xml:space="preserve">new </w:t>
      </w:r>
      <w:r w:rsidRPr="00C06A2E">
        <w:t>WMP cycle.  The additional language would strengthen the 2026-2028 WMP Guidelines</w:t>
      </w:r>
      <w:r w:rsidR="005D758E">
        <w:t xml:space="preserve">, </w:t>
      </w:r>
      <w:r w:rsidRPr="00C06A2E">
        <w:t>provide clarity</w:t>
      </w:r>
      <w:r w:rsidR="005D758E">
        <w:t>,</w:t>
      </w:r>
      <w:r w:rsidRPr="00C06A2E">
        <w:t xml:space="preserve"> and help prevent further utility non-compliance with the </w:t>
      </w:r>
      <w:r w:rsidR="005D758E">
        <w:t xml:space="preserve">WMP </w:t>
      </w:r>
      <w:r w:rsidRPr="00C06A2E">
        <w:t xml:space="preserve">Guidelines and Areas of Continued Improvement.  </w:t>
      </w:r>
    </w:p>
    <w:p w14:paraId="236FAE47" w14:textId="393DDC7A" w:rsidR="00775638" w:rsidRPr="006C42D5" w:rsidRDefault="0037437D" w:rsidP="00F240DB">
      <w:pPr>
        <w:pStyle w:val="Heading2"/>
      </w:pPr>
      <w:bookmarkStart w:id="14" w:name="_Toc184053649"/>
      <w:bookmarkStart w:id="15" w:name="_Toc184385714"/>
      <w:bookmarkEnd w:id="14"/>
      <w:r w:rsidRPr="006C42D5">
        <w:t>Energy Safety should</w:t>
      </w:r>
      <w:r w:rsidR="008613B7" w:rsidRPr="006C42D5">
        <w:t xml:space="preserve"> </w:t>
      </w:r>
      <w:r w:rsidR="00B9519E">
        <w:t xml:space="preserve">require </w:t>
      </w:r>
      <w:r w:rsidR="00FD0903">
        <w:t xml:space="preserve">utilities to include </w:t>
      </w:r>
      <w:r w:rsidR="00B9519E">
        <w:t>actual WMP expenditures from the prior WMP cycle</w:t>
      </w:r>
      <w:r w:rsidR="002D24C9" w:rsidRPr="006C42D5">
        <w:t>.</w:t>
      </w:r>
      <w:bookmarkEnd w:id="15"/>
    </w:p>
    <w:p w14:paraId="65EDF9B3" w14:textId="515C48A8" w:rsidR="004123CE" w:rsidRDefault="00A04F82" w:rsidP="00744667">
      <w:pPr>
        <w:pStyle w:val="BodyText"/>
      </w:pPr>
      <w:r>
        <w:t>T</w:t>
      </w:r>
      <w:r w:rsidR="00E84080">
        <w:t xml:space="preserve">he </w:t>
      </w:r>
      <w:r w:rsidR="00E84080" w:rsidRPr="006C42D5">
        <w:t>Draft 202</w:t>
      </w:r>
      <w:r w:rsidR="00E84080">
        <w:t>6-2028 WMP</w:t>
      </w:r>
      <w:r w:rsidR="00E84080" w:rsidRPr="006C42D5">
        <w:t xml:space="preserve"> Guidelines</w:t>
      </w:r>
      <w:r w:rsidR="00E84080">
        <w:t xml:space="preserve"> direct utilities to report their projected WMP expenditures for the </w:t>
      </w:r>
      <w:r w:rsidR="00FD0903">
        <w:t xml:space="preserve">upcoming </w:t>
      </w:r>
      <w:r w:rsidR="00E84080">
        <w:t>WMP cycle</w:t>
      </w:r>
      <w:r w:rsidR="00862D98">
        <w:t>’s three years</w:t>
      </w:r>
      <w:r w:rsidR="00E84080">
        <w:t>.</w:t>
      </w:r>
      <w:r w:rsidR="00E84080" w:rsidRPr="006C42D5">
        <w:rPr>
          <w:rStyle w:val="FootnoteReference"/>
        </w:rPr>
        <w:footnoteReference w:id="26"/>
      </w:r>
      <w:r w:rsidR="00D40D52">
        <w:t xml:space="preserve">  WMP costs have generally risen year </w:t>
      </w:r>
      <w:r w:rsidR="00862D98">
        <w:t>after</w:t>
      </w:r>
      <w:r w:rsidR="00D40D52">
        <w:t xml:space="preserve"> year throughout the past two WMP cycles</w:t>
      </w:r>
      <w:r w:rsidR="00862D98">
        <w:t>, as indicated in the following table of0</w:t>
      </w:r>
      <w:r w:rsidR="007832EA">
        <w:t>PG&amp;E’s actual WMP expenditures for 2020-2023</w:t>
      </w:r>
      <w:r w:rsidR="00862D98">
        <w:t>.</w:t>
      </w:r>
    </w:p>
    <w:p w14:paraId="5A1ABE11" w14:textId="340F435B" w:rsidR="007832EA" w:rsidRPr="007832EA" w:rsidRDefault="007832EA" w:rsidP="00526E3A">
      <w:pPr>
        <w:pStyle w:val="BodyText"/>
        <w:keepNext/>
        <w:ind w:firstLine="0"/>
        <w:jc w:val="center"/>
        <w:rPr>
          <w:b/>
          <w:bCs/>
        </w:rPr>
      </w:pPr>
      <w:r w:rsidRPr="007832EA">
        <w:rPr>
          <w:b/>
          <w:bCs/>
        </w:rPr>
        <w:t>PG&amp;E’s WMP Expenditures (Thousands of Dollars)</w:t>
      </w:r>
    </w:p>
    <w:tbl>
      <w:tblPr>
        <w:tblStyle w:val="TableGrid"/>
        <w:tblW w:w="0" w:type="auto"/>
        <w:jc w:val="center"/>
        <w:tblLook w:val="04A0" w:firstRow="1" w:lastRow="0" w:firstColumn="1" w:lastColumn="0" w:noHBand="0" w:noVBand="1"/>
      </w:tblPr>
      <w:tblGrid>
        <w:gridCol w:w="2790"/>
        <w:gridCol w:w="2610"/>
      </w:tblGrid>
      <w:tr w:rsidR="007832EA" w14:paraId="1F36AF1E" w14:textId="77777777" w:rsidTr="00BE7DCF">
        <w:trPr>
          <w:jc w:val="center"/>
        </w:trPr>
        <w:tc>
          <w:tcPr>
            <w:tcW w:w="2790" w:type="dxa"/>
            <w:shd w:val="clear" w:color="auto" w:fill="D9E2F3" w:themeFill="accent1" w:themeFillTint="33"/>
            <w:vAlign w:val="center"/>
          </w:tcPr>
          <w:p w14:paraId="1D146A7D" w14:textId="1E68D322" w:rsidR="007832EA" w:rsidRDefault="007832EA" w:rsidP="00744667">
            <w:pPr>
              <w:pStyle w:val="BodyText"/>
              <w:ind w:firstLine="0"/>
            </w:pPr>
            <w:r>
              <w:t>Year</w:t>
            </w:r>
          </w:p>
        </w:tc>
        <w:tc>
          <w:tcPr>
            <w:tcW w:w="2610" w:type="dxa"/>
            <w:shd w:val="clear" w:color="auto" w:fill="D9E2F3" w:themeFill="accent1" w:themeFillTint="33"/>
            <w:vAlign w:val="center"/>
          </w:tcPr>
          <w:p w14:paraId="3345FE39" w14:textId="756295BE" w:rsidR="007832EA" w:rsidRDefault="007832EA" w:rsidP="00526E3A">
            <w:pPr>
              <w:pStyle w:val="BodyText"/>
              <w:ind w:firstLine="0"/>
              <w:jc w:val="right"/>
            </w:pPr>
            <w:r>
              <w:t>Actual Expenditures</w:t>
            </w:r>
          </w:p>
        </w:tc>
      </w:tr>
      <w:tr w:rsidR="007832EA" w14:paraId="120F0CB5" w14:textId="77777777" w:rsidTr="00526E3A">
        <w:trPr>
          <w:jc w:val="center"/>
        </w:trPr>
        <w:tc>
          <w:tcPr>
            <w:tcW w:w="2790" w:type="dxa"/>
            <w:vAlign w:val="center"/>
          </w:tcPr>
          <w:p w14:paraId="0FE8E6A5" w14:textId="364B944E" w:rsidR="007832EA" w:rsidRDefault="007832EA" w:rsidP="00744667">
            <w:pPr>
              <w:pStyle w:val="BodyText"/>
              <w:ind w:firstLine="0"/>
            </w:pPr>
            <w:r>
              <w:t>2020</w:t>
            </w:r>
            <w:r w:rsidRPr="006C42D5">
              <w:rPr>
                <w:rStyle w:val="FootnoteReference"/>
              </w:rPr>
              <w:footnoteReference w:id="27"/>
            </w:r>
          </w:p>
        </w:tc>
        <w:tc>
          <w:tcPr>
            <w:tcW w:w="2610" w:type="dxa"/>
            <w:vAlign w:val="center"/>
          </w:tcPr>
          <w:p w14:paraId="74E50C20" w14:textId="0DFAEA41" w:rsidR="007832EA" w:rsidRDefault="007832EA" w:rsidP="00526E3A">
            <w:pPr>
              <w:pStyle w:val="BodyText"/>
              <w:ind w:firstLine="0"/>
              <w:jc w:val="right"/>
            </w:pPr>
            <w:r w:rsidRPr="007832EA">
              <w:t>$4,287,104</w:t>
            </w:r>
          </w:p>
        </w:tc>
      </w:tr>
      <w:tr w:rsidR="007832EA" w14:paraId="0FAFA33C" w14:textId="77777777" w:rsidTr="00526E3A">
        <w:trPr>
          <w:jc w:val="center"/>
        </w:trPr>
        <w:tc>
          <w:tcPr>
            <w:tcW w:w="2790" w:type="dxa"/>
            <w:vAlign w:val="center"/>
          </w:tcPr>
          <w:p w14:paraId="66673094" w14:textId="346B663C" w:rsidR="007832EA" w:rsidRDefault="007832EA" w:rsidP="00744667">
            <w:pPr>
              <w:pStyle w:val="BodyText"/>
              <w:ind w:firstLine="0"/>
            </w:pPr>
            <w:r>
              <w:t>2021</w:t>
            </w:r>
          </w:p>
        </w:tc>
        <w:tc>
          <w:tcPr>
            <w:tcW w:w="2610" w:type="dxa"/>
            <w:vAlign w:val="center"/>
          </w:tcPr>
          <w:p w14:paraId="1FBF79C8" w14:textId="499B61B4" w:rsidR="007832EA" w:rsidRDefault="007832EA" w:rsidP="00526E3A">
            <w:pPr>
              <w:pStyle w:val="BodyText"/>
              <w:ind w:firstLine="0"/>
              <w:jc w:val="right"/>
            </w:pPr>
            <w:r w:rsidRPr="007832EA">
              <w:t>$4,673,631</w:t>
            </w:r>
          </w:p>
        </w:tc>
      </w:tr>
      <w:tr w:rsidR="007832EA" w14:paraId="1DDCB6F2" w14:textId="77777777" w:rsidTr="00526E3A">
        <w:trPr>
          <w:jc w:val="center"/>
        </w:trPr>
        <w:tc>
          <w:tcPr>
            <w:tcW w:w="2790" w:type="dxa"/>
            <w:vAlign w:val="center"/>
          </w:tcPr>
          <w:p w14:paraId="6015E367" w14:textId="4D580464" w:rsidR="007832EA" w:rsidRDefault="007832EA" w:rsidP="00744667">
            <w:pPr>
              <w:pStyle w:val="BodyText"/>
              <w:ind w:firstLine="0"/>
            </w:pPr>
            <w:r>
              <w:t>2022</w:t>
            </w:r>
          </w:p>
        </w:tc>
        <w:tc>
          <w:tcPr>
            <w:tcW w:w="2610" w:type="dxa"/>
            <w:vAlign w:val="center"/>
          </w:tcPr>
          <w:p w14:paraId="42C1BF82" w14:textId="561AFC9A" w:rsidR="007832EA" w:rsidRDefault="007832EA" w:rsidP="00526E3A">
            <w:pPr>
              <w:pStyle w:val="BodyText"/>
              <w:ind w:firstLine="0"/>
              <w:jc w:val="right"/>
            </w:pPr>
            <w:r w:rsidRPr="007832EA">
              <w:t>$5,310,302</w:t>
            </w:r>
          </w:p>
        </w:tc>
      </w:tr>
      <w:tr w:rsidR="007832EA" w14:paraId="7ABC9F33" w14:textId="77777777" w:rsidTr="00526E3A">
        <w:trPr>
          <w:jc w:val="center"/>
        </w:trPr>
        <w:tc>
          <w:tcPr>
            <w:tcW w:w="2790" w:type="dxa"/>
            <w:vAlign w:val="center"/>
          </w:tcPr>
          <w:p w14:paraId="09C9441D" w14:textId="045250E3" w:rsidR="007832EA" w:rsidRDefault="007832EA" w:rsidP="00744667">
            <w:pPr>
              <w:pStyle w:val="BodyText"/>
              <w:ind w:firstLine="0"/>
            </w:pPr>
            <w:r>
              <w:t>2023</w:t>
            </w:r>
            <w:r w:rsidRPr="006C42D5">
              <w:rPr>
                <w:rStyle w:val="FootnoteReference"/>
              </w:rPr>
              <w:footnoteReference w:id="28"/>
            </w:r>
          </w:p>
        </w:tc>
        <w:tc>
          <w:tcPr>
            <w:tcW w:w="2610" w:type="dxa"/>
            <w:vAlign w:val="center"/>
          </w:tcPr>
          <w:p w14:paraId="0946C33D" w14:textId="4152CD5F" w:rsidR="007832EA" w:rsidRDefault="007832EA" w:rsidP="00526E3A">
            <w:pPr>
              <w:pStyle w:val="BodyText"/>
              <w:ind w:firstLine="0"/>
              <w:jc w:val="right"/>
            </w:pPr>
            <w:r>
              <w:t>$5,205,235</w:t>
            </w:r>
          </w:p>
        </w:tc>
      </w:tr>
      <w:tr w:rsidR="007832EA" w14:paraId="13602FB4" w14:textId="77777777" w:rsidTr="00526E3A">
        <w:trPr>
          <w:jc w:val="center"/>
        </w:trPr>
        <w:tc>
          <w:tcPr>
            <w:tcW w:w="2790" w:type="dxa"/>
            <w:vAlign w:val="center"/>
          </w:tcPr>
          <w:p w14:paraId="416BE4FA" w14:textId="542607C5" w:rsidR="007832EA" w:rsidRDefault="007832EA" w:rsidP="00744667">
            <w:pPr>
              <w:pStyle w:val="BodyText"/>
              <w:ind w:firstLine="0"/>
            </w:pPr>
            <w:r>
              <w:t>2024 (projected)</w:t>
            </w:r>
          </w:p>
        </w:tc>
        <w:tc>
          <w:tcPr>
            <w:tcW w:w="2610" w:type="dxa"/>
            <w:vAlign w:val="center"/>
          </w:tcPr>
          <w:p w14:paraId="633C178C" w14:textId="6F10B98D" w:rsidR="007832EA" w:rsidRDefault="007832EA" w:rsidP="00526E3A">
            <w:pPr>
              <w:pStyle w:val="BodyText"/>
              <w:ind w:firstLine="0"/>
              <w:jc w:val="right"/>
            </w:pPr>
            <w:r w:rsidRPr="007832EA">
              <w:t>$6,173,839</w:t>
            </w:r>
          </w:p>
        </w:tc>
      </w:tr>
      <w:tr w:rsidR="007832EA" w14:paraId="3E59BFEB" w14:textId="77777777" w:rsidTr="00526E3A">
        <w:trPr>
          <w:jc w:val="center"/>
        </w:trPr>
        <w:tc>
          <w:tcPr>
            <w:tcW w:w="2790" w:type="dxa"/>
            <w:vAlign w:val="center"/>
          </w:tcPr>
          <w:p w14:paraId="1475F0BC" w14:textId="5D07607F" w:rsidR="007832EA" w:rsidRDefault="007832EA" w:rsidP="00744667">
            <w:pPr>
              <w:pStyle w:val="BodyText"/>
              <w:ind w:firstLine="0"/>
            </w:pPr>
            <w:r>
              <w:t>2025 (projected)</w:t>
            </w:r>
          </w:p>
        </w:tc>
        <w:tc>
          <w:tcPr>
            <w:tcW w:w="2610" w:type="dxa"/>
            <w:vAlign w:val="center"/>
          </w:tcPr>
          <w:p w14:paraId="0BA11971" w14:textId="28C19FE7" w:rsidR="007832EA" w:rsidRDefault="007832EA" w:rsidP="00526E3A">
            <w:pPr>
              <w:pStyle w:val="BodyText"/>
              <w:ind w:firstLine="0"/>
              <w:jc w:val="right"/>
            </w:pPr>
            <w:r w:rsidRPr="007832EA">
              <w:t>$6,358,224</w:t>
            </w:r>
          </w:p>
        </w:tc>
      </w:tr>
    </w:tbl>
    <w:p w14:paraId="2E25EBD1" w14:textId="56E67E78" w:rsidR="001F28CA" w:rsidRDefault="001F28CA" w:rsidP="00526E3A">
      <w:pPr>
        <w:pStyle w:val="BodyText"/>
        <w:spacing w:before="240"/>
      </w:pPr>
      <w:r>
        <w:t xml:space="preserve">Actual cost data from the past WMP cycle </w:t>
      </w:r>
      <w:r w:rsidR="00862D98">
        <w:t>indicates</w:t>
      </w:r>
      <w:r>
        <w:t xml:space="preserve"> that PG&amp;E’s annual WMP expenditures rose by nearly $1 billion from 2020 to </w:t>
      </w:r>
      <w:r w:rsidR="00E0488C">
        <w:t>2023 and</w:t>
      </w:r>
      <w:r>
        <w:t xml:space="preserve"> are expected to rise another $1.1 billion by 2025.  </w:t>
      </w:r>
      <w:r w:rsidR="000A0E50">
        <w:t>However, a</w:t>
      </w:r>
      <w:r w:rsidR="00236897">
        <w:t xml:space="preserve">ctual 2023 costs were not reported in the 2025 WMP Update, and </w:t>
      </w:r>
      <w:r w:rsidR="00236897">
        <w:lastRenderedPageBreak/>
        <w:t xml:space="preserve">the </w:t>
      </w:r>
      <w:r>
        <w:t>Draft 2026-2028 WMP Guidelines</w:t>
      </w:r>
      <w:r w:rsidR="00236897">
        <w:t xml:space="preserve"> do not require reporting on actual costs from 2023-2025</w:t>
      </w:r>
      <w:r w:rsidR="00A04F82">
        <w:t xml:space="preserve">. </w:t>
      </w:r>
      <w:r w:rsidR="00AE2DBE">
        <w:t xml:space="preserve"> </w:t>
      </w:r>
      <w:r w:rsidR="00A04F82">
        <w:t>This omission limits</w:t>
      </w:r>
      <w:r w:rsidR="00236897">
        <w:t xml:space="preserve"> transparency on these rising WMP expenditures.</w:t>
      </w:r>
      <w:r w:rsidR="00236897" w:rsidRPr="006C42D5">
        <w:rPr>
          <w:rStyle w:val="FootnoteReference"/>
        </w:rPr>
        <w:footnoteReference w:id="29"/>
      </w:r>
      <w:r w:rsidR="004D63C5">
        <w:t xml:space="preserve">  </w:t>
      </w:r>
    </w:p>
    <w:p w14:paraId="60E8F87A" w14:textId="177BFBEC" w:rsidR="004123CE" w:rsidRDefault="007832EA" w:rsidP="00744667">
      <w:pPr>
        <w:pStyle w:val="BodyText"/>
      </w:pPr>
      <w:r>
        <w:t xml:space="preserve">Energy Safety should update the </w:t>
      </w:r>
      <w:r w:rsidRPr="007832EA">
        <w:t>Draft 2026-2028 WMP Guidelines</w:t>
      </w:r>
      <w:r>
        <w:t xml:space="preserve"> to </w:t>
      </w:r>
      <w:r w:rsidR="00236897">
        <w:t>require utilities to report</w:t>
      </w:r>
      <w:r>
        <w:t xml:space="preserve"> actual recorded WMP expenditures from the previous WMP cycle</w:t>
      </w:r>
      <w:r w:rsidR="00E76BAF">
        <w:t xml:space="preserve"> alongside the California Public Utilities Commission (CPUC) authorized levels.</w:t>
      </w:r>
      <w:r w:rsidR="00236897" w:rsidRPr="006C42D5">
        <w:rPr>
          <w:rStyle w:val="FootnoteReference"/>
        </w:rPr>
        <w:footnoteReference w:id="30"/>
      </w:r>
      <w:r w:rsidR="00236897">
        <w:t xml:space="preserve">  </w:t>
      </w:r>
      <w:r>
        <w:t>Additionally, Energy Safety should ensure that</w:t>
      </w:r>
      <w:r w:rsidR="00856719">
        <w:t xml:space="preserve"> guidelines for</w:t>
      </w:r>
      <w:r>
        <w:t xml:space="preserve"> future WMP Update</w:t>
      </w:r>
      <w:r w:rsidR="00856719">
        <w:t>s</w:t>
      </w:r>
      <w:r>
        <w:t xml:space="preserve"> require utilities to update the table with the actual expenditure data for the most recent completed plan year</w:t>
      </w:r>
      <w:r w:rsidR="00856719">
        <w:t xml:space="preserve">, </w:t>
      </w:r>
      <w:r w:rsidR="00E76BAF">
        <w:t xml:space="preserve">the CPUC authorized levels, </w:t>
      </w:r>
      <w:r w:rsidR="00856719">
        <w:t>and a current forecast for the year that is underway</w:t>
      </w:r>
      <w:r>
        <w:t xml:space="preserve">. </w:t>
      </w:r>
    </w:p>
    <w:p w14:paraId="4649D025" w14:textId="46C9C93A" w:rsidR="00C06A2E" w:rsidRPr="003E4060" w:rsidRDefault="00C06A2E" w:rsidP="00BE7DCF">
      <w:pPr>
        <w:pStyle w:val="Heading1"/>
      </w:pPr>
      <w:bookmarkStart w:id="16" w:name="_Toc184385715"/>
      <w:r w:rsidRPr="003E4060">
        <w:t>DATA TABLES</w:t>
      </w:r>
      <w:bookmarkEnd w:id="16"/>
    </w:p>
    <w:p w14:paraId="02175E25" w14:textId="2344D7FE" w:rsidR="00C06A2E" w:rsidRPr="00C06A2E" w:rsidRDefault="00C06A2E" w:rsidP="00F240DB">
      <w:pPr>
        <w:pStyle w:val="Heading2"/>
      </w:pPr>
      <w:bookmarkStart w:id="17" w:name="_Toc184053652"/>
      <w:bookmarkStart w:id="18" w:name="_Toc184036202"/>
      <w:bookmarkStart w:id="19" w:name="_Toc184385716"/>
      <w:bookmarkEnd w:id="17"/>
      <w:r w:rsidRPr="00C06A2E">
        <w:t>Energy Safety should require practical and accessible data formats in the Draft 2026-2028 WMP Guidelines.</w:t>
      </w:r>
      <w:bookmarkEnd w:id="18"/>
      <w:bookmarkEnd w:id="19"/>
    </w:p>
    <w:p w14:paraId="55836585" w14:textId="24A9D205"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Section 2.1.1 of the Draft 2026-2028 WMP Guidelines </w:t>
      </w:r>
      <w:r w:rsidR="009D715C">
        <w:rPr>
          <w:color w:val="000000" w:themeColor="text1"/>
          <w:szCs w:val="24"/>
        </w:rPr>
        <w:t>requires the</w:t>
      </w:r>
      <w:r w:rsidRPr="00C06A2E">
        <w:rPr>
          <w:color w:val="000000" w:themeColor="text1"/>
          <w:szCs w:val="24"/>
        </w:rPr>
        <w:t xml:space="preserve"> utilities to, “submit an excel file matching the information in each table within its WMP.”</w:t>
      </w:r>
      <w:r w:rsidRPr="00C06A2E">
        <w:rPr>
          <w:b/>
          <w:color w:val="000000" w:themeColor="text1"/>
          <w:szCs w:val="24"/>
          <w:u w:val="single"/>
          <w:vertAlign w:val="superscript"/>
        </w:rPr>
        <w:footnoteReference w:id="31"/>
      </w:r>
      <w:r w:rsidRPr="00C06A2E">
        <w:rPr>
          <w:color w:val="000000" w:themeColor="text1"/>
          <w:szCs w:val="24"/>
        </w:rPr>
        <w:t xml:space="preserve">  Additionally, </w:t>
      </w:r>
      <w:r w:rsidR="009D715C">
        <w:rPr>
          <w:color w:val="000000" w:themeColor="text1"/>
          <w:szCs w:val="24"/>
        </w:rPr>
        <w:t>t</w:t>
      </w:r>
      <w:r w:rsidRPr="00C06A2E">
        <w:rPr>
          <w:color w:val="000000" w:themeColor="text1"/>
          <w:szCs w:val="24"/>
        </w:rPr>
        <w:t xml:space="preserve">o enhance accessibility and uniformity, </w:t>
      </w:r>
      <w:r w:rsidR="009D715C" w:rsidRPr="00C06A2E">
        <w:rPr>
          <w:color w:val="000000" w:themeColor="text1"/>
          <w:szCs w:val="24"/>
        </w:rPr>
        <w:t>the Excel files submitted to Energy Safety must adhere to specific formatting requirements.</w:t>
      </w:r>
      <w:r w:rsidR="009D715C" w:rsidRPr="00C06A2E">
        <w:rPr>
          <w:b/>
          <w:color w:val="000000" w:themeColor="text1"/>
          <w:szCs w:val="24"/>
          <w:u w:val="single"/>
          <w:vertAlign w:val="superscript"/>
        </w:rPr>
        <w:footnoteReference w:id="32"/>
      </w:r>
    </w:p>
    <w:p w14:paraId="2CDA7302" w14:textId="77777777" w:rsidR="00C06A2E" w:rsidRPr="00C06A2E" w:rsidRDefault="00C06A2E" w:rsidP="00F240DB">
      <w:pPr>
        <w:pStyle w:val="Heading3"/>
      </w:pPr>
      <w:bookmarkStart w:id="20" w:name="_Toc184036203"/>
      <w:bookmarkStart w:id="21" w:name="_Toc184385717"/>
      <w:r w:rsidRPr="00C06A2E">
        <w:t>Energy Safety should provide explicit guidance on accessible data file formats.</w:t>
      </w:r>
      <w:bookmarkEnd w:id="20"/>
      <w:bookmarkEnd w:id="21"/>
    </w:p>
    <w:p w14:paraId="537AE1CD" w14:textId="367FAE87"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While the Draft 2026-2028 WMP Guidelines </w:t>
      </w:r>
      <w:r w:rsidR="006B6E3A">
        <w:rPr>
          <w:color w:val="000000" w:themeColor="text1"/>
          <w:szCs w:val="24"/>
        </w:rPr>
        <w:t>use</w:t>
      </w:r>
      <w:r w:rsidRPr="00C06A2E">
        <w:rPr>
          <w:color w:val="000000" w:themeColor="text1"/>
          <w:szCs w:val="24"/>
        </w:rPr>
        <w:t xml:space="preserve"> naming and formatting requirements</w:t>
      </w:r>
      <w:r w:rsidR="003E4060">
        <w:rPr>
          <w:color w:val="000000" w:themeColor="text1"/>
          <w:szCs w:val="24"/>
        </w:rPr>
        <w:t xml:space="preserve"> for data files</w:t>
      </w:r>
      <w:r w:rsidRPr="00C06A2E">
        <w:rPr>
          <w:color w:val="000000" w:themeColor="text1"/>
          <w:szCs w:val="24"/>
        </w:rPr>
        <w:t>,</w:t>
      </w:r>
      <w:r w:rsidRPr="00C06A2E">
        <w:rPr>
          <w:b/>
          <w:color w:val="000000" w:themeColor="text1"/>
          <w:szCs w:val="24"/>
          <w:u w:val="single"/>
          <w:vertAlign w:val="superscript"/>
        </w:rPr>
        <w:footnoteReference w:id="33"/>
      </w:r>
      <w:r w:rsidRPr="00C06A2E">
        <w:rPr>
          <w:color w:val="000000" w:themeColor="text1"/>
          <w:szCs w:val="24"/>
        </w:rPr>
        <w:t xml:space="preserve"> it does not specifically require accessible formats. </w:t>
      </w:r>
      <w:r w:rsidR="00686173">
        <w:rPr>
          <w:color w:val="000000" w:themeColor="text1"/>
          <w:szCs w:val="24"/>
        </w:rPr>
        <w:t xml:space="preserve"> </w:t>
      </w:r>
      <w:r w:rsidRPr="00C06A2E">
        <w:rPr>
          <w:color w:val="000000" w:themeColor="text1"/>
          <w:szCs w:val="24"/>
        </w:rPr>
        <w:t>For example, the</w:t>
      </w:r>
      <w:r w:rsidR="00BC2306">
        <w:rPr>
          <w:color w:val="000000" w:themeColor="text1"/>
          <w:szCs w:val="24"/>
        </w:rPr>
        <w:t xml:space="preserve"> Guidelines do not specifically</w:t>
      </w:r>
      <w:r w:rsidRPr="00C06A2E">
        <w:rPr>
          <w:color w:val="000000" w:themeColor="text1"/>
          <w:szCs w:val="24"/>
        </w:rPr>
        <w:t xml:space="preserve"> </w:t>
      </w:r>
      <w:r w:rsidR="00A93235">
        <w:rPr>
          <w:color w:val="000000" w:themeColor="text1"/>
          <w:szCs w:val="24"/>
        </w:rPr>
        <w:t xml:space="preserve">ask that </w:t>
      </w:r>
      <w:r w:rsidRPr="00C06A2E">
        <w:rPr>
          <w:color w:val="000000" w:themeColor="text1"/>
          <w:szCs w:val="24"/>
        </w:rPr>
        <w:t xml:space="preserve">data </w:t>
      </w:r>
      <w:r w:rsidR="00A93235">
        <w:rPr>
          <w:color w:val="000000" w:themeColor="text1"/>
          <w:szCs w:val="24"/>
        </w:rPr>
        <w:t xml:space="preserve">be provided </w:t>
      </w:r>
      <w:r w:rsidRPr="00C06A2E">
        <w:rPr>
          <w:color w:val="000000" w:themeColor="text1"/>
          <w:szCs w:val="24"/>
        </w:rPr>
        <w:t xml:space="preserve">in widely usable formats such as CSV </w:t>
      </w:r>
      <w:r w:rsidR="00E76BAF">
        <w:rPr>
          <w:color w:val="000000" w:themeColor="text1"/>
          <w:szCs w:val="24"/>
        </w:rPr>
        <w:t xml:space="preserve">to </w:t>
      </w:r>
      <w:r w:rsidRPr="00C06A2E">
        <w:rPr>
          <w:color w:val="000000" w:themeColor="text1"/>
          <w:szCs w:val="24"/>
        </w:rPr>
        <w:t>facilitate independent analysis and integration with other datasets.</w:t>
      </w:r>
      <w:r w:rsidRPr="00C06A2E">
        <w:rPr>
          <w:b/>
          <w:color w:val="000000" w:themeColor="text1"/>
          <w:szCs w:val="24"/>
          <w:u w:val="single"/>
          <w:vertAlign w:val="superscript"/>
        </w:rPr>
        <w:footnoteReference w:id="34"/>
      </w:r>
      <w:r w:rsidRPr="00C06A2E">
        <w:rPr>
          <w:color w:val="000000" w:themeColor="text1"/>
          <w:szCs w:val="24"/>
        </w:rPr>
        <w:t xml:space="preserve">  Requiring accessible formats would enhance usability for stakeholders, </w:t>
      </w:r>
      <w:r w:rsidR="009D715C">
        <w:rPr>
          <w:color w:val="000000" w:themeColor="text1"/>
          <w:szCs w:val="24"/>
        </w:rPr>
        <w:t xml:space="preserve">and </w:t>
      </w:r>
      <w:r w:rsidRPr="00C06A2E">
        <w:rPr>
          <w:color w:val="000000" w:themeColor="text1"/>
          <w:szCs w:val="24"/>
        </w:rPr>
        <w:t>ensur</w:t>
      </w:r>
      <w:r w:rsidR="009D715C">
        <w:rPr>
          <w:color w:val="000000" w:themeColor="text1"/>
          <w:szCs w:val="24"/>
        </w:rPr>
        <w:t>e</w:t>
      </w:r>
      <w:r w:rsidRPr="00C06A2E">
        <w:rPr>
          <w:color w:val="000000" w:themeColor="text1"/>
          <w:szCs w:val="24"/>
        </w:rPr>
        <w:t xml:space="preserve"> that data can be efficiently analyzed.</w:t>
      </w:r>
    </w:p>
    <w:p w14:paraId="2C3559A7" w14:textId="78CC26F7" w:rsidR="00C06A2E" w:rsidRPr="00C06A2E" w:rsidRDefault="00C06A2E" w:rsidP="00F240DB">
      <w:pPr>
        <w:pStyle w:val="Heading3"/>
        <w:rPr>
          <w:sz w:val="21"/>
        </w:rPr>
      </w:pPr>
      <w:bookmarkStart w:id="22" w:name="_Toc184036204"/>
      <w:bookmarkStart w:id="23" w:name="_Toc184385718"/>
      <w:r w:rsidRPr="00C06A2E">
        <w:lastRenderedPageBreak/>
        <w:t xml:space="preserve">Energy Safety should require the provision of raw data </w:t>
      </w:r>
      <w:r w:rsidR="003E4060">
        <w:t>to support</w:t>
      </w:r>
      <w:r w:rsidR="003E4060" w:rsidRPr="00C06A2E">
        <w:t xml:space="preserve"> </w:t>
      </w:r>
      <w:r w:rsidRPr="00C06A2E">
        <w:t>graphs, maps, and figures.</w:t>
      </w:r>
      <w:bookmarkEnd w:id="22"/>
      <w:bookmarkEnd w:id="23"/>
    </w:p>
    <w:p w14:paraId="15BD2FE4" w14:textId="321A551A"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The Draft 2026-2028 WMP Guidelines do not require the provision of </w:t>
      </w:r>
      <w:r w:rsidR="003E4060">
        <w:rPr>
          <w:color w:val="000000" w:themeColor="text1"/>
          <w:szCs w:val="24"/>
        </w:rPr>
        <w:t xml:space="preserve">the </w:t>
      </w:r>
      <w:r w:rsidRPr="00C06A2E">
        <w:rPr>
          <w:color w:val="000000" w:themeColor="text1"/>
          <w:szCs w:val="24"/>
        </w:rPr>
        <w:t xml:space="preserve">raw data </w:t>
      </w:r>
      <w:r w:rsidR="003E4060">
        <w:rPr>
          <w:color w:val="000000" w:themeColor="text1"/>
          <w:szCs w:val="24"/>
        </w:rPr>
        <w:t>that underpins</w:t>
      </w:r>
      <w:r w:rsidR="003E4060" w:rsidRPr="00C06A2E">
        <w:rPr>
          <w:color w:val="000000" w:themeColor="text1"/>
          <w:szCs w:val="24"/>
        </w:rPr>
        <w:t xml:space="preserve"> </w:t>
      </w:r>
      <w:r w:rsidRPr="00C06A2E">
        <w:rPr>
          <w:color w:val="000000" w:themeColor="text1"/>
          <w:szCs w:val="24"/>
        </w:rPr>
        <w:t>graphs, maps, and figures,</w:t>
      </w:r>
      <w:r w:rsidRPr="00C06A2E">
        <w:rPr>
          <w:b/>
          <w:color w:val="000000" w:themeColor="text1"/>
          <w:szCs w:val="24"/>
          <w:u w:val="single"/>
          <w:vertAlign w:val="superscript"/>
        </w:rPr>
        <w:footnoteReference w:id="35"/>
      </w:r>
      <w:r w:rsidRPr="00C06A2E">
        <w:rPr>
          <w:color w:val="000000" w:themeColor="text1"/>
          <w:szCs w:val="24"/>
        </w:rPr>
        <w:t xml:space="preserve"> nor does it ensure that this data is provided in a format that can be directly accessed and analyzed.</w:t>
      </w:r>
      <w:r w:rsidRPr="00C06A2E">
        <w:rPr>
          <w:b/>
          <w:color w:val="000000" w:themeColor="text1"/>
          <w:szCs w:val="24"/>
          <w:u w:val="single"/>
          <w:vertAlign w:val="superscript"/>
        </w:rPr>
        <w:footnoteReference w:id="36"/>
      </w:r>
      <w:r w:rsidRPr="00C06A2E">
        <w:rPr>
          <w:color w:val="000000" w:themeColor="text1"/>
          <w:szCs w:val="24"/>
        </w:rPr>
        <w:t xml:space="preserve"> </w:t>
      </w:r>
      <w:r w:rsidR="00E61498">
        <w:rPr>
          <w:color w:val="000000" w:themeColor="text1"/>
          <w:szCs w:val="24"/>
        </w:rPr>
        <w:t xml:space="preserve"> Adding these</w:t>
      </w:r>
      <w:r w:rsidRPr="00C06A2E">
        <w:rPr>
          <w:color w:val="000000" w:themeColor="text1"/>
          <w:szCs w:val="24"/>
        </w:rPr>
        <w:t xml:space="preserve"> requirements </w:t>
      </w:r>
      <w:r w:rsidR="00E61498">
        <w:rPr>
          <w:color w:val="000000" w:themeColor="text1"/>
          <w:szCs w:val="24"/>
        </w:rPr>
        <w:t>would enable</w:t>
      </w:r>
      <w:r w:rsidRPr="00C06A2E">
        <w:rPr>
          <w:color w:val="000000" w:themeColor="text1"/>
          <w:szCs w:val="24"/>
        </w:rPr>
        <w:t xml:space="preserve"> </w:t>
      </w:r>
      <w:r w:rsidR="00E61498">
        <w:rPr>
          <w:color w:val="000000" w:themeColor="text1"/>
          <w:szCs w:val="24"/>
        </w:rPr>
        <w:t xml:space="preserve">Energy Safety and </w:t>
      </w:r>
      <w:r w:rsidRPr="00C06A2E">
        <w:rPr>
          <w:color w:val="000000" w:themeColor="text1"/>
          <w:szCs w:val="24"/>
        </w:rPr>
        <w:t xml:space="preserve">stakeholders to verify the accuracy of the visual representations or to perform independent analyses. </w:t>
      </w:r>
      <w:r w:rsidR="00686173">
        <w:rPr>
          <w:color w:val="000000" w:themeColor="text1"/>
          <w:szCs w:val="24"/>
        </w:rPr>
        <w:t xml:space="preserve"> </w:t>
      </w:r>
      <w:r w:rsidRPr="00C06A2E">
        <w:rPr>
          <w:color w:val="000000" w:themeColor="text1"/>
          <w:szCs w:val="24"/>
        </w:rPr>
        <w:t>Without access to raw data, users are forced to rely on static graphs, maps, and figures</w:t>
      </w:r>
      <w:r w:rsidR="00E61498">
        <w:rPr>
          <w:color w:val="000000" w:themeColor="text1"/>
          <w:szCs w:val="24"/>
        </w:rPr>
        <w:t xml:space="preserve"> provided by the utility</w:t>
      </w:r>
      <w:r w:rsidRPr="00C06A2E">
        <w:rPr>
          <w:color w:val="000000" w:themeColor="text1"/>
          <w:szCs w:val="24"/>
        </w:rPr>
        <w:t>.</w:t>
      </w:r>
    </w:p>
    <w:p w14:paraId="15E2F79A" w14:textId="77777777" w:rsidR="00C06A2E" w:rsidRPr="00C06A2E" w:rsidRDefault="00C06A2E" w:rsidP="00F240DB">
      <w:pPr>
        <w:pStyle w:val="Heading3"/>
        <w:rPr>
          <w:sz w:val="21"/>
        </w:rPr>
      </w:pPr>
      <w:bookmarkStart w:id="24" w:name="_Toc184036205"/>
      <w:bookmarkStart w:id="25" w:name="_Toc184385719"/>
      <w:r w:rsidRPr="00C06A2E">
        <w:t>Energy Safety should include a requirement for detailed footnotes or metadata.</w:t>
      </w:r>
      <w:bookmarkEnd w:id="24"/>
      <w:bookmarkEnd w:id="25"/>
    </w:p>
    <w:p w14:paraId="0C154E12" w14:textId="25AFA3BB" w:rsidR="00955635"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The guidelines also lack a requirement for detailed footnotes or metadata within data files, which is essential for contextual clarity. </w:t>
      </w:r>
      <w:r w:rsidR="00686173">
        <w:rPr>
          <w:color w:val="000000" w:themeColor="text1"/>
          <w:szCs w:val="24"/>
        </w:rPr>
        <w:t xml:space="preserve"> </w:t>
      </w:r>
      <w:r w:rsidR="00955635">
        <w:rPr>
          <w:color w:val="000000" w:themeColor="text1"/>
          <w:szCs w:val="24"/>
        </w:rPr>
        <w:t>For instance,</w:t>
      </w:r>
      <w:r w:rsidRPr="00C06A2E">
        <w:rPr>
          <w:color w:val="000000" w:themeColor="text1"/>
          <w:szCs w:val="24"/>
        </w:rPr>
        <w:t xml:space="preserve"> a</w:t>
      </w:r>
      <w:r w:rsidR="00955635">
        <w:rPr>
          <w:color w:val="000000" w:themeColor="text1"/>
          <w:szCs w:val="24"/>
        </w:rPr>
        <w:t xml:space="preserve"> table of</w:t>
      </w:r>
      <w:r w:rsidRPr="00C06A2E">
        <w:rPr>
          <w:color w:val="000000" w:themeColor="text1"/>
          <w:szCs w:val="24"/>
        </w:rPr>
        <w:t xml:space="preserve"> wildfire ignition events should include a footnote specifying </w:t>
      </w:r>
      <w:r w:rsidR="00955635">
        <w:rPr>
          <w:color w:val="000000" w:themeColor="text1"/>
          <w:szCs w:val="24"/>
        </w:rPr>
        <w:t xml:space="preserve">the data source (such as </w:t>
      </w:r>
      <w:r w:rsidRPr="00C06A2E">
        <w:rPr>
          <w:color w:val="000000" w:themeColor="text1"/>
          <w:szCs w:val="24"/>
        </w:rPr>
        <w:t>CAL FIRE’s incident database</w:t>
      </w:r>
      <w:r w:rsidR="00955635">
        <w:rPr>
          <w:color w:val="000000" w:themeColor="text1"/>
          <w:szCs w:val="24"/>
        </w:rPr>
        <w:t>)</w:t>
      </w:r>
      <w:r w:rsidRPr="00C06A2E">
        <w:rPr>
          <w:color w:val="000000" w:themeColor="text1"/>
          <w:szCs w:val="24"/>
        </w:rPr>
        <w:t xml:space="preserve">, along with a description of the criteria used to classify events as reportable ignitions. </w:t>
      </w:r>
    </w:p>
    <w:p w14:paraId="4F7757EE" w14:textId="44204574" w:rsidR="00C06A2E" w:rsidRPr="00C06A2E" w:rsidRDefault="00C06A2E" w:rsidP="00955635">
      <w:pPr>
        <w:tabs>
          <w:tab w:val="clear" w:pos="5040"/>
        </w:tabs>
        <w:spacing w:line="360" w:lineRule="auto"/>
        <w:ind w:firstLine="720"/>
        <w:rPr>
          <w:color w:val="000000" w:themeColor="text1"/>
          <w:szCs w:val="24"/>
        </w:rPr>
      </w:pPr>
      <w:r w:rsidRPr="00C06A2E">
        <w:rPr>
          <w:color w:val="000000" w:themeColor="text1"/>
          <w:szCs w:val="24"/>
        </w:rPr>
        <w:t xml:space="preserve">Without footnotes or metadata, stakeholders </w:t>
      </w:r>
      <w:r w:rsidR="007D4BA2">
        <w:rPr>
          <w:color w:val="000000" w:themeColor="text1"/>
          <w:szCs w:val="24"/>
        </w:rPr>
        <w:t>are deprived of</w:t>
      </w:r>
      <w:r w:rsidRPr="00C06A2E">
        <w:rPr>
          <w:color w:val="000000" w:themeColor="text1"/>
          <w:szCs w:val="24"/>
        </w:rPr>
        <w:t xml:space="preserve"> </w:t>
      </w:r>
      <w:r w:rsidR="0023225B">
        <w:rPr>
          <w:color w:val="000000" w:themeColor="text1"/>
          <w:szCs w:val="24"/>
        </w:rPr>
        <w:t xml:space="preserve">the </w:t>
      </w:r>
      <w:r w:rsidRPr="00C06A2E">
        <w:rPr>
          <w:color w:val="000000" w:themeColor="text1"/>
          <w:szCs w:val="24"/>
        </w:rPr>
        <w:t xml:space="preserve">data’s origin and </w:t>
      </w:r>
      <w:r w:rsidR="0023225B">
        <w:rPr>
          <w:color w:val="000000" w:themeColor="text1"/>
          <w:szCs w:val="24"/>
        </w:rPr>
        <w:t>underlying</w:t>
      </w:r>
      <w:r w:rsidR="008D130A">
        <w:rPr>
          <w:color w:val="000000" w:themeColor="text1"/>
          <w:szCs w:val="24"/>
        </w:rPr>
        <w:t xml:space="preserve"> </w:t>
      </w:r>
      <w:r w:rsidRPr="00C06A2E">
        <w:rPr>
          <w:color w:val="000000" w:themeColor="text1"/>
          <w:szCs w:val="24"/>
        </w:rPr>
        <w:t>assumptions</w:t>
      </w:r>
      <w:r w:rsidR="005B3CE9">
        <w:rPr>
          <w:color w:val="000000" w:themeColor="text1"/>
          <w:szCs w:val="24"/>
        </w:rPr>
        <w:t>.  This</w:t>
      </w:r>
      <w:r w:rsidR="00955635">
        <w:rPr>
          <w:color w:val="000000" w:themeColor="text1"/>
          <w:szCs w:val="24"/>
        </w:rPr>
        <w:t xml:space="preserve"> </w:t>
      </w:r>
      <w:r w:rsidRPr="00C06A2E">
        <w:rPr>
          <w:color w:val="000000" w:themeColor="text1"/>
          <w:szCs w:val="24"/>
        </w:rPr>
        <w:t>hinder</w:t>
      </w:r>
      <w:r w:rsidR="00955635">
        <w:rPr>
          <w:color w:val="000000" w:themeColor="text1"/>
          <w:szCs w:val="24"/>
        </w:rPr>
        <w:t>s</w:t>
      </w:r>
      <w:r w:rsidRPr="00C06A2E">
        <w:rPr>
          <w:color w:val="000000" w:themeColor="text1"/>
          <w:szCs w:val="24"/>
        </w:rPr>
        <w:t xml:space="preserve"> </w:t>
      </w:r>
      <w:r w:rsidR="005B3CE9">
        <w:rPr>
          <w:color w:val="000000" w:themeColor="text1"/>
          <w:szCs w:val="24"/>
        </w:rPr>
        <w:t>stakeholder</w:t>
      </w:r>
      <w:r w:rsidR="00893C2A">
        <w:rPr>
          <w:color w:val="000000" w:themeColor="text1"/>
          <w:szCs w:val="24"/>
        </w:rPr>
        <w:t>s’</w:t>
      </w:r>
      <w:r w:rsidR="005B3CE9" w:rsidRPr="00C06A2E">
        <w:rPr>
          <w:color w:val="000000" w:themeColor="text1"/>
          <w:szCs w:val="24"/>
        </w:rPr>
        <w:t xml:space="preserve"> </w:t>
      </w:r>
      <w:r w:rsidRPr="00C06A2E">
        <w:rPr>
          <w:color w:val="000000" w:themeColor="text1"/>
          <w:szCs w:val="24"/>
        </w:rPr>
        <w:t>ability to interpret and utilize the information effectively.</w:t>
      </w:r>
      <w:r w:rsidR="00955635">
        <w:rPr>
          <w:color w:val="000000" w:themeColor="text1"/>
          <w:szCs w:val="24"/>
        </w:rPr>
        <w:t xml:space="preserve"> </w:t>
      </w:r>
      <w:r w:rsidR="00686173">
        <w:rPr>
          <w:color w:val="000000" w:themeColor="text1"/>
          <w:szCs w:val="24"/>
        </w:rPr>
        <w:t xml:space="preserve"> </w:t>
      </w:r>
      <w:r w:rsidR="00955635">
        <w:rPr>
          <w:color w:val="000000" w:themeColor="text1"/>
          <w:szCs w:val="24"/>
        </w:rPr>
        <w:t>Therefore</w:t>
      </w:r>
      <w:r w:rsidRPr="00C06A2E">
        <w:rPr>
          <w:color w:val="000000" w:themeColor="text1"/>
          <w:szCs w:val="24"/>
        </w:rPr>
        <w:t xml:space="preserve">, Energy Safety should: </w:t>
      </w:r>
    </w:p>
    <w:p w14:paraId="30753328" w14:textId="48704C0A" w:rsidR="00C06A2E" w:rsidRPr="008D130A" w:rsidRDefault="00C06A2E" w:rsidP="00BE7DCF">
      <w:pPr>
        <w:pStyle w:val="ListParagraph"/>
        <w:ind w:right="720"/>
      </w:pPr>
      <w:r w:rsidRPr="009E3E78">
        <w:t xml:space="preserve">Revise the </w:t>
      </w:r>
      <w:r w:rsidR="00955635" w:rsidRPr="00955635">
        <w:t xml:space="preserve">Draft 2026-2028 WMP Guidelines </w:t>
      </w:r>
      <w:r w:rsidRPr="009E3E78">
        <w:t>to explicitly require data to be provided in accessible and widely usable formats, such as CSV, to support independent analysis and integration with other datasets.</w:t>
      </w:r>
    </w:p>
    <w:p w14:paraId="1B385C60" w14:textId="3DCBC3B8" w:rsidR="00C06A2E" w:rsidRPr="008D130A" w:rsidRDefault="00C06A2E" w:rsidP="00BE7DCF">
      <w:pPr>
        <w:pStyle w:val="ListParagraph"/>
        <w:ind w:right="720"/>
      </w:pPr>
      <w:r w:rsidRPr="009E3E78">
        <w:t xml:space="preserve">Update the </w:t>
      </w:r>
      <w:r w:rsidR="00955635" w:rsidRPr="00955635">
        <w:t xml:space="preserve">Draft 2026-2028 WMP Guidelines </w:t>
      </w:r>
      <w:r w:rsidRPr="009E3E78">
        <w:t xml:space="preserve">to require the provision of raw data </w:t>
      </w:r>
      <w:r w:rsidR="00955635">
        <w:t>to support</w:t>
      </w:r>
      <w:r w:rsidR="00955635" w:rsidRPr="009E3E78">
        <w:t xml:space="preserve"> </w:t>
      </w:r>
      <w:r w:rsidRPr="009E3E78">
        <w:t>graphs, maps, and figures</w:t>
      </w:r>
      <w:r w:rsidR="00955635">
        <w:t>. This data should be submitted</w:t>
      </w:r>
      <w:r w:rsidRPr="009E3E78">
        <w:t xml:space="preserve"> in an accessible and analyzable format.</w:t>
      </w:r>
    </w:p>
    <w:p w14:paraId="5C3C965B" w14:textId="3A77142A" w:rsidR="00C06A2E" w:rsidRPr="008D130A" w:rsidRDefault="00C06A2E" w:rsidP="00BE7DCF">
      <w:pPr>
        <w:pStyle w:val="ListParagraph"/>
        <w:ind w:right="720"/>
      </w:pPr>
      <w:r w:rsidRPr="009E3E78">
        <w:t xml:space="preserve">Amend the </w:t>
      </w:r>
      <w:r w:rsidR="007017F6" w:rsidRPr="007017F6">
        <w:t xml:space="preserve">Draft 2026-2028 WMP Guidelines </w:t>
      </w:r>
      <w:r w:rsidRPr="009E3E78">
        <w:t xml:space="preserve">to require detailed footnotes </w:t>
      </w:r>
      <w:r w:rsidR="007017F6">
        <w:t>and</w:t>
      </w:r>
      <w:r w:rsidR="007017F6" w:rsidRPr="009E3E78">
        <w:t xml:space="preserve"> </w:t>
      </w:r>
      <w:r w:rsidRPr="009E3E78">
        <w:t>metadata within data files to clarify data origins and provide context</w:t>
      </w:r>
      <w:r w:rsidR="007017F6">
        <w:t xml:space="preserve"> regarding assumptions or criteria</w:t>
      </w:r>
      <w:r w:rsidRPr="009E3E78">
        <w:t>.</w:t>
      </w:r>
    </w:p>
    <w:p w14:paraId="1B6105D7" w14:textId="574BA420" w:rsidR="00C06A2E" w:rsidRPr="00C06A2E" w:rsidRDefault="007017F6" w:rsidP="00C06A2E">
      <w:pPr>
        <w:tabs>
          <w:tab w:val="clear" w:pos="5040"/>
        </w:tabs>
        <w:spacing w:line="360" w:lineRule="auto"/>
        <w:ind w:firstLine="720"/>
        <w:rPr>
          <w:color w:val="000000" w:themeColor="text1"/>
          <w:szCs w:val="24"/>
        </w:rPr>
      </w:pPr>
      <w:r>
        <w:rPr>
          <w:color w:val="000000" w:themeColor="text1"/>
          <w:szCs w:val="24"/>
        </w:rPr>
        <w:t xml:space="preserve">Energy Safety should </w:t>
      </w:r>
      <w:r w:rsidR="00C06A2E" w:rsidRPr="00C06A2E">
        <w:rPr>
          <w:color w:val="000000" w:themeColor="text1"/>
          <w:szCs w:val="24"/>
        </w:rPr>
        <w:t xml:space="preserve">update the Draft 2026-2028 WMP Guidelines to close gaps in data accessibility. </w:t>
      </w:r>
      <w:r w:rsidR="00686173">
        <w:rPr>
          <w:color w:val="000000" w:themeColor="text1"/>
          <w:szCs w:val="24"/>
        </w:rPr>
        <w:t xml:space="preserve"> </w:t>
      </w:r>
      <w:r w:rsidR="00663D77">
        <w:rPr>
          <w:color w:val="000000" w:themeColor="text1"/>
          <w:szCs w:val="24"/>
        </w:rPr>
        <w:t>Cal Advocates’</w:t>
      </w:r>
      <w:r w:rsidR="00C06A2E" w:rsidRPr="00C06A2E">
        <w:rPr>
          <w:color w:val="000000" w:themeColor="text1"/>
          <w:szCs w:val="24"/>
        </w:rPr>
        <w:t xml:space="preserve"> recommendations aim to enhance the usability and transparency of information in WMP submissions, facilitating more effective evaluation and oversight.</w:t>
      </w:r>
    </w:p>
    <w:p w14:paraId="7429C858" w14:textId="77777777" w:rsidR="00C06A2E" w:rsidRPr="00C06A2E" w:rsidRDefault="00C06A2E" w:rsidP="00F240DB">
      <w:pPr>
        <w:pStyle w:val="Heading2"/>
      </w:pPr>
      <w:bookmarkStart w:id="26" w:name="_Toc184036206"/>
      <w:bookmarkStart w:id="27" w:name="_Toc184385720"/>
      <w:r w:rsidRPr="008C0939">
        <w:lastRenderedPageBreak/>
        <w:t>Energy Safety should refine Table 3-1 for clearer risk prioritization</w:t>
      </w:r>
      <w:r w:rsidRPr="00C06A2E">
        <w:t>.</w:t>
      </w:r>
      <w:bookmarkEnd w:id="26"/>
      <w:bookmarkEnd w:id="27"/>
      <w:r w:rsidRPr="00C06A2E">
        <w:t xml:space="preserve"> </w:t>
      </w:r>
    </w:p>
    <w:p w14:paraId="6E4782D4" w14:textId="012B0C60" w:rsidR="00B66816"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While Table 3-1 includes a priority column, the risk drivers </w:t>
      </w:r>
      <w:r w:rsidR="004519BD">
        <w:rPr>
          <w:color w:val="000000" w:themeColor="text1"/>
          <w:szCs w:val="24"/>
        </w:rPr>
        <w:t>are not arranged in</w:t>
      </w:r>
      <w:r w:rsidRPr="00C06A2E">
        <w:rPr>
          <w:color w:val="000000" w:themeColor="text1"/>
          <w:szCs w:val="24"/>
        </w:rPr>
        <w:t xml:space="preserve"> a logical or sequential order based on their assigned priorities (e.g., from highest to lowest).</w:t>
      </w:r>
      <w:r w:rsidRPr="00C06A2E">
        <w:rPr>
          <w:b/>
          <w:color w:val="000000" w:themeColor="text1"/>
          <w:szCs w:val="24"/>
          <w:u w:val="single"/>
          <w:vertAlign w:val="superscript"/>
        </w:rPr>
        <w:footnoteReference w:id="37"/>
      </w:r>
      <w:r w:rsidRPr="00C06A2E">
        <w:rPr>
          <w:color w:val="000000" w:themeColor="text1"/>
          <w:szCs w:val="24"/>
        </w:rPr>
        <w:t xml:space="preserve"> </w:t>
      </w:r>
      <w:r w:rsidR="00686173">
        <w:rPr>
          <w:color w:val="000000" w:themeColor="text1"/>
          <w:szCs w:val="24"/>
        </w:rPr>
        <w:t xml:space="preserve"> </w:t>
      </w:r>
      <w:r w:rsidRPr="00C06A2E">
        <w:rPr>
          <w:color w:val="000000" w:themeColor="text1"/>
          <w:szCs w:val="24"/>
        </w:rPr>
        <w:t>As shown in the</w:t>
      </w:r>
      <w:r w:rsidR="004519BD">
        <w:rPr>
          <w:color w:val="000000" w:themeColor="text1"/>
          <w:szCs w:val="24"/>
        </w:rPr>
        <w:t xml:space="preserve"> sample</w:t>
      </w:r>
      <w:r w:rsidRPr="00C06A2E">
        <w:rPr>
          <w:color w:val="000000" w:themeColor="text1"/>
          <w:szCs w:val="24"/>
        </w:rPr>
        <w:t xml:space="preserve"> figure below, with example rankings in red for emphasis, this misalignment diminishes the table’s clarity and effectiveness, making it more difficult for stakeholders to interpret the information.</w:t>
      </w:r>
    </w:p>
    <w:p w14:paraId="01F7BD80" w14:textId="07A8B57F" w:rsidR="00C06A2E" w:rsidRPr="00C06A2E" w:rsidRDefault="00C06A2E" w:rsidP="00E0488C">
      <w:pPr>
        <w:tabs>
          <w:tab w:val="clear" w:pos="5040"/>
        </w:tabs>
        <w:spacing w:line="360" w:lineRule="auto"/>
        <w:jc w:val="center"/>
        <w:rPr>
          <w:color w:val="000000" w:themeColor="text1"/>
          <w:szCs w:val="24"/>
        </w:rPr>
      </w:pPr>
      <w:r w:rsidRPr="00C06A2E">
        <w:rPr>
          <w:noProof/>
          <w:color w:val="000000" w:themeColor="text1"/>
          <w:szCs w:val="24"/>
        </w:rPr>
        <w:drawing>
          <wp:inline distT="0" distB="0" distL="0" distR="0" wp14:anchorId="67C4DC70" wp14:editId="0649AA67">
            <wp:extent cx="5502303" cy="4333650"/>
            <wp:effectExtent l="0" t="0" r="0" b="0"/>
            <wp:docPr id="957424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24761" name=""/>
                    <pic:cNvPicPr/>
                  </pic:nvPicPr>
                  <pic:blipFill>
                    <a:blip r:embed="rId20"/>
                    <a:stretch>
                      <a:fillRect/>
                    </a:stretch>
                  </pic:blipFill>
                  <pic:spPr>
                    <a:xfrm>
                      <a:off x="0" y="0"/>
                      <a:ext cx="5681568" cy="4474840"/>
                    </a:xfrm>
                    <a:prstGeom prst="rect">
                      <a:avLst/>
                    </a:prstGeom>
                  </pic:spPr>
                </pic:pic>
              </a:graphicData>
            </a:graphic>
          </wp:inline>
        </w:drawing>
      </w:r>
    </w:p>
    <w:p w14:paraId="182D8FC6" w14:textId="654ED142" w:rsidR="00C06A2E" w:rsidRPr="00C06A2E" w:rsidRDefault="00187A37" w:rsidP="001002A9">
      <w:pPr>
        <w:pStyle w:val="BodyText"/>
      </w:pPr>
      <w:r w:rsidRPr="00187A37">
        <w:t xml:space="preserve"> </w:t>
      </w:r>
      <w:r w:rsidR="00C437DD">
        <w:t xml:space="preserve">Energy </w:t>
      </w:r>
      <w:r w:rsidRPr="00187A37">
        <w:t xml:space="preserve">Safety should add outage-related data to Table 3-1 to </w:t>
      </w:r>
      <w:r w:rsidR="00793487">
        <w:t>enhance the</w:t>
      </w:r>
      <w:r w:rsidR="00793487" w:rsidRPr="00187A37">
        <w:t xml:space="preserve"> </w:t>
      </w:r>
      <w:r w:rsidRPr="00187A37">
        <w:t>connect</w:t>
      </w:r>
      <w:r w:rsidR="00793487">
        <w:t>ion</w:t>
      </w:r>
      <w:r w:rsidRPr="00187A37">
        <w:t xml:space="preserve"> </w:t>
      </w:r>
      <w:r w:rsidR="00793487">
        <w:t xml:space="preserve">of </w:t>
      </w:r>
      <w:r w:rsidRPr="00187A37">
        <w:t xml:space="preserve">wildfire risks with broader operational impacts. </w:t>
      </w:r>
      <w:r w:rsidR="00686173">
        <w:t xml:space="preserve"> </w:t>
      </w:r>
      <w:r w:rsidRPr="00187A37">
        <w:t xml:space="preserve">Including this data would provide a more comprehensive view of how these risks affect </w:t>
      </w:r>
      <w:r w:rsidR="001002A9">
        <w:t>sy</w:t>
      </w:r>
      <w:r w:rsidR="00CD7858">
        <w:t>s</w:t>
      </w:r>
      <w:r w:rsidR="001002A9">
        <w:t>tem</w:t>
      </w:r>
      <w:r w:rsidRPr="00187A37">
        <w:t xml:space="preserve"> operations and public safety. </w:t>
      </w:r>
      <w:r w:rsidR="00686173">
        <w:t xml:space="preserve"> </w:t>
      </w:r>
      <w:r w:rsidRPr="00187A37">
        <w:t xml:space="preserve">Additionally, defining a clear timeframe for the reported metrics would enhance consistency, enabling more </w:t>
      </w:r>
      <w:r w:rsidRPr="00187A37">
        <w:lastRenderedPageBreak/>
        <w:t xml:space="preserve">meaningful trend analysis and cross-comparisons. </w:t>
      </w:r>
      <w:r w:rsidR="00686173">
        <w:t xml:space="preserve"> </w:t>
      </w:r>
      <w:r w:rsidRPr="00187A37">
        <w:t>These improvements would significantly increase the table’s effectiveness in addressing wildfire risk drivers.</w:t>
      </w:r>
    </w:p>
    <w:p w14:paraId="26F16238" w14:textId="55E17FED" w:rsidR="00C06A2E" w:rsidRPr="00FA6EA5" w:rsidRDefault="00C06A2E" w:rsidP="00F240DB">
      <w:pPr>
        <w:pStyle w:val="Heading3"/>
      </w:pPr>
      <w:bookmarkStart w:id="28" w:name="_Toc184036207"/>
      <w:bookmarkStart w:id="29" w:name="_Toc184385721"/>
      <w:r w:rsidRPr="00FA6EA5">
        <w:t xml:space="preserve">Energy Safety should </w:t>
      </w:r>
      <w:r w:rsidR="00560EE3" w:rsidRPr="00FA6EA5">
        <w:t xml:space="preserve">require </w:t>
      </w:r>
      <w:r w:rsidRPr="00FA6EA5">
        <w:t>sequential ordering of risks by priority.</w:t>
      </w:r>
      <w:bookmarkEnd w:id="28"/>
      <w:bookmarkEnd w:id="29"/>
      <w:r w:rsidRPr="00FA6EA5">
        <w:t xml:space="preserve"> </w:t>
      </w:r>
    </w:p>
    <w:p w14:paraId="1551CD2C" w14:textId="4E11858D"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Currently, </w:t>
      </w:r>
      <w:r w:rsidR="00560EE3">
        <w:rPr>
          <w:color w:val="000000" w:themeColor="text1"/>
          <w:szCs w:val="24"/>
        </w:rPr>
        <w:t xml:space="preserve">the risks identified in Table 3-1 are not arranged according to </w:t>
      </w:r>
      <w:r w:rsidRPr="00C06A2E">
        <w:rPr>
          <w:color w:val="000000" w:themeColor="text1"/>
          <w:szCs w:val="24"/>
        </w:rPr>
        <w:t>their relative importance or priority.</w:t>
      </w:r>
      <w:r w:rsidRPr="00C06A2E">
        <w:rPr>
          <w:b/>
          <w:color w:val="000000" w:themeColor="text1"/>
          <w:szCs w:val="24"/>
          <w:u w:val="single"/>
          <w:vertAlign w:val="superscript"/>
        </w:rPr>
        <w:footnoteReference w:id="38"/>
      </w:r>
      <w:r w:rsidRPr="00C06A2E">
        <w:rPr>
          <w:color w:val="000000" w:themeColor="text1"/>
          <w:szCs w:val="24"/>
        </w:rPr>
        <w:t xml:space="preserve"> </w:t>
      </w:r>
      <w:r w:rsidR="00686173">
        <w:rPr>
          <w:color w:val="000000" w:themeColor="text1"/>
          <w:szCs w:val="24"/>
        </w:rPr>
        <w:t xml:space="preserve"> </w:t>
      </w:r>
      <w:r w:rsidRPr="00C06A2E">
        <w:rPr>
          <w:color w:val="000000" w:themeColor="text1"/>
          <w:szCs w:val="24"/>
        </w:rPr>
        <w:t xml:space="preserve">Energy Safety should revise the table so that risks are listed in a clear, sequential order based on their assigned priority level. </w:t>
      </w:r>
      <w:r w:rsidR="00686173">
        <w:rPr>
          <w:color w:val="000000" w:themeColor="text1"/>
          <w:szCs w:val="24"/>
        </w:rPr>
        <w:t xml:space="preserve"> </w:t>
      </w:r>
      <w:r w:rsidRPr="00C06A2E">
        <w:rPr>
          <w:color w:val="000000" w:themeColor="text1"/>
          <w:szCs w:val="24"/>
        </w:rPr>
        <w:t xml:space="preserve">If the priority column includes non-sequential risk priorities dispersed throughout the table, this </w:t>
      </w:r>
      <w:r w:rsidR="00560EE3">
        <w:rPr>
          <w:color w:val="000000" w:themeColor="text1"/>
          <w:szCs w:val="24"/>
        </w:rPr>
        <w:t>may</w:t>
      </w:r>
      <w:r w:rsidR="00560EE3" w:rsidRPr="00C06A2E">
        <w:rPr>
          <w:color w:val="000000" w:themeColor="text1"/>
          <w:szCs w:val="24"/>
        </w:rPr>
        <w:t xml:space="preserve"> </w:t>
      </w:r>
      <w:r w:rsidRPr="00C06A2E">
        <w:rPr>
          <w:color w:val="000000" w:themeColor="text1"/>
          <w:szCs w:val="24"/>
        </w:rPr>
        <w:t xml:space="preserve">diminish the table’s utility. Consistent ordering enhances readability and ensures stakeholders can quickly identify and </w:t>
      </w:r>
      <w:r w:rsidR="00560EE3">
        <w:rPr>
          <w:color w:val="000000" w:themeColor="text1"/>
          <w:szCs w:val="24"/>
        </w:rPr>
        <w:t>examine</w:t>
      </w:r>
      <w:r w:rsidR="00560EE3" w:rsidRPr="00C06A2E">
        <w:rPr>
          <w:color w:val="000000" w:themeColor="text1"/>
          <w:szCs w:val="24"/>
        </w:rPr>
        <w:t xml:space="preserve"> </w:t>
      </w:r>
      <w:r w:rsidRPr="00C06A2E">
        <w:rPr>
          <w:color w:val="000000" w:themeColor="text1"/>
          <w:szCs w:val="24"/>
        </w:rPr>
        <w:t>the most critical risks.</w:t>
      </w:r>
    </w:p>
    <w:p w14:paraId="7E38C7C1" w14:textId="2868BE29" w:rsidR="00C06A2E" w:rsidRPr="00FA6EA5" w:rsidRDefault="00C06A2E" w:rsidP="00F240DB">
      <w:pPr>
        <w:pStyle w:val="Heading3"/>
      </w:pPr>
      <w:bookmarkStart w:id="30" w:name="_Toc184036208"/>
      <w:bookmarkStart w:id="31" w:name="_Toc184385722"/>
      <w:r w:rsidRPr="00FA6EA5">
        <w:t xml:space="preserve">Energy Safety should require utilities to </w:t>
      </w:r>
      <w:r w:rsidR="00560EE3" w:rsidRPr="00FA6EA5">
        <w:t xml:space="preserve">provide </w:t>
      </w:r>
      <w:r w:rsidRPr="00FA6EA5">
        <w:t>outage data.</w:t>
      </w:r>
      <w:bookmarkEnd w:id="30"/>
      <w:bookmarkEnd w:id="31"/>
    </w:p>
    <w:p w14:paraId="4A2608AC" w14:textId="052FF596" w:rsidR="00560EE3" w:rsidRDefault="00C06A2E" w:rsidP="00C06A2E">
      <w:pPr>
        <w:tabs>
          <w:tab w:val="clear" w:pos="5040"/>
        </w:tabs>
        <w:spacing w:line="360" w:lineRule="auto"/>
        <w:ind w:firstLine="720"/>
        <w:rPr>
          <w:color w:val="000000" w:themeColor="text1"/>
          <w:szCs w:val="24"/>
        </w:rPr>
      </w:pPr>
      <w:r w:rsidRPr="00C06A2E">
        <w:rPr>
          <w:color w:val="000000" w:themeColor="text1"/>
          <w:szCs w:val="24"/>
        </w:rPr>
        <w:t>Table 3-1 should be expanded to include outage-related metrics</w:t>
      </w:r>
      <w:r w:rsidR="0036116A">
        <w:rPr>
          <w:color w:val="000000" w:themeColor="text1"/>
          <w:szCs w:val="24"/>
        </w:rPr>
        <w:t xml:space="preserve"> by</w:t>
      </w:r>
      <w:r w:rsidR="0036116A" w:rsidRPr="00C06A2E">
        <w:rPr>
          <w:color w:val="000000" w:themeColor="text1"/>
          <w:szCs w:val="24"/>
        </w:rPr>
        <w:t xml:space="preserve"> linking wildfire risks to their operational consequences</w:t>
      </w:r>
      <w:r w:rsidR="00560EE3">
        <w:rPr>
          <w:color w:val="000000" w:themeColor="text1"/>
          <w:szCs w:val="24"/>
        </w:rPr>
        <w:t xml:space="preserve"> to </w:t>
      </w:r>
      <w:r w:rsidRPr="00C06A2E">
        <w:rPr>
          <w:color w:val="000000" w:themeColor="text1"/>
          <w:szCs w:val="24"/>
        </w:rPr>
        <w:t xml:space="preserve">provide a more comprehensive perspective. </w:t>
      </w:r>
      <w:r w:rsidR="00686173">
        <w:rPr>
          <w:color w:val="000000" w:themeColor="text1"/>
          <w:szCs w:val="24"/>
        </w:rPr>
        <w:t xml:space="preserve"> </w:t>
      </w:r>
      <w:r w:rsidR="00560EE3">
        <w:rPr>
          <w:color w:val="000000" w:themeColor="text1"/>
          <w:szCs w:val="24"/>
        </w:rPr>
        <w:t>Energy Safety should add the following columns of data:</w:t>
      </w:r>
    </w:p>
    <w:p w14:paraId="34658DE6" w14:textId="78297AAB" w:rsidR="006B4B11" w:rsidRDefault="0088055E" w:rsidP="00BE7DCF">
      <w:pPr>
        <w:pStyle w:val="ListParagraph"/>
        <w:ind w:right="720"/>
      </w:pPr>
      <w:r>
        <w:t>T</w:t>
      </w:r>
      <w:r w:rsidR="00560EE3" w:rsidRPr="00C06A2E">
        <w:t xml:space="preserve">he frequency </w:t>
      </w:r>
      <w:r w:rsidR="006B4B11">
        <w:t xml:space="preserve">of </w:t>
      </w:r>
      <w:r w:rsidR="00145766">
        <w:t>outages (</w:t>
      </w:r>
      <w:r w:rsidR="00191452">
        <w:t xml:space="preserve">annual </w:t>
      </w:r>
      <w:r w:rsidR="00CE47E6">
        <w:t>average</w:t>
      </w:r>
      <w:r w:rsidR="00F1291D">
        <w:t xml:space="preserve"> </w:t>
      </w:r>
      <w:r w:rsidR="00191452">
        <w:t>number</w:t>
      </w:r>
      <w:r w:rsidR="00CE47E6">
        <w:t xml:space="preserve"> since</w:t>
      </w:r>
      <w:r w:rsidR="00191452">
        <w:t xml:space="preserve"> 2019</w:t>
      </w:r>
      <w:r w:rsidR="00145766">
        <w:t xml:space="preserve">) associated with </w:t>
      </w:r>
      <w:r w:rsidR="00266590">
        <w:t>each</w:t>
      </w:r>
      <w:r w:rsidR="00145766">
        <w:t xml:space="preserve"> risk</w:t>
      </w:r>
      <w:r w:rsidR="00266590">
        <w:t xml:space="preserve"> in </w:t>
      </w:r>
      <w:r w:rsidR="00F937F8">
        <w:t xml:space="preserve">the </w:t>
      </w:r>
      <w:r w:rsidR="00266590">
        <w:t>table</w:t>
      </w:r>
      <w:r w:rsidR="00145766">
        <w:t>.</w:t>
      </w:r>
    </w:p>
    <w:p w14:paraId="3426AAB0" w14:textId="24540751" w:rsidR="00560EE3" w:rsidRDefault="0088055E" w:rsidP="00BE7DCF">
      <w:pPr>
        <w:pStyle w:val="ListParagraph"/>
        <w:ind w:right="720"/>
      </w:pPr>
      <w:r>
        <w:t xml:space="preserve">The </w:t>
      </w:r>
      <w:r w:rsidR="00560EE3" w:rsidRPr="00C06A2E">
        <w:t xml:space="preserve">duration of outages </w:t>
      </w:r>
      <w:r w:rsidR="006B4B11">
        <w:t>(</w:t>
      </w:r>
      <w:r w:rsidR="00D669FA">
        <w:t xml:space="preserve">annual average </w:t>
      </w:r>
      <w:r w:rsidR="006B4B11">
        <w:t>customer hours of interruption</w:t>
      </w:r>
      <w:r w:rsidR="00D669FA">
        <w:t>, since 2019</w:t>
      </w:r>
      <w:r w:rsidR="006B4B11">
        <w:t>)</w:t>
      </w:r>
      <w:r w:rsidR="006761E5">
        <w:rPr>
          <w:rStyle w:val="FootnoteReference"/>
        </w:rPr>
        <w:footnoteReference w:id="39"/>
      </w:r>
      <w:r w:rsidR="006B4B11">
        <w:t xml:space="preserve"> </w:t>
      </w:r>
      <w:r w:rsidR="00560EE3" w:rsidRPr="00C06A2E">
        <w:t xml:space="preserve">associated with </w:t>
      </w:r>
      <w:r w:rsidR="00266590">
        <w:t>each risk in the table.</w:t>
      </w:r>
      <w:r w:rsidR="00266590" w:rsidRPr="00C06A2E" w:rsidDel="00266590">
        <w:t xml:space="preserve"> </w:t>
      </w:r>
    </w:p>
    <w:p w14:paraId="63542ED9" w14:textId="6A53E0CA"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Including </w:t>
      </w:r>
      <w:r w:rsidR="00560EE3">
        <w:rPr>
          <w:color w:val="000000" w:themeColor="text1"/>
          <w:szCs w:val="24"/>
        </w:rPr>
        <w:t>these</w:t>
      </w:r>
      <w:r w:rsidR="00560EE3" w:rsidRPr="00C06A2E">
        <w:rPr>
          <w:color w:val="000000" w:themeColor="text1"/>
          <w:szCs w:val="24"/>
        </w:rPr>
        <w:t xml:space="preserve"> </w:t>
      </w:r>
      <w:r w:rsidRPr="00C06A2E">
        <w:rPr>
          <w:color w:val="000000" w:themeColor="text1"/>
          <w:szCs w:val="24"/>
        </w:rPr>
        <w:t>data</w:t>
      </w:r>
      <w:r w:rsidR="00560EE3">
        <w:rPr>
          <w:color w:val="000000" w:themeColor="text1"/>
          <w:szCs w:val="24"/>
        </w:rPr>
        <w:t xml:space="preserve"> fields</w:t>
      </w:r>
      <w:r w:rsidRPr="00C06A2E">
        <w:rPr>
          <w:color w:val="000000" w:themeColor="text1"/>
          <w:szCs w:val="24"/>
        </w:rPr>
        <w:t xml:space="preserve"> </w:t>
      </w:r>
      <w:r w:rsidR="00560EE3">
        <w:rPr>
          <w:color w:val="000000" w:themeColor="text1"/>
          <w:szCs w:val="24"/>
        </w:rPr>
        <w:t xml:space="preserve">will </w:t>
      </w:r>
      <w:r w:rsidRPr="00C06A2E">
        <w:rPr>
          <w:color w:val="000000" w:themeColor="text1"/>
          <w:szCs w:val="24"/>
        </w:rPr>
        <w:t xml:space="preserve">ensure that </w:t>
      </w:r>
      <w:r w:rsidR="00560EE3">
        <w:rPr>
          <w:color w:val="000000" w:themeColor="text1"/>
          <w:szCs w:val="24"/>
        </w:rPr>
        <w:t>T</w:t>
      </w:r>
      <w:r w:rsidRPr="00C06A2E">
        <w:rPr>
          <w:color w:val="000000" w:themeColor="text1"/>
          <w:szCs w:val="24"/>
        </w:rPr>
        <w:t>able</w:t>
      </w:r>
      <w:r w:rsidR="00560EE3">
        <w:rPr>
          <w:color w:val="000000" w:themeColor="text1"/>
          <w:szCs w:val="24"/>
        </w:rPr>
        <w:t xml:space="preserve"> 3-1</w:t>
      </w:r>
      <w:r w:rsidRPr="00C06A2E">
        <w:rPr>
          <w:color w:val="000000" w:themeColor="text1"/>
          <w:szCs w:val="24"/>
        </w:rPr>
        <w:t xml:space="preserve"> not only identifies risks but also highlights their implications for system </w:t>
      </w:r>
      <w:r w:rsidR="0088055E">
        <w:rPr>
          <w:color w:val="000000" w:themeColor="text1"/>
          <w:szCs w:val="24"/>
        </w:rPr>
        <w:t>operations</w:t>
      </w:r>
      <w:r w:rsidR="00BD6A4E">
        <w:rPr>
          <w:color w:val="000000" w:themeColor="text1"/>
          <w:szCs w:val="24"/>
        </w:rPr>
        <w:t xml:space="preserve"> and public safety</w:t>
      </w:r>
      <w:r w:rsidR="0088055E">
        <w:rPr>
          <w:color w:val="000000" w:themeColor="text1"/>
          <w:szCs w:val="24"/>
        </w:rPr>
        <w:t xml:space="preserve"> </w:t>
      </w:r>
      <w:r w:rsidR="00560EE3">
        <w:rPr>
          <w:color w:val="000000" w:themeColor="text1"/>
          <w:szCs w:val="24"/>
        </w:rPr>
        <w:t>and reliability</w:t>
      </w:r>
      <w:r w:rsidRPr="00C06A2E">
        <w:rPr>
          <w:color w:val="000000" w:themeColor="text1"/>
          <w:szCs w:val="24"/>
        </w:rPr>
        <w:t>.</w:t>
      </w:r>
    </w:p>
    <w:p w14:paraId="2F961EDD" w14:textId="77777777" w:rsidR="00C06A2E" w:rsidRPr="00C06A2E" w:rsidRDefault="00C06A2E" w:rsidP="00F240DB">
      <w:pPr>
        <w:pStyle w:val="Heading3"/>
      </w:pPr>
      <w:bookmarkStart w:id="32" w:name="_Toc184036209"/>
      <w:bookmarkStart w:id="33" w:name="_Toc184385723"/>
      <w:r w:rsidRPr="00FA6EA5">
        <w:t>Energy Safety should define timeframes for data consi</w:t>
      </w:r>
      <w:r w:rsidRPr="00C06A2E">
        <w:t>stency.</w:t>
      </w:r>
      <w:bookmarkEnd w:id="32"/>
      <w:bookmarkEnd w:id="33"/>
    </w:p>
    <w:p w14:paraId="6583FD51" w14:textId="4DDB5B5D" w:rsidR="00F937F8"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Table 3-1 should be revised to define the timeframe for the reported data. </w:t>
      </w:r>
      <w:r w:rsidR="00E76BAF">
        <w:rPr>
          <w:color w:val="000000" w:themeColor="text1"/>
          <w:szCs w:val="24"/>
        </w:rPr>
        <w:t xml:space="preserve"> </w:t>
      </w:r>
      <w:r w:rsidRPr="00C06A2E">
        <w:rPr>
          <w:color w:val="000000" w:themeColor="text1"/>
          <w:szCs w:val="24"/>
        </w:rPr>
        <w:t xml:space="preserve">Establishing a standardized reporting period allows stakeholders to evaluate the effectiveness of risk mitigation measures over time and benchmark performance against other utilities. </w:t>
      </w:r>
      <w:r w:rsidR="00686173">
        <w:rPr>
          <w:color w:val="000000" w:themeColor="text1"/>
          <w:szCs w:val="24"/>
        </w:rPr>
        <w:t xml:space="preserve"> </w:t>
      </w:r>
      <w:r w:rsidRPr="00C06A2E">
        <w:rPr>
          <w:color w:val="000000" w:themeColor="text1"/>
          <w:szCs w:val="24"/>
        </w:rPr>
        <w:t xml:space="preserve">Without a specific timeframe, a table entry could represent data from one year, five years, or an undefined period, </w:t>
      </w:r>
      <w:r w:rsidRPr="00C06A2E">
        <w:rPr>
          <w:color w:val="000000" w:themeColor="text1"/>
          <w:szCs w:val="24"/>
        </w:rPr>
        <w:lastRenderedPageBreak/>
        <w:t>leading to confusion about the scale and urgency of the risk.</w:t>
      </w:r>
      <w:r w:rsidR="00F937F8">
        <w:rPr>
          <w:color w:val="000000" w:themeColor="text1"/>
          <w:szCs w:val="24"/>
        </w:rPr>
        <w:t xml:space="preserve">  </w:t>
      </w:r>
      <w:r w:rsidR="00BB56B1">
        <w:rPr>
          <w:color w:val="000000" w:themeColor="text1"/>
          <w:szCs w:val="24"/>
        </w:rPr>
        <w:t>Cal Advocates recommends that the data in Table 3-1</w:t>
      </w:r>
      <w:r w:rsidR="00812964">
        <w:rPr>
          <w:color w:val="000000" w:themeColor="text1"/>
          <w:szCs w:val="24"/>
        </w:rPr>
        <w:t xml:space="preserve"> be calculated based on the average of the </w:t>
      </w:r>
      <w:r w:rsidR="00BC3143">
        <w:rPr>
          <w:color w:val="000000" w:themeColor="text1"/>
          <w:szCs w:val="24"/>
        </w:rPr>
        <w:t xml:space="preserve">2019-2024 </w:t>
      </w:r>
      <w:r w:rsidR="00812964">
        <w:rPr>
          <w:color w:val="000000" w:themeColor="text1"/>
          <w:szCs w:val="24"/>
        </w:rPr>
        <w:t>period</w:t>
      </w:r>
      <w:r w:rsidR="00F473AA">
        <w:rPr>
          <w:color w:val="000000" w:themeColor="text1"/>
          <w:szCs w:val="24"/>
        </w:rPr>
        <w:t>.</w:t>
      </w:r>
      <w:r w:rsidR="00701E2D">
        <w:rPr>
          <w:rStyle w:val="FootnoteReference"/>
          <w:szCs w:val="24"/>
        </w:rPr>
        <w:footnoteReference w:id="40"/>
      </w:r>
      <w:r w:rsidR="00F473AA">
        <w:rPr>
          <w:color w:val="000000" w:themeColor="text1"/>
          <w:szCs w:val="24"/>
        </w:rPr>
        <w:t xml:space="preserve"> </w:t>
      </w:r>
      <w:r w:rsidR="00F937F8">
        <w:rPr>
          <w:color w:val="000000" w:themeColor="text1"/>
          <w:szCs w:val="24"/>
        </w:rPr>
        <w:t xml:space="preserve"> </w:t>
      </w:r>
    </w:p>
    <w:p w14:paraId="72A8E232" w14:textId="080FE9AB"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The improvements </w:t>
      </w:r>
      <w:r w:rsidR="008C0939">
        <w:rPr>
          <w:color w:val="000000" w:themeColor="text1"/>
          <w:szCs w:val="24"/>
        </w:rPr>
        <w:t xml:space="preserve">described above </w:t>
      </w:r>
      <w:r w:rsidRPr="00C06A2E">
        <w:rPr>
          <w:color w:val="000000" w:themeColor="text1"/>
          <w:szCs w:val="24"/>
        </w:rPr>
        <w:t>will make Table 3-1 a more effective tool for prioritizing wildfire risks, evaluating operational impacts</w:t>
      </w:r>
      <w:r w:rsidR="008C0939">
        <w:rPr>
          <w:color w:val="000000" w:themeColor="text1"/>
          <w:szCs w:val="24"/>
        </w:rPr>
        <w:t xml:space="preserve"> of those risks</w:t>
      </w:r>
      <w:r w:rsidRPr="00C06A2E">
        <w:rPr>
          <w:color w:val="000000" w:themeColor="text1"/>
          <w:szCs w:val="24"/>
        </w:rPr>
        <w:t>, and guiding strategic mitigation efforts.</w:t>
      </w:r>
    </w:p>
    <w:p w14:paraId="53FA90CC" w14:textId="319D9D32" w:rsidR="00C06A2E" w:rsidRPr="00C06A2E" w:rsidRDefault="00C06A2E" w:rsidP="00F240DB">
      <w:pPr>
        <w:pStyle w:val="Heading2"/>
      </w:pPr>
      <w:bookmarkStart w:id="34" w:name="_Toc184036210"/>
      <w:bookmarkStart w:id="35" w:name="_Toc184385724"/>
      <w:r w:rsidRPr="00C06A2E">
        <w:t xml:space="preserve">Energy Safety should enhance </w:t>
      </w:r>
      <w:r w:rsidR="00C14D6E">
        <w:t xml:space="preserve">reporting on </w:t>
      </w:r>
      <w:r w:rsidRPr="00C06A2E">
        <w:t>wildfire history in Table 4</w:t>
      </w:r>
      <w:r w:rsidR="008C0939">
        <w:t>-</w:t>
      </w:r>
      <w:r w:rsidRPr="00C06A2E">
        <w:t>2.</w:t>
      </w:r>
      <w:bookmarkEnd w:id="34"/>
      <w:bookmarkEnd w:id="35"/>
    </w:p>
    <w:p w14:paraId="4E91CD08" w14:textId="7F80425F"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Table 4-2</w:t>
      </w:r>
      <w:r w:rsidR="008C0939">
        <w:rPr>
          <w:color w:val="000000" w:themeColor="text1"/>
          <w:szCs w:val="24"/>
        </w:rPr>
        <w:t xml:space="preserve"> includes data on catastrophic wildfires in each utility’s service territory, which </w:t>
      </w:r>
      <w:r w:rsidRPr="00C06A2E">
        <w:rPr>
          <w:color w:val="000000" w:themeColor="text1"/>
          <w:szCs w:val="24"/>
        </w:rPr>
        <w:t>largely replicates data that is available from authoritative sources such as CAL FIRE or the U.S. Forest Service.</w:t>
      </w:r>
      <w:r w:rsidRPr="00C06A2E">
        <w:rPr>
          <w:b/>
          <w:color w:val="000000" w:themeColor="text1"/>
          <w:szCs w:val="24"/>
          <w:u w:val="single"/>
          <w:vertAlign w:val="superscript"/>
        </w:rPr>
        <w:footnoteReference w:id="41"/>
      </w:r>
      <w:r w:rsidRPr="00C06A2E">
        <w:rPr>
          <w:color w:val="000000" w:themeColor="text1"/>
          <w:szCs w:val="24"/>
        </w:rPr>
        <w:t xml:space="preserve"> </w:t>
      </w:r>
      <w:r w:rsidR="00686173">
        <w:rPr>
          <w:color w:val="000000" w:themeColor="text1"/>
          <w:szCs w:val="24"/>
        </w:rPr>
        <w:t xml:space="preserve"> </w:t>
      </w:r>
      <w:r w:rsidRPr="00C06A2E">
        <w:rPr>
          <w:color w:val="000000" w:themeColor="text1"/>
          <w:szCs w:val="24"/>
        </w:rPr>
        <w:t xml:space="preserve">While </w:t>
      </w:r>
      <w:r w:rsidR="003C4C06">
        <w:rPr>
          <w:color w:val="000000" w:themeColor="text1"/>
          <w:szCs w:val="24"/>
        </w:rPr>
        <w:t>the</w:t>
      </w:r>
      <w:r w:rsidR="003C4C06" w:rsidRPr="00C06A2E">
        <w:rPr>
          <w:color w:val="000000" w:themeColor="text1"/>
          <w:szCs w:val="24"/>
        </w:rPr>
        <w:t xml:space="preserve"> </w:t>
      </w:r>
      <w:r w:rsidRPr="00C06A2E">
        <w:rPr>
          <w:color w:val="000000" w:themeColor="text1"/>
          <w:szCs w:val="24"/>
        </w:rPr>
        <w:t>data</w:t>
      </w:r>
      <w:r w:rsidR="003C4C06">
        <w:rPr>
          <w:color w:val="000000" w:themeColor="text1"/>
          <w:szCs w:val="24"/>
        </w:rPr>
        <w:t xml:space="preserve"> in Table 4-2</w:t>
      </w:r>
      <w:r w:rsidRPr="00C06A2E">
        <w:rPr>
          <w:color w:val="000000" w:themeColor="text1"/>
          <w:szCs w:val="24"/>
        </w:rPr>
        <w:t xml:space="preserve"> is valuable, it focuses solely on high-consequence wildfires and overlooks smaller ignitions that may not meet reporting thresholds.</w:t>
      </w:r>
      <w:r w:rsidRPr="00C06A2E">
        <w:rPr>
          <w:b/>
          <w:color w:val="000000" w:themeColor="text1"/>
          <w:szCs w:val="24"/>
          <w:u w:val="single"/>
          <w:vertAlign w:val="superscript"/>
        </w:rPr>
        <w:footnoteReference w:id="42"/>
      </w:r>
      <w:r w:rsidRPr="00C06A2E">
        <w:rPr>
          <w:color w:val="000000" w:themeColor="text1"/>
          <w:szCs w:val="24"/>
        </w:rPr>
        <w:t xml:space="preserve"> </w:t>
      </w:r>
      <w:r w:rsidR="00686173">
        <w:rPr>
          <w:color w:val="000000" w:themeColor="text1"/>
          <w:szCs w:val="24"/>
        </w:rPr>
        <w:t xml:space="preserve"> </w:t>
      </w:r>
      <w:r w:rsidRPr="00C06A2E">
        <w:rPr>
          <w:color w:val="000000" w:themeColor="text1"/>
          <w:szCs w:val="24"/>
        </w:rPr>
        <w:t xml:space="preserve">This scope limits the table’s ability to provide a comprehensive understanding of wildfire risk, </w:t>
      </w:r>
      <w:r w:rsidR="008C0939">
        <w:rPr>
          <w:color w:val="000000" w:themeColor="text1"/>
          <w:szCs w:val="24"/>
        </w:rPr>
        <w:t>since</w:t>
      </w:r>
      <w:r w:rsidRPr="00C06A2E">
        <w:rPr>
          <w:color w:val="000000" w:themeColor="text1"/>
          <w:szCs w:val="24"/>
        </w:rPr>
        <w:t xml:space="preserve"> smaller recurring ignitions could indicate systemic vulnerabilities or emerging trends.</w:t>
      </w:r>
    </w:p>
    <w:p w14:paraId="4A738D76" w14:textId="66FC18C7" w:rsidR="00C06A2E" w:rsidRPr="00C06A2E" w:rsidRDefault="00C06A2E" w:rsidP="00F240DB">
      <w:pPr>
        <w:pStyle w:val="Heading3"/>
      </w:pPr>
      <w:bookmarkStart w:id="36" w:name="_Toc184036211"/>
      <w:bookmarkStart w:id="37" w:name="_Toc184385725"/>
      <w:r w:rsidRPr="00C06A2E">
        <w:t xml:space="preserve">Energy Safety should require utilities to </w:t>
      </w:r>
      <w:r w:rsidR="008C0939">
        <w:t xml:space="preserve">provide geospatial data on </w:t>
      </w:r>
      <w:r w:rsidRPr="00C06A2E">
        <w:t>smaller fires.</w:t>
      </w:r>
      <w:bookmarkEnd w:id="36"/>
      <w:bookmarkEnd w:id="37"/>
    </w:p>
    <w:p w14:paraId="4E06D4BD" w14:textId="41301A04"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Utilities should be required to </w:t>
      </w:r>
      <w:r w:rsidR="00C14D6E">
        <w:rPr>
          <w:color w:val="000000" w:themeColor="text1"/>
          <w:szCs w:val="24"/>
        </w:rPr>
        <w:t>augment their</w:t>
      </w:r>
      <w:r w:rsidR="00C14D6E" w:rsidRPr="00C06A2E">
        <w:rPr>
          <w:color w:val="000000" w:themeColor="text1"/>
          <w:szCs w:val="24"/>
        </w:rPr>
        <w:t xml:space="preserve"> </w:t>
      </w:r>
      <w:r w:rsidRPr="00C06A2E">
        <w:rPr>
          <w:color w:val="000000" w:themeColor="text1"/>
          <w:szCs w:val="24"/>
        </w:rPr>
        <w:t>geospatial data submissions to include smaller, potentially non-reportable ignitions that are currently excluded.</w:t>
      </w:r>
      <w:r w:rsidRPr="00C06A2E">
        <w:rPr>
          <w:b/>
          <w:color w:val="000000" w:themeColor="text1"/>
          <w:szCs w:val="24"/>
          <w:u w:val="single"/>
          <w:vertAlign w:val="superscript"/>
        </w:rPr>
        <w:footnoteReference w:id="43"/>
      </w:r>
      <w:r w:rsidR="00686173">
        <w:rPr>
          <w:color w:val="000000" w:themeColor="text1"/>
          <w:szCs w:val="24"/>
        </w:rPr>
        <w:t xml:space="preserve"> </w:t>
      </w:r>
      <w:r w:rsidRPr="00C06A2E">
        <w:rPr>
          <w:color w:val="000000" w:themeColor="text1"/>
          <w:szCs w:val="24"/>
        </w:rPr>
        <w:t xml:space="preserve"> These smaller events, while not individually catastrophic, </w:t>
      </w:r>
      <w:r w:rsidR="00C14D6E">
        <w:rPr>
          <w:color w:val="000000" w:themeColor="text1"/>
          <w:szCs w:val="24"/>
        </w:rPr>
        <w:t>may be</w:t>
      </w:r>
      <w:r w:rsidRPr="00C06A2E">
        <w:rPr>
          <w:color w:val="000000" w:themeColor="text1"/>
          <w:szCs w:val="24"/>
        </w:rPr>
        <w:t xml:space="preserve"> early indicators of risk factors such as equipment vulnerabilities, vegetation management challenges, or localized environmental conditions. </w:t>
      </w:r>
      <w:r w:rsidRPr="00C06A2E">
        <w:rPr>
          <w:color w:val="000000" w:themeColor="text1"/>
          <w:szCs w:val="24"/>
        </w:rPr>
        <w:lastRenderedPageBreak/>
        <w:t>Incorporating these ignitions would create a more complete risk picture</w:t>
      </w:r>
      <w:r w:rsidR="00C14D6E">
        <w:rPr>
          <w:color w:val="000000" w:themeColor="text1"/>
          <w:szCs w:val="24"/>
        </w:rPr>
        <w:t xml:space="preserve"> and would</w:t>
      </w:r>
      <w:r w:rsidRPr="00C06A2E">
        <w:rPr>
          <w:color w:val="000000" w:themeColor="text1"/>
          <w:szCs w:val="24"/>
        </w:rPr>
        <w:t xml:space="preserve"> improv</w:t>
      </w:r>
      <w:r w:rsidR="00C14D6E">
        <w:rPr>
          <w:color w:val="000000" w:themeColor="text1"/>
          <w:szCs w:val="24"/>
        </w:rPr>
        <w:t>e</w:t>
      </w:r>
      <w:r w:rsidRPr="00C06A2E">
        <w:rPr>
          <w:color w:val="000000" w:themeColor="text1"/>
          <w:szCs w:val="24"/>
        </w:rPr>
        <w:t xml:space="preserve"> utilities’ ability to identify wildfire risks proactively.</w:t>
      </w:r>
    </w:p>
    <w:p w14:paraId="771C2D93" w14:textId="41956A56" w:rsidR="00C06A2E" w:rsidRPr="00C06A2E" w:rsidRDefault="00C06A2E" w:rsidP="00F240DB">
      <w:pPr>
        <w:pStyle w:val="Heading3"/>
      </w:pPr>
      <w:bookmarkStart w:id="38" w:name="_Toc184036212"/>
      <w:bookmarkStart w:id="39" w:name="_Toc184385726"/>
      <w:r w:rsidRPr="00C06A2E">
        <w:t xml:space="preserve">Energy Safety should require utilities to </w:t>
      </w:r>
      <w:r w:rsidR="00C14D6E">
        <w:t>identify</w:t>
      </w:r>
      <w:r w:rsidR="00C14D6E" w:rsidRPr="00C06A2E">
        <w:t xml:space="preserve"> </w:t>
      </w:r>
      <w:r w:rsidRPr="00C06A2E">
        <w:t>the cause</w:t>
      </w:r>
      <w:r w:rsidR="00893DE1">
        <w:t>s</w:t>
      </w:r>
      <w:r w:rsidRPr="00C06A2E">
        <w:t xml:space="preserve"> of all </w:t>
      </w:r>
      <w:r w:rsidR="00F6420E">
        <w:t>utility</w:t>
      </w:r>
      <w:r w:rsidR="00882087">
        <w:t>-</w:t>
      </w:r>
      <w:r w:rsidR="00F6420E">
        <w:t xml:space="preserve">related </w:t>
      </w:r>
      <w:r w:rsidRPr="00C06A2E">
        <w:t xml:space="preserve">wildfires in </w:t>
      </w:r>
      <w:r w:rsidR="00C14D6E">
        <w:t xml:space="preserve">their </w:t>
      </w:r>
      <w:r w:rsidRPr="00C06A2E">
        <w:t>territor</w:t>
      </w:r>
      <w:r w:rsidR="00C14D6E">
        <w:t>ies,</w:t>
      </w:r>
      <w:r w:rsidRPr="00C06A2E">
        <w:t xml:space="preserve"> not just catastrophic ones.</w:t>
      </w:r>
      <w:bookmarkEnd w:id="38"/>
      <w:bookmarkEnd w:id="39"/>
    </w:p>
    <w:p w14:paraId="0F0D5538" w14:textId="1FB70D84"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Energy Safety should broaden Table 4-2 to include causes of all fires, not just those classified as catastrophic.</w:t>
      </w:r>
      <w:r w:rsidRPr="00C06A2E">
        <w:rPr>
          <w:b/>
          <w:color w:val="000000" w:themeColor="text1"/>
          <w:szCs w:val="24"/>
          <w:u w:val="single"/>
          <w:vertAlign w:val="superscript"/>
        </w:rPr>
        <w:footnoteReference w:id="44"/>
      </w:r>
      <w:r w:rsidRPr="00C06A2E">
        <w:rPr>
          <w:color w:val="000000" w:themeColor="text1"/>
          <w:szCs w:val="24"/>
        </w:rPr>
        <w:t xml:space="preserve"> </w:t>
      </w:r>
      <w:r w:rsidR="00686173">
        <w:rPr>
          <w:color w:val="000000" w:themeColor="text1"/>
          <w:szCs w:val="24"/>
        </w:rPr>
        <w:t xml:space="preserve"> </w:t>
      </w:r>
      <w:r w:rsidR="006F2756">
        <w:rPr>
          <w:color w:val="000000" w:themeColor="text1"/>
          <w:szCs w:val="24"/>
        </w:rPr>
        <w:t>Specifically, u</w:t>
      </w:r>
      <w:r w:rsidR="00C14D6E">
        <w:rPr>
          <w:color w:val="000000" w:themeColor="text1"/>
          <w:szCs w:val="24"/>
        </w:rPr>
        <w:t>tilities should report the best available causal information</w:t>
      </w:r>
      <w:r w:rsidR="00FE052C">
        <w:rPr>
          <w:color w:val="000000" w:themeColor="text1"/>
          <w:szCs w:val="24"/>
        </w:rPr>
        <w:t>.</w:t>
      </w:r>
      <w:r w:rsidR="00893C2A">
        <w:rPr>
          <w:rStyle w:val="FootnoteReference"/>
          <w:szCs w:val="24"/>
        </w:rPr>
        <w:footnoteReference w:id="45"/>
      </w:r>
      <w:r w:rsidR="00C14D6E">
        <w:rPr>
          <w:color w:val="000000" w:themeColor="text1"/>
          <w:szCs w:val="24"/>
        </w:rPr>
        <w:t xml:space="preserve"> </w:t>
      </w:r>
      <w:r w:rsidR="00686173">
        <w:rPr>
          <w:color w:val="000000" w:themeColor="text1"/>
          <w:szCs w:val="24"/>
        </w:rPr>
        <w:t xml:space="preserve"> </w:t>
      </w:r>
      <w:r w:rsidRPr="00C06A2E">
        <w:rPr>
          <w:color w:val="000000" w:themeColor="text1"/>
          <w:szCs w:val="24"/>
        </w:rPr>
        <w:t xml:space="preserve">Understanding the root causes of smaller incidents can </w:t>
      </w:r>
      <w:r w:rsidR="00C14D6E">
        <w:rPr>
          <w:color w:val="000000" w:themeColor="text1"/>
          <w:szCs w:val="24"/>
        </w:rPr>
        <w:t>improve</w:t>
      </w:r>
      <w:r w:rsidRPr="00C06A2E">
        <w:rPr>
          <w:color w:val="000000" w:themeColor="text1"/>
          <w:szCs w:val="24"/>
        </w:rPr>
        <w:t xml:space="preserve"> risk analysis and uncover patterns that might otherwise go unnoticed. </w:t>
      </w:r>
      <w:r w:rsidR="00686173">
        <w:rPr>
          <w:color w:val="000000" w:themeColor="text1"/>
          <w:szCs w:val="24"/>
        </w:rPr>
        <w:t xml:space="preserve"> </w:t>
      </w:r>
      <w:r w:rsidRPr="00C06A2E">
        <w:rPr>
          <w:color w:val="000000" w:themeColor="text1"/>
          <w:szCs w:val="24"/>
        </w:rPr>
        <w:t>For example, frequent</w:t>
      </w:r>
      <w:r w:rsidR="00C14D6E">
        <w:rPr>
          <w:color w:val="000000" w:themeColor="text1"/>
          <w:szCs w:val="24"/>
        </w:rPr>
        <w:t>,</w:t>
      </w:r>
      <w:r w:rsidRPr="00C06A2E">
        <w:rPr>
          <w:color w:val="000000" w:themeColor="text1"/>
          <w:szCs w:val="24"/>
        </w:rPr>
        <w:t xml:space="preserve"> small ignitions caused by equipment failures in a specific region</w:t>
      </w:r>
      <w:r w:rsidR="00C14D6E">
        <w:rPr>
          <w:color w:val="000000" w:themeColor="text1"/>
          <w:szCs w:val="24"/>
        </w:rPr>
        <w:t>, or by failure of a particular type of equipment,</w:t>
      </w:r>
      <w:r w:rsidRPr="00C06A2E">
        <w:rPr>
          <w:color w:val="000000" w:themeColor="text1"/>
          <w:szCs w:val="24"/>
        </w:rPr>
        <w:t xml:space="preserve"> could signal the need for targeted infrastructure upgrades</w:t>
      </w:r>
      <w:r w:rsidR="00C14D6E">
        <w:rPr>
          <w:color w:val="000000" w:themeColor="text1"/>
          <w:szCs w:val="24"/>
        </w:rPr>
        <w:t xml:space="preserve">. </w:t>
      </w:r>
      <w:r w:rsidR="00686173">
        <w:rPr>
          <w:color w:val="000000" w:themeColor="text1"/>
          <w:szCs w:val="24"/>
        </w:rPr>
        <w:t xml:space="preserve"> </w:t>
      </w:r>
      <w:r w:rsidR="00C14D6E">
        <w:rPr>
          <w:color w:val="000000" w:themeColor="text1"/>
          <w:szCs w:val="24"/>
        </w:rPr>
        <w:t>Similarly, a</w:t>
      </w:r>
      <w:r w:rsidRPr="00C06A2E">
        <w:rPr>
          <w:color w:val="000000" w:themeColor="text1"/>
          <w:szCs w:val="24"/>
        </w:rPr>
        <w:t xml:space="preserve"> pattern of ignitions linked to vegetation might inform enhanced vegetation management practices.</w:t>
      </w:r>
    </w:p>
    <w:p w14:paraId="2DF35618" w14:textId="5B4772F8" w:rsidR="00C06A2E" w:rsidRPr="00C06A2E" w:rsidRDefault="00C14D6E" w:rsidP="00C06A2E">
      <w:pPr>
        <w:tabs>
          <w:tab w:val="clear" w:pos="5040"/>
        </w:tabs>
        <w:spacing w:line="360" w:lineRule="auto"/>
        <w:ind w:firstLine="720"/>
        <w:rPr>
          <w:color w:val="000000" w:themeColor="text1"/>
          <w:szCs w:val="24"/>
        </w:rPr>
      </w:pPr>
      <w:r>
        <w:rPr>
          <w:color w:val="000000" w:themeColor="text1"/>
          <w:szCs w:val="24"/>
        </w:rPr>
        <w:t>Cal Advocates’</w:t>
      </w:r>
      <w:r w:rsidRPr="00C06A2E">
        <w:rPr>
          <w:color w:val="000000" w:themeColor="text1"/>
          <w:szCs w:val="24"/>
        </w:rPr>
        <w:t xml:space="preserve"> </w:t>
      </w:r>
      <w:r w:rsidR="00C06A2E" w:rsidRPr="00C06A2E">
        <w:rPr>
          <w:color w:val="000000" w:themeColor="text1"/>
          <w:szCs w:val="24"/>
        </w:rPr>
        <w:t>recommendations</w:t>
      </w:r>
      <w:r>
        <w:rPr>
          <w:color w:val="000000" w:themeColor="text1"/>
          <w:szCs w:val="24"/>
        </w:rPr>
        <w:t xml:space="preserve"> regarding Table 4-2</w:t>
      </w:r>
      <w:r w:rsidR="00C06A2E" w:rsidRPr="00C06A2E">
        <w:rPr>
          <w:color w:val="000000" w:themeColor="text1"/>
          <w:szCs w:val="24"/>
        </w:rPr>
        <w:t xml:space="preserve"> will enable utilities and stakeholders to track trends more effectively and evaluate mitigation efforts at a granular level. </w:t>
      </w:r>
      <w:r>
        <w:rPr>
          <w:color w:val="000000" w:themeColor="text1"/>
          <w:szCs w:val="24"/>
        </w:rPr>
        <w:t>I</w:t>
      </w:r>
      <w:r w:rsidR="00C06A2E" w:rsidRPr="00C06A2E">
        <w:rPr>
          <w:color w:val="000000" w:themeColor="text1"/>
          <w:szCs w:val="24"/>
        </w:rPr>
        <w:t>n this way, Energy Safety can drive a more proactive approach to evaluating wildfire prevention.</w:t>
      </w:r>
    </w:p>
    <w:p w14:paraId="6B3A92CF" w14:textId="62821793" w:rsidR="00C06A2E" w:rsidRPr="00FA6EA5" w:rsidRDefault="00C06A2E" w:rsidP="00F240DB">
      <w:pPr>
        <w:pStyle w:val="Heading2"/>
      </w:pPr>
      <w:bookmarkStart w:id="40" w:name="_Toc184036213"/>
      <w:bookmarkStart w:id="41" w:name="_Toc184385727"/>
      <w:r w:rsidRPr="00C06A2E">
        <w:t xml:space="preserve">Energy </w:t>
      </w:r>
      <w:r w:rsidRPr="00FA6EA5">
        <w:t>Safety should require utilities to provide detail about corrective actions in Table</w:t>
      </w:r>
      <w:r w:rsidRPr="00C06A2E">
        <w:t xml:space="preserve"> 4-3.</w:t>
      </w:r>
      <w:bookmarkEnd w:id="40"/>
      <w:bookmarkEnd w:id="41"/>
    </w:p>
    <w:p w14:paraId="770925A6" w14:textId="7CA5C2F3" w:rsidR="005C6ADF" w:rsidRDefault="00707F43" w:rsidP="00097299">
      <w:pPr>
        <w:tabs>
          <w:tab w:val="clear" w:pos="5040"/>
        </w:tabs>
        <w:spacing w:line="360" w:lineRule="auto"/>
        <w:ind w:firstLine="720"/>
        <w:rPr>
          <w:color w:val="000000" w:themeColor="text1"/>
          <w:szCs w:val="24"/>
        </w:rPr>
      </w:pPr>
      <w:r w:rsidRPr="00707F43">
        <w:rPr>
          <w:color w:val="000000" w:themeColor="text1"/>
          <w:szCs w:val="24"/>
        </w:rPr>
        <w:t xml:space="preserve">Table 4-3 provides data on frequently deenergized circuits during planned outages. </w:t>
      </w:r>
      <w:r w:rsidR="00E76BAF">
        <w:rPr>
          <w:color w:val="000000" w:themeColor="text1"/>
          <w:szCs w:val="24"/>
        </w:rPr>
        <w:t xml:space="preserve"> </w:t>
      </w:r>
      <w:r w:rsidRPr="00707F43">
        <w:rPr>
          <w:color w:val="000000" w:themeColor="text1"/>
          <w:szCs w:val="24"/>
        </w:rPr>
        <w:t>Based on this information, Energy Safety should require utilities to clearly outline the corrective actions they have taken or plan to take, incorporating lessons learned from PSPS outage reporting</w:t>
      </w:r>
      <w:r w:rsidR="00442212">
        <w:rPr>
          <w:color w:val="000000" w:themeColor="text1"/>
          <w:szCs w:val="24"/>
        </w:rPr>
        <w:t>.</w:t>
      </w:r>
      <w:r w:rsidR="00C06A2E" w:rsidRPr="00C06A2E">
        <w:rPr>
          <w:b/>
          <w:color w:val="000000" w:themeColor="text1"/>
          <w:szCs w:val="24"/>
          <w:u w:val="single"/>
          <w:vertAlign w:val="superscript"/>
        </w:rPr>
        <w:footnoteReference w:id="46"/>
      </w:r>
      <w:r w:rsidR="00C06A2E" w:rsidRPr="00C06A2E">
        <w:rPr>
          <w:color w:val="000000" w:themeColor="text1"/>
          <w:szCs w:val="24"/>
        </w:rPr>
        <w:t xml:space="preserve"> </w:t>
      </w:r>
    </w:p>
    <w:p w14:paraId="411F02F7" w14:textId="67EDAF57" w:rsidR="00C06A2E" w:rsidRPr="00C06A2E" w:rsidRDefault="005C6ADF" w:rsidP="00C06A2E">
      <w:pPr>
        <w:tabs>
          <w:tab w:val="clear" w:pos="5040"/>
        </w:tabs>
        <w:spacing w:line="360" w:lineRule="auto"/>
        <w:ind w:firstLine="720"/>
        <w:rPr>
          <w:color w:val="000000" w:themeColor="text1"/>
          <w:sz w:val="21"/>
          <w:szCs w:val="24"/>
        </w:rPr>
      </w:pPr>
      <w:r>
        <w:rPr>
          <w:color w:val="000000" w:themeColor="text1"/>
          <w:szCs w:val="24"/>
        </w:rPr>
        <w:t>Energy Safety should improve Table 4-3 by i</w:t>
      </w:r>
      <w:r w:rsidR="00C06A2E" w:rsidRPr="00C06A2E">
        <w:rPr>
          <w:color w:val="000000" w:themeColor="text1"/>
          <w:szCs w:val="24"/>
        </w:rPr>
        <w:t>ncluding timelines and requiring utilities to provide updates in subsequent WMP submissions</w:t>
      </w:r>
      <w:r>
        <w:rPr>
          <w:color w:val="000000" w:themeColor="text1"/>
          <w:szCs w:val="24"/>
        </w:rPr>
        <w:t xml:space="preserve">. </w:t>
      </w:r>
      <w:r w:rsidR="00686173">
        <w:rPr>
          <w:color w:val="000000" w:themeColor="text1"/>
          <w:szCs w:val="24"/>
        </w:rPr>
        <w:t xml:space="preserve"> </w:t>
      </w:r>
      <w:r>
        <w:rPr>
          <w:color w:val="000000" w:themeColor="text1"/>
          <w:szCs w:val="24"/>
        </w:rPr>
        <w:t>This</w:t>
      </w:r>
      <w:r w:rsidR="00C06A2E" w:rsidRPr="00C06A2E">
        <w:rPr>
          <w:color w:val="000000" w:themeColor="text1"/>
          <w:szCs w:val="24"/>
        </w:rPr>
        <w:t xml:space="preserve"> will allow stakeholders to monitor the implementation</w:t>
      </w:r>
      <w:r>
        <w:rPr>
          <w:color w:val="000000" w:themeColor="text1"/>
          <w:szCs w:val="24"/>
        </w:rPr>
        <w:t>,</w:t>
      </w:r>
      <w:r w:rsidR="00C06A2E" w:rsidRPr="00C06A2E">
        <w:rPr>
          <w:color w:val="000000" w:themeColor="text1"/>
          <w:szCs w:val="24"/>
        </w:rPr>
        <w:t xml:space="preserve"> and evaluate the effectiveness</w:t>
      </w:r>
      <w:r>
        <w:rPr>
          <w:color w:val="000000" w:themeColor="text1"/>
          <w:szCs w:val="24"/>
        </w:rPr>
        <w:t>,</w:t>
      </w:r>
      <w:r w:rsidR="00C06A2E" w:rsidRPr="00C06A2E">
        <w:rPr>
          <w:color w:val="000000" w:themeColor="text1"/>
          <w:szCs w:val="24"/>
        </w:rPr>
        <w:t xml:space="preserve"> of these corrective measures over time.</w:t>
      </w:r>
    </w:p>
    <w:p w14:paraId="5DC189A2" w14:textId="034CEEFD" w:rsidR="00C06A2E" w:rsidRPr="00FA6EA5" w:rsidRDefault="00C06A2E" w:rsidP="00F240DB">
      <w:pPr>
        <w:pStyle w:val="Heading3"/>
      </w:pPr>
      <w:bookmarkStart w:id="42" w:name="_Toc184036214"/>
      <w:bookmarkStart w:id="43" w:name="_Toc184385728"/>
      <w:r w:rsidRPr="00FA6EA5">
        <w:lastRenderedPageBreak/>
        <w:t>Energy Safety should link corrective actions to lessons</w:t>
      </w:r>
      <w:r w:rsidRPr="00C06A2E">
        <w:t>.</w:t>
      </w:r>
      <w:bookmarkEnd w:id="42"/>
      <w:bookmarkEnd w:id="43"/>
    </w:p>
    <w:p w14:paraId="64C9E5C3" w14:textId="1F5ADB9D"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Energy Safety should add a “lessons” column in Table 4.3 to </w:t>
      </w:r>
      <w:r w:rsidR="005C6ADF">
        <w:rPr>
          <w:color w:val="000000" w:themeColor="text1"/>
          <w:szCs w:val="24"/>
        </w:rPr>
        <w:t>describe</w:t>
      </w:r>
      <w:r w:rsidRPr="00C06A2E">
        <w:rPr>
          <w:color w:val="000000" w:themeColor="text1"/>
          <w:szCs w:val="24"/>
        </w:rPr>
        <w:t xml:space="preserve"> issues</w:t>
      </w:r>
      <w:r w:rsidR="00841735">
        <w:rPr>
          <w:color w:val="000000" w:themeColor="text1"/>
          <w:szCs w:val="24"/>
        </w:rPr>
        <w:t xml:space="preserve"> that the utility</w:t>
      </w:r>
      <w:r w:rsidRPr="00C06A2E">
        <w:rPr>
          <w:color w:val="000000" w:themeColor="text1"/>
          <w:szCs w:val="24"/>
        </w:rPr>
        <w:t xml:space="preserve"> identified during PSPS events. </w:t>
      </w:r>
      <w:r w:rsidR="00686173">
        <w:rPr>
          <w:color w:val="000000" w:themeColor="text1"/>
          <w:szCs w:val="24"/>
        </w:rPr>
        <w:t xml:space="preserve"> </w:t>
      </w:r>
      <w:r w:rsidRPr="00C06A2E">
        <w:rPr>
          <w:color w:val="000000" w:themeColor="text1"/>
          <w:szCs w:val="24"/>
        </w:rPr>
        <w:t>This enhancement would</w:t>
      </w:r>
      <w:r w:rsidR="005C6ADF">
        <w:rPr>
          <w:color w:val="000000" w:themeColor="text1"/>
          <w:szCs w:val="24"/>
        </w:rPr>
        <w:t xml:space="preserve"> help to</w:t>
      </w:r>
      <w:r w:rsidRPr="00C06A2E">
        <w:rPr>
          <w:color w:val="000000" w:themeColor="text1"/>
          <w:szCs w:val="24"/>
        </w:rPr>
        <w:t xml:space="preserve"> bridge the gap between recognizing problems and resolving them, </w:t>
      </w:r>
      <w:r w:rsidR="00D80A26">
        <w:rPr>
          <w:color w:val="000000" w:themeColor="text1"/>
          <w:szCs w:val="24"/>
        </w:rPr>
        <w:t xml:space="preserve">and </w:t>
      </w:r>
      <w:r w:rsidR="005C6ADF">
        <w:rPr>
          <w:color w:val="000000" w:themeColor="text1"/>
          <w:szCs w:val="24"/>
        </w:rPr>
        <w:t xml:space="preserve">thereby </w:t>
      </w:r>
      <w:r w:rsidRPr="00C06A2E">
        <w:rPr>
          <w:color w:val="000000" w:themeColor="text1"/>
          <w:szCs w:val="24"/>
        </w:rPr>
        <w:t>foster greater accountability.</w:t>
      </w:r>
      <w:r w:rsidR="00686173">
        <w:rPr>
          <w:color w:val="000000" w:themeColor="text1"/>
          <w:szCs w:val="24"/>
        </w:rPr>
        <w:t xml:space="preserve"> </w:t>
      </w:r>
      <w:r w:rsidRPr="00C06A2E">
        <w:rPr>
          <w:color w:val="000000" w:themeColor="text1"/>
          <w:szCs w:val="24"/>
        </w:rPr>
        <w:t xml:space="preserve"> </w:t>
      </w:r>
      <w:r w:rsidR="00841735">
        <w:rPr>
          <w:color w:val="000000" w:themeColor="text1"/>
          <w:szCs w:val="24"/>
        </w:rPr>
        <w:t>Utilities should</w:t>
      </w:r>
      <w:r w:rsidR="00841735" w:rsidRPr="00C06A2E">
        <w:rPr>
          <w:color w:val="000000" w:themeColor="text1"/>
          <w:szCs w:val="24"/>
        </w:rPr>
        <w:t xml:space="preserve"> </w:t>
      </w:r>
      <w:r w:rsidRPr="00C06A2E">
        <w:rPr>
          <w:color w:val="000000" w:themeColor="text1"/>
          <w:szCs w:val="24"/>
        </w:rPr>
        <w:t>explicitly link lessons with actionable steps</w:t>
      </w:r>
      <w:r w:rsidR="00841735">
        <w:rPr>
          <w:color w:val="000000" w:themeColor="text1"/>
          <w:szCs w:val="24"/>
        </w:rPr>
        <w:t>.</w:t>
      </w:r>
      <w:r w:rsidR="00686173">
        <w:rPr>
          <w:color w:val="000000" w:themeColor="text1"/>
          <w:szCs w:val="24"/>
        </w:rPr>
        <w:t xml:space="preserve"> </w:t>
      </w:r>
      <w:r w:rsidR="00841735">
        <w:rPr>
          <w:color w:val="000000" w:themeColor="text1"/>
          <w:szCs w:val="24"/>
        </w:rPr>
        <w:t xml:space="preserve"> S</w:t>
      </w:r>
      <w:r w:rsidRPr="00C06A2E">
        <w:rPr>
          <w:color w:val="000000" w:themeColor="text1"/>
          <w:szCs w:val="24"/>
        </w:rPr>
        <w:t xml:space="preserve">takeholders </w:t>
      </w:r>
      <w:r w:rsidR="00841735">
        <w:rPr>
          <w:color w:val="000000" w:themeColor="text1"/>
          <w:szCs w:val="24"/>
        </w:rPr>
        <w:t>will then be able to better</w:t>
      </w:r>
      <w:r w:rsidR="00841735" w:rsidRPr="00C06A2E">
        <w:rPr>
          <w:color w:val="000000" w:themeColor="text1"/>
          <w:szCs w:val="24"/>
        </w:rPr>
        <w:t xml:space="preserve"> </w:t>
      </w:r>
      <w:r w:rsidRPr="00C06A2E">
        <w:rPr>
          <w:color w:val="000000" w:themeColor="text1"/>
          <w:szCs w:val="24"/>
        </w:rPr>
        <w:t>evaluate whether utilities are effectively addressing the root causes of challenges encountered during PSPS events.</w:t>
      </w:r>
    </w:p>
    <w:p w14:paraId="308068D8" w14:textId="77777777" w:rsidR="00C06A2E" w:rsidRPr="00C06A2E" w:rsidRDefault="00C06A2E" w:rsidP="00F240DB">
      <w:pPr>
        <w:pStyle w:val="Heading3"/>
      </w:pPr>
      <w:bookmarkStart w:id="44" w:name="_Toc184036215"/>
      <w:bookmarkStart w:id="45" w:name="_Toc184385729"/>
      <w:r w:rsidRPr="00C06A2E">
        <w:t>Energy Safety should establish timelines and progress updates for corrective actions.</w:t>
      </w:r>
      <w:bookmarkEnd w:id="44"/>
      <w:bookmarkEnd w:id="45"/>
    </w:p>
    <w:p w14:paraId="4942FBBD" w14:textId="69E4FD2D"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Utilities should clearly define the timeframe for implementing each corrective action, </w:t>
      </w:r>
      <w:r w:rsidR="00841735">
        <w:rPr>
          <w:color w:val="000000" w:themeColor="text1"/>
          <w:szCs w:val="24"/>
        </w:rPr>
        <w:t xml:space="preserve">to </w:t>
      </w:r>
      <w:r w:rsidRPr="00C06A2E">
        <w:rPr>
          <w:color w:val="000000" w:themeColor="text1"/>
          <w:szCs w:val="24"/>
        </w:rPr>
        <w:t>provid</w:t>
      </w:r>
      <w:r w:rsidR="00841735">
        <w:rPr>
          <w:color w:val="000000" w:themeColor="text1"/>
          <w:szCs w:val="24"/>
        </w:rPr>
        <w:t xml:space="preserve">e </w:t>
      </w:r>
      <w:r w:rsidRPr="00C06A2E">
        <w:rPr>
          <w:color w:val="000000" w:themeColor="text1"/>
          <w:szCs w:val="24"/>
        </w:rPr>
        <w:t xml:space="preserve">a roadmap for when identified issues will be resolved. </w:t>
      </w:r>
      <w:r w:rsidR="00686173">
        <w:rPr>
          <w:color w:val="000000" w:themeColor="text1"/>
          <w:szCs w:val="24"/>
        </w:rPr>
        <w:t xml:space="preserve"> </w:t>
      </w:r>
      <w:r w:rsidRPr="00C06A2E">
        <w:rPr>
          <w:color w:val="000000" w:themeColor="text1"/>
          <w:szCs w:val="24"/>
        </w:rPr>
        <w:t xml:space="preserve">To ensure ongoing transparency, utilities </w:t>
      </w:r>
      <w:r w:rsidR="00841735">
        <w:rPr>
          <w:color w:val="000000" w:themeColor="text1"/>
          <w:szCs w:val="24"/>
        </w:rPr>
        <w:t>should</w:t>
      </w:r>
      <w:r w:rsidR="00841735" w:rsidRPr="00C06A2E">
        <w:rPr>
          <w:color w:val="000000" w:themeColor="text1"/>
          <w:szCs w:val="24"/>
        </w:rPr>
        <w:t xml:space="preserve"> </w:t>
      </w:r>
      <w:r w:rsidRPr="00C06A2E">
        <w:rPr>
          <w:color w:val="000000" w:themeColor="text1"/>
          <w:szCs w:val="24"/>
        </w:rPr>
        <w:t>include progress updates on these measures in subsequent WMP submissions, allowing for the evaluation of the</w:t>
      </w:r>
      <w:r w:rsidR="00841735">
        <w:rPr>
          <w:color w:val="000000" w:themeColor="text1"/>
          <w:szCs w:val="24"/>
        </w:rPr>
        <w:t xml:space="preserve"> measures’</w:t>
      </w:r>
      <w:r w:rsidRPr="00C06A2E">
        <w:rPr>
          <w:color w:val="000000" w:themeColor="text1"/>
          <w:szCs w:val="24"/>
        </w:rPr>
        <w:t xml:space="preserve"> effectiveness over time. </w:t>
      </w:r>
    </w:p>
    <w:p w14:paraId="29C05043" w14:textId="793D3CF6" w:rsidR="00C06A2E" w:rsidRPr="00C06A2E" w:rsidRDefault="00C06A2E" w:rsidP="00C06A2E">
      <w:pPr>
        <w:tabs>
          <w:tab w:val="clear" w:pos="5040"/>
        </w:tabs>
        <w:spacing w:line="360" w:lineRule="auto"/>
        <w:ind w:firstLine="720"/>
        <w:rPr>
          <w:color w:val="000000" w:themeColor="text1"/>
          <w:szCs w:val="24"/>
        </w:rPr>
      </w:pPr>
      <w:r w:rsidRPr="00C06A2E">
        <w:rPr>
          <w:color w:val="000000" w:themeColor="text1"/>
          <w:szCs w:val="24"/>
        </w:rPr>
        <w:t xml:space="preserve">For </w:t>
      </w:r>
      <w:r w:rsidR="00D80A26">
        <w:rPr>
          <w:color w:val="000000" w:themeColor="text1"/>
          <w:szCs w:val="24"/>
        </w:rPr>
        <w:t>example</w:t>
      </w:r>
      <w:r w:rsidRPr="00C06A2E">
        <w:rPr>
          <w:color w:val="000000" w:themeColor="text1"/>
          <w:szCs w:val="24"/>
        </w:rPr>
        <w:t xml:space="preserve">, if delayed customer notifications are identified as a key issue during a PSPS event, the utility should document planned corrective actions, such as upgrading notification systems, specify a completion timeframe (e.g., six months), and report on the deployment and </w:t>
      </w:r>
      <w:r w:rsidR="00841735">
        <w:rPr>
          <w:color w:val="000000" w:themeColor="text1"/>
          <w:szCs w:val="24"/>
        </w:rPr>
        <w:t>outcomes</w:t>
      </w:r>
      <w:r w:rsidRPr="00C06A2E">
        <w:rPr>
          <w:color w:val="000000" w:themeColor="text1"/>
          <w:szCs w:val="24"/>
        </w:rPr>
        <w:t xml:space="preserve"> in the next WMP submission. </w:t>
      </w:r>
      <w:r w:rsidR="00686173">
        <w:rPr>
          <w:color w:val="000000" w:themeColor="text1"/>
          <w:szCs w:val="24"/>
        </w:rPr>
        <w:t xml:space="preserve"> </w:t>
      </w:r>
      <w:r w:rsidRPr="00C06A2E">
        <w:rPr>
          <w:color w:val="000000" w:themeColor="text1"/>
          <w:szCs w:val="24"/>
        </w:rPr>
        <w:t>This approach promotes accountability and demonstrates a commitment to continuous improvement.</w:t>
      </w:r>
    </w:p>
    <w:p w14:paraId="63BD484F" w14:textId="75EAD493" w:rsidR="00C06A2E" w:rsidRPr="00C06A2E" w:rsidRDefault="00C06A2E" w:rsidP="00841735">
      <w:pPr>
        <w:tabs>
          <w:tab w:val="clear" w:pos="5040"/>
        </w:tabs>
        <w:spacing w:line="360" w:lineRule="auto"/>
        <w:ind w:firstLine="720"/>
        <w:rPr>
          <w:color w:val="000000" w:themeColor="text1"/>
          <w:szCs w:val="24"/>
        </w:rPr>
      </w:pPr>
      <w:r w:rsidRPr="00C06A2E">
        <w:rPr>
          <w:color w:val="000000" w:themeColor="text1"/>
          <w:szCs w:val="24"/>
        </w:rPr>
        <w:t xml:space="preserve">In conclusion, Energy Safety should enhance the quality and accountability of PSPS reporting, </w:t>
      </w:r>
      <w:r w:rsidR="00BA56AD">
        <w:rPr>
          <w:color w:val="000000" w:themeColor="text1"/>
          <w:szCs w:val="24"/>
        </w:rPr>
        <w:t xml:space="preserve">to </w:t>
      </w:r>
      <w:r w:rsidRPr="00C06A2E">
        <w:rPr>
          <w:color w:val="000000" w:themeColor="text1"/>
          <w:szCs w:val="24"/>
        </w:rPr>
        <w:t>ensur</w:t>
      </w:r>
      <w:r w:rsidR="00BA56AD">
        <w:rPr>
          <w:color w:val="000000" w:themeColor="text1"/>
          <w:szCs w:val="24"/>
        </w:rPr>
        <w:t>e</w:t>
      </w:r>
      <w:r w:rsidRPr="00C06A2E">
        <w:rPr>
          <w:color w:val="000000" w:themeColor="text1"/>
          <w:szCs w:val="24"/>
        </w:rPr>
        <w:t xml:space="preserve"> that utilities not only learn from past events but also take meaningful action to address identified issues. </w:t>
      </w:r>
      <w:r w:rsidR="00841735">
        <w:rPr>
          <w:color w:val="000000" w:themeColor="text1"/>
          <w:szCs w:val="24"/>
        </w:rPr>
        <w:t xml:space="preserve"> </w:t>
      </w:r>
      <w:r w:rsidRPr="00C06A2E">
        <w:rPr>
          <w:color w:val="000000" w:themeColor="text1"/>
          <w:szCs w:val="24"/>
        </w:rPr>
        <w:t xml:space="preserve">By adopting the </w:t>
      </w:r>
      <w:r w:rsidR="00841735">
        <w:rPr>
          <w:color w:val="000000" w:themeColor="text1"/>
          <w:szCs w:val="24"/>
        </w:rPr>
        <w:t>improvements to Table 4-3 that are described above</w:t>
      </w:r>
      <w:r w:rsidRPr="00C06A2E">
        <w:rPr>
          <w:color w:val="000000" w:themeColor="text1"/>
          <w:szCs w:val="24"/>
        </w:rPr>
        <w:t>, Energy Safety will promote a more proactive and transparent approach to PSPS event management.</w:t>
      </w:r>
      <w:r w:rsidR="00686173">
        <w:rPr>
          <w:color w:val="000000" w:themeColor="text1"/>
          <w:szCs w:val="24"/>
        </w:rPr>
        <w:t xml:space="preserve"> </w:t>
      </w:r>
      <w:r w:rsidRPr="00C06A2E">
        <w:rPr>
          <w:color w:val="000000" w:themeColor="text1"/>
          <w:szCs w:val="24"/>
        </w:rPr>
        <w:t xml:space="preserve"> This not only supports better risk mitigation and operational efficiency but also reinforces </w:t>
      </w:r>
      <w:r w:rsidR="00BA56AD">
        <w:rPr>
          <w:color w:val="000000" w:themeColor="text1"/>
          <w:szCs w:val="24"/>
        </w:rPr>
        <w:t xml:space="preserve">the </w:t>
      </w:r>
      <w:r w:rsidRPr="00C06A2E">
        <w:rPr>
          <w:color w:val="000000" w:themeColor="text1"/>
          <w:szCs w:val="24"/>
        </w:rPr>
        <w:t>public</w:t>
      </w:r>
      <w:r w:rsidR="00BA56AD">
        <w:rPr>
          <w:color w:val="000000" w:themeColor="text1"/>
          <w:szCs w:val="24"/>
        </w:rPr>
        <w:t>’s</w:t>
      </w:r>
      <w:r w:rsidRPr="00C06A2E">
        <w:rPr>
          <w:color w:val="000000" w:themeColor="text1"/>
          <w:szCs w:val="24"/>
        </w:rPr>
        <w:t xml:space="preserve"> trust. </w:t>
      </w:r>
    </w:p>
    <w:p w14:paraId="290E6275" w14:textId="40D62D1A" w:rsidR="002A3EF5" w:rsidRPr="006C42D5" w:rsidRDefault="00651C0B" w:rsidP="00BE7DCF">
      <w:pPr>
        <w:pStyle w:val="Heading1"/>
      </w:pPr>
      <w:bookmarkStart w:id="46" w:name="_Toc184385730"/>
      <w:r>
        <w:t xml:space="preserve">PROCEDURAL and scheduling </w:t>
      </w:r>
      <w:r w:rsidR="00AE34BE">
        <w:t>ISSUES</w:t>
      </w:r>
      <w:bookmarkEnd w:id="46"/>
    </w:p>
    <w:p w14:paraId="7BB4D560" w14:textId="3D76F6AE" w:rsidR="00C06A2E" w:rsidRPr="00C06A2E" w:rsidRDefault="00C06A2E" w:rsidP="00D80A26">
      <w:pPr>
        <w:pStyle w:val="BodyText"/>
      </w:pPr>
      <w:r>
        <w:t>In comments filed on May 6, 2022 and April 8, 2024 regarding WMP guidelines, Cal Advocates proposed several ways to improve the WMP process.</w:t>
      </w:r>
      <w:r w:rsidR="00113200">
        <w:rPr>
          <w:rStyle w:val="FootnoteReference"/>
        </w:rPr>
        <w:footnoteReference w:id="47"/>
      </w:r>
      <w:r>
        <w:t xml:space="preserve">  Our previous recommendations remain applicable. Cal Advocates</w:t>
      </w:r>
      <w:r w:rsidR="00D80A26">
        <w:t xml:space="preserve"> hereby incorporates </w:t>
      </w:r>
      <w:r w:rsidR="004F0562">
        <w:t xml:space="preserve">those comments herein </w:t>
      </w:r>
      <w:r w:rsidR="004F0562">
        <w:lastRenderedPageBreak/>
        <w:t>and</w:t>
      </w:r>
      <w:r>
        <w:t xml:space="preserve"> urges Energy Safety to review and incorporate </w:t>
      </w:r>
      <w:r w:rsidR="004F0562">
        <w:t xml:space="preserve">those </w:t>
      </w:r>
      <w:r>
        <w:t>recommendations into the 2026-2028 WMP Guidelines.</w:t>
      </w:r>
    </w:p>
    <w:p w14:paraId="2DFD455F" w14:textId="4EFA845D" w:rsidR="004123CE" w:rsidRPr="00CD7858" w:rsidRDefault="004123CE" w:rsidP="00F240DB">
      <w:pPr>
        <w:pStyle w:val="Heading2"/>
      </w:pPr>
      <w:bookmarkStart w:id="47" w:name="_Toc184385731"/>
      <w:r w:rsidRPr="00CD7858">
        <w:t xml:space="preserve">Energy Safety should </w:t>
      </w:r>
      <w:r w:rsidR="00B9519E" w:rsidRPr="00CD7858">
        <w:t xml:space="preserve">direct PG&amp;E, PacifiCorp, and Liberty to submit comprehensive WMPs in 2025, and require </w:t>
      </w:r>
      <w:r w:rsidR="00236897" w:rsidRPr="00CD7858">
        <w:t xml:space="preserve">SCE, SDG&amp;E, and BVES to submit </w:t>
      </w:r>
      <w:r w:rsidR="00B9519E" w:rsidRPr="00CD7858">
        <w:t>WMP Updates</w:t>
      </w:r>
      <w:r w:rsidRPr="00CD7858">
        <w:t>.</w:t>
      </w:r>
      <w:bookmarkEnd w:id="47"/>
    </w:p>
    <w:p w14:paraId="685B07E1" w14:textId="1904A7FB" w:rsidR="004123CE" w:rsidRDefault="00EB4461" w:rsidP="004123CE">
      <w:pPr>
        <w:pStyle w:val="BodyText"/>
      </w:pPr>
      <w:r>
        <w:t xml:space="preserve">In 2023, six </w:t>
      </w:r>
      <w:r w:rsidR="00236897">
        <w:t xml:space="preserve">electric </w:t>
      </w:r>
      <w:r w:rsidR="00293890">
        <w:t>utilities</w:t>
      </w:r>
      <w:r w:rsidR="00236897" w:rsidRPr="006C42D5">
        <w:rPr>
          <w:rStyle w:val="FootnoteReference"/>
        </w:rPr>
        <w:footnoteReference w:id="48"/>
      </w:r>
      <w:r w:rsidR="00236897">
        <w:t xml:space="preserve"> </w:t>
      </w:r>
      <w:r>
        <w:t xml:space="preserve">submitted </w:t>
      </w:r>
      <w:r w:rsidR="00293890">
        <w:t>comprehensive</w:t>
      </w:r>
      <w:r>
        <w:t xml:space="preserve"> WMPs</w:t>
      </w:r>
      <w:r w:rsidR="00081EBA">
        <w:t xml:space="preserve"> (or “base WMPs”),</w:t>
      </w:r>
      <w:r>
        <w:t xml:space="preserve"> which covered the period from 2023 through 2025.  These documents were extensive, complicated, and </w:t>
      </w:r>
      <w:r w:rsidR="00081EBA">
        <w:t>lengthy</w:t>
      </w:r>
      <w:r>
        <w:t>.</w:t>
      </w:r>
      <w:r w:rsidRPr="006C42D5">
        <w:rPr>
          <w:rStyle w:val="FootnoteReference"/>
        </w:rPr>
        <w:footnoteReference w:id="49"/>
      </w:r>
      <w:r>
        <w:t xml:space="preserve">  Such lengthy documents impose </w:t>
      </w:r>
      <w:r w:rsidR="00236897">
        <w:t>significant</w:t>
      </w:r>
      <w:r>
        <w:t xml:space="preserve"> resource requirements on intervenors</w:t>
      </w:r>
      <w:r w:rsidR="00081EBA">
        <w:t xml:space="preserve"> as well as </w:t>
      </w:r>
      <w:r w:rsidR="00E731AA">
        <w:t xml:space="preserve">on </w:t>
      </w:r>
      <w:r w:rsidR="00081EBA">
        <w:t>Energy Safety.  It takes considerable time and effort</w:t>
      </w:r>
      <w:r>
        <w:t xml:space="preserve"> to review, analyze, and draft substantive comments</w:t>
      </w:r>
      <w:r w:rsidR="00081EBA">
        <w:t xml:space="preserve"> on these plans</w:t>
      </w:r>
      <w:r>
        <w:t>.</w:t>
      </w:r>
    </w:p>
    <w:p w14:paraId="6E358794" w14:textId="24BB5536" w:rsidR="00EB4461" w:rsidRDefault="00EB4461" w:rsidP="004123CE">
      <w:pPr>
        <w:pStyle w:val="BodyText"/>
      </w:pPr>
      <w:r>
        <w:t xml:space="preserve">In contrast, the WMP Updates submitted in 2025 were </w:t>
      </w:r>
      <w:r w:rsidR="00236897">
        <w:t>much</w:t>
      </w:r>
      <w:r>
        <w:t xml:space="preserve"> shorter.  Under the current schema, a substantial burden is placed on Energy Safety and intervenors for years in which six </w:t>
      </w:r>
      <w:r w:rsidR="00293890">
        <w:t xml:space="preserve">comprehensive </w:t>
      </w:r>
      <w:r>
        <w:t xml:space="preserve">WMPs are submitted, while a much lighter burden exists in </w:t>
      </w:r>
      <w:r w:rsidR="00081EBA">
        <w:t xml:space="preserve">the years when utilities submit </w:t>
      </w:r>
      <w:r>
        <w:t>update</w:t>
      </w:r>
      <w:r w:rsidR="00081EBA">
        <w:t>s</w:t>
      </w:r>
      <w:r>
        <w:t>.</w:t>
      </w:r>
    </w:p>
    <w:p w14:paraId="13F2F066" w14:textId="54BB4687" w:rsidR="00FD04ED" w:rsidRDefault="00EB4461" w:rsidP="00FD04ED">
      <w:pPr>
        <w:pStyle w:val="BodyText"/>
      </w:pPr>
      <w:r>
        <w:t xml:space="preserve">Energy Safety </w:t>
      </w:r>
      <w:r w:rsidR="00E76BAF">
        <w:t xml:space="preserve">should </w:t>
      </w:r>
      <w:r>
        <w:t xml:space="preserve">stagger the submission of </w:t>
      </w:r>
      <w:r w:rsidR="00081EBA">
        <w:t>b</w:t>
      </w:r>
      <w:r>
        <w:t xml:space="preserve">ase WMPs to spread </w:t>
      </w:r>
      <w:r w:rsidR="00081EBA">
        <w:t>the workload</w:t>
      </w:r>
      <w:r>
        <w:t xml:space="preserve"> more evenly </w:t>
      </w:r>
      <w:r w:rsidR="00081EBA">
        <w:t xml:space="preserve">across </w:t>
      </w:r>
      <w:r>
        <w:t xml:space="preserve">the three years of a WMP cycle. </w:t>
      </w:r>
      <w:r w:rsidR="00E76BAF">
        <w:t xml:space="preserve"> </w:t>
      </w:r>
      <w:r>
        <w:t>The upcoming submissio</w:t>
      </w:r>
      <w:r w:rsidR="00FD04ED">
        <w:t>n</w:t>
      </w:r>
      <w:r>
        <w:t>s in 202</w:t>
      </w:r>
      <w:r w:rsidR="00FD04ED">
        <w:t>5</w:t>
      </w:r>
      <w:r>
        <w:t xml:space="preserve"> present a unique opportunity to implement this change.  </w:t>
      </w:r>
      <w:r w:rsidR="00724C7D">
        <w:t>Currently, each</w:t>
      </w:r>
      <w:r>
        <w:t xml:space="preserve"> electrical corporation</w:t>
      </w:r>
      <w:r w:rsidR="00724C7D">
        <w:t xml:space="preserve"> must</w:t>
      </w:r>
      <w:r>
        <w:t xml:space="preserve"> submit a comprehensive WMP at least once every three years.</w:t>
      </w:r>
      <w:r w:rsidRPr="006C42D5">
        <w:rPr>
          <w:rStyle w:val="FootnoteReference"/>
        </w:rPr>
        <w:footnoteReference w:id="50"/>
      </w:r>
      <w:r w:rsidR="00FD04ED">
        <w:t xml:space="preserve">  All six </w:t>
      </w:r>
      <w:r w:rsidR="00293890">
        <w:t>utilitie</w:t>
      </w:r>
      <w:r w:rsidR="00FD04ED">
        <w:t xml:space="preserve">s submitted comprehensive WMPs in early 2023.  </w:t>
      </w:r>
      <w:r w:rsidR="00293890">
        <w:t>P</w:t>
      </w:r>
      <w:r w:rsidR="00FD04ED">
        <w:t>er statute, a new comprehensive WMP is not required until 2026.  Energy Safety can take advantage of this situation to distribute the burden of reviewing comprehensive WMPs across the next two years, rather than compacting all six into 2025.</w:t>
      </w:r>
    </w:p>
    <w:p w14:paraId="6973F43C" w14:textId="637FC5CD" w:rsidR="00081EBA" w:rsidRDefault="00081EBA" w:rsidP="00FD04ED">
      <w:pPr>
        <w:pStyle w:val="BodyText"/>
      </w:pPr>
      <w:r>
        <w:t xml:space="preserve">While none of the utilities have yet submitted a WMP for the 2026 planning year, Energy Safety can </w:t>
      </w:r>
      <w:r w:rsidR="00E76BAF">
        <w:t>take advantage of the current timing by</w:t>
      </w:r>
      <w:r>
        <w:t xml:space="preserve"> directing </w:t>
      </w:r>
      <w:r w:rsidR="00596BA5">
        <w:t>certain</w:t>
      </w:r>
      <w:r>
        <w:t xml:space="preserve"> utilities to extend their </w:t>
      </w:r>
      <w:r w:rsidR="00651C0B">
        <w:t>current (already approved)</w:t>
      </w:r>
      <w:r>
        <w:t xml:space="preserve"> base WMPs.  The</w:t>
      </w:r>
      <w:r w:rsidR="00651C0B">
        <w:t xml:space="preserve"> selected</w:t>
      </w:r>
      <w:r>
        <w:t xml:space="preserve"> utilities would file an additional WMP </w:t>
      </w:r>
      <w:r w:rsidR="00596BA5">
        <w:t>u</w:t>
      </w:r>
      <w:r>
        <w:t>pdate</w:t>
      </w:r>
      <w:r w:rsidR="00596BA5">
        <w:t xml:space="preserve"> to address </w:t>
      </w:r>
      <w:r>
        <w:t xml:space="preserve">2026, using the existing </w:t>
      </w:r>
      <w:r w:rsidR="00596BA5">
        <w:t xml:space="preserve">guidelines for WMP updates. </w:t>
      </w:r>
      <w:r>
        <w:t xml:space="preserve"> </w:t>
      </w:r>
    </w:p>
    <w:p w14:paraId="2FED2834" w14:textId="6623B5F9" w:rsidR="00FD04ED" w:rsidRDefault="00FD04ED" w:rsidP="00FD04ED">
      <w:pPr>
        <w:pStyle w:val="BodyText"/>
      </w:pPr>
      <w:r>
        <w:t>Cal Advocates proposes the following schedule for 2025:</w:t>
      </w:r>
    </w:p>
    <w:p w14:paraId="1A47E2AA" w14:textId="41CD83F1" w:rsidR="00FD04ED" w:rsidRDefault="008F0F4D" w:rsidP="00BE7DCF">
      <w:pPr>
        <w:pStyle w:val="ListParagraph"/>
        <w:ind w:right="810"/>
      </w:pPr>
      <w:r w:rsidRPr="00CD7858">
        <w:lastRenderedPageBreak/>
        <w:t>SCE, SDG&amp;E, and BVES</w:t>
      </w:r>
      <w:r>
        <w:t xml:space="preserve"> </w:t>
      </w:r>
      <w:r w:rsidR="00FD04ED">
        <w:t xml:space="preserve">submit comprehensive WMPs in 2025, covering the period from 2026-2028. </w:t>
      </w:r>
    </w:p>
    <w:p w14:paraId="4B1614B9" w14:textId="51CA7378" w:rsidR="00FD04ED" w:rsidRDefault="008F0F4D" w:rsidP="00BE7DCF">
      <w:pPr>
        <w:pStyle w:val="ListParagraph"/>
        <w:ind w:right="810"/>
      </w:pPr>
      <w:r>
        <w:t xml:space="preserve">PG&amp;E, PacifiCorp, and Liberty </w:t>
      </w:r>
      <w:r w:rsidR="00FD04ED">
        <w:t xml:space="preserve">submit WMP Updates in 2025, covering the year 2026.  </w:t>
      </w:r>
      <w:r w:rsidR="00596BA5">
        <w:t>These utilities would then submit comprehensive WMPs in 2026 for the period of 2027-2029.</w:t>
      </w:r>
    </w:p>
    <w:p w14:paraId="4B96659B" w14:textId="428FF2EF" w:rsidR="00596BA5" w:rsidRDefault="00596BA5" w:rsidP="00596BA5">
      <w:pPr>
        <w:pStyle w:val="BodyText"/>
      </w:pPr>
      <w:r>
        <w:t xml:space="preserve">Cal Advocates recommends these groupings for several reasons. First, it separates the electric utilities into northern and southern groups. </w:t>
      </w:r>
      <w:r w:rsidR="00812E6B">
        <w:t xml:space="preserve"> </w:t>
      </w:r>
      <w:r>
        <w:t xml:space="preserve">Second, </w:t>
      </w:r>
      <w:r w:rsidR="00651C0B">
        <w:t xml:space="preserve">this schedule aligns with </w:t>
      </w:r>
      <w:r w:rsidR="00651C0B" w:rsidRPr="00651C0B">
        <w:t>general rate case (GRC) application</w:t>
      </w:r>
      <w:r w:rsidR="00651C0B">
        <w:t xml:space="preserve">s for </w:t>
      </w:r>
      <w:r w:rsidR="00DA38D6">
        <w:t xml:space="preserve">at least </w:t>
      </w:r>
      <w:r w:rsidR="00651C0B">
        <w:t>two of the large utilities</w:t>
      </w:r>
      <w:r w:rsidR="00DA38D6">
        <w:t>.</w:t>
      </w:r>
      <w:r w:rsidR="00F937F8">
        <w:rPr>
          <w:rStyle w:val="FootnoteReference"/>
        </w:rPr>
        <w:footnoteReference w:id="51"/>
      </w:r>
      <w:r w:rsidR="00651C0B">
        <w:t xml:space="preserve"> </w:t>
      </w:r>
      <w:r w:rsidR="00812E6B">
        <w:t xml:space="preserve"> </w:t>
      </w:r>
      <w:r w:rsidR="00651C0B">
        <w:t xml:space="preserve">It is sensible </w:t>
      </w:r>
      <w:r w:rsidR="00DA38D6">
        <w:t>to</w:t>
      </w:r>
      <w:r w:rsidR="00651C0B">
        <w:t xml:space="preserve"> </w:t>
      </w:r>
      <w:r w:rsidR="00DA38D6">
        <w:t xml:space="preserve">synchronize </w:t>
      </w:r>
      <w:r w:rsidR="00651C0B">
        <w:t xml:space="preserve">new comprehensive WMPs with GRC </w:t>
      </w:r>
      <w:r w:rsidR="00DA38D6">
        <w:t>cycles</w:t>
      </w:r>
      <w:r w:rsidR="00651C0B">
        <w:t>, because it encourages the utilities to coordinate their program design and investment choices across these two large filings.  Third, PG&amp;E’s</w:t>
      </w:r>
      <w:r>
        <w:t xml:space="preserve"> WMPs have </w:t>
      </w:r>
      <w:r w:rsidR="00A36762">
        <w:t>required</w:t>
      </w:r>
      <w:r>
        <w:t xml:space="preserve"> the</w:t>
      </w:r>
      <w:r w:rsidR="00A36762">
        <w:t xml:space="preserve"> most time</w:t>
      </w:r>
      <w:r>
        <w:t xml:space="preserve"> and have historically presented the most difficult policy issues. Therefore, since there </w:t>
      </w:r>
      <w:r w:rsidR="00651C0B">
        <w:t>must</w:t>
      </w:r>
      <w:r>
        <w:t xml:space="preserve"> be a year</w:t>
      </w:r>
      <w:r w:rsidR="008D317B">
        <w:t xml:space="preserve"> (due to the statutory requirements and timing of the last comprehensive WMP filings)</w:t>
      </w:r>
      <w:r>
        <w:t xml:space="preserve"> in which only one large utility files a comprehensive WMP, it is appropriate for PG&amp;E to be that utility.</w:t>
      </w:r>
      <w:r w:rsidR="00651C0B">
        <w:t xml:space="preserve">  </w:t>
      </w:r>
      <w:r w:rsidR="00541CA0">
        <w:t>Fourth</w:t>
      </w:r>
      <w:r w:rsidR="00651C0B">
        <w:t xml:space="preserve">, SDG&amp;E has typically presented fewer major concerns than the other large utilities, and so it is appropriate for it to be paired with another large utility. </w:t>
      </w:r>
    </w:p>
    <w:p w14:paraId="654890CD" w14:textId="66A436E3" w:rsidR="00596BA5" w:rsidRDefault="00FD04ED" w:rsidP="00596BA5">
      <w:pPr>
        <w:pStyle w:val="BodyText"/>
      </w:pPr>
      <w:r>
        <w:t xml:space="preserve">The comprehensive WMP </w:t>
      </w:r>
      <w:r w:rsidR="00A95E23">
        <w:t xml:space="preserve">submissions </w:t>
      </w:r>
      <w:r>
        <w:t xml:space="preserve">should </w:t>
      </w:r>
      <w:r w:rsidR="00A95E23">
        <w:t>adhere to</w:t>
      </w:r>
      <w:r>
        <w:t xml:space="preserve"> the </w:t>
      </w:r>
      <w:r w:rsidR="00293890">
        <w:t>D</w:t>
      </w:r>
      <w:r>
        <w:t xml:space="preserve">raft </w:t>
      </w:r>
      <w:r w:rsidR="00293890">
        <w:t>2026-2028 WMP G</w:t>
      </w:r>
      <w:r>
        <w:t>uidelines</w:t>
      </w:r>
      <w:r w:rsidR="00293890">
        <w:t xml:space="preserve"> (the focus of these comments)</w:t>
      </w:r>
      <w:r>
        <w:t xml:space="preserve">.  </w:t>
      </w:r>
      <w:r w:rsidR="00596BA5">
        <w:t>Meanwhile, the utilities selected to file additional WMP updates for 2026</w:t>
      </w:r>
      <w:r>
        <w:t xml:space="preserve"> </w:t>
      </w:r>
      <w:r w:rsidR="00293890">
        <w:t>sh</w:t>
      </w:r>
      <w:r>
        <w:t>ould follow the 2025 WMP Update Guidelines, published in January of 2024.</w:t>
      </w:r>
      <w:r w:rsidRPr="006C42D5">
        <w:rPr>
          <w:rStyle w:val="FootnoteReference"/>
        </w:rPr>
        <w:footnoteReference w:id="52"/>
      </w:r>
      <w:r>
        <w:t xml:space="preserve">  </w:t>
      </w:r>
    </w:p>
    <w:p w14:paraId="6DC02503" w14:textId="1AB5B301" w:rsidR="00FD04ED" w:rsidRDefault="00596BA5" w:rsidP="00596BA5">
      <w:pPr>
        <w:pStyle w:val="BodyText"/>
      </w:pPr>
      <w:r>
        <w:t xml:space="preserve">This approach would </w:t>
      </w:r>
      <w:r w:rsidR="00A95E23">
        <w:t xml:space="preserve">significantly </w:t>
      </w:r>
      <w:r w:rsidR="00AB462D">
        <w:t xml:space="preserve">even out </w:t>
      </w:r>
      <w:r>
        <w:t>workloads over time.</w:t>
      </w:r>
      <w:r w:rsidR="00AE2DBE">
        <w:t xml:space="preserve"> </w:t>
      </w:r>
      <w:r>
        <w:t xml:space="preserve"> It would </w:t>
      </w:r>
      <w:r w:rsidR="00AB462D">
        <w:t xml:space="preserve">also </w:t>
      </w:r>
      <w:r>
        <w:t xml:space="preserve">reduce the burden on all parties (including Energy Safety and the utilities) that arises from submitting </w:t>
      </w:r>
      <w:r>
        <w:lastRenderedPageBreak/>
        <w:t xml:space="preserve">and reviewing </w:t>
      </w:r>
      <w:r w:rsidR="00FD04ED">
        <w:t>six comprehensive WMPs in one year.</w:t>
      </w:r>
      <w:r w:rsidR="008D317B">
        <w:t xml:space="preserve">  Additionally, the WMPs filed in 2026 would benefit from any adjustments based on lessons learned from the comprehensive WMP filing made in 2025.</w:t>
      </w:r>
    </w:p>
    <w:p w14:paraId="7C45C4EE" w14:textId="38D61CB4" w:rsidR="00C06A2E" w:rsidRDefault="00D90099" w:rsidP="00C06A2E">
      <w:pPr>
        <w:pStyle w:val="BodyText"/>
      </w:pPr>
      <w:r>
        <w:t>Moreover, o</w:t>
      </w:r>
      <w:r w:rsidR="00B9519E">
        <w:t xml:space="preserve">n October 30, 2024, Governor Newsom issued an executive order </w:t>
      </w:r>
      <w:r w:rsidR="00E17873">
        <w:t xml:space="preserve">(N-5-24) </w:t>
      </w:r>
      <w:r w:rsidR="00B9519E">
        <w:t>that</w:t>
      </w:r>
      <w:r w:rsidR="00293890">
        <w:t xml:space="preserve"> </w:t>
      </w:r>
      <w:r w:rsidR="00B9519E">
        <w:t xml:space="preserve">directs the CPUC and Energy </w:t>
      </w:r>
      <w:r w:rsidR="00293890">
        <w:t>Safety</w:t>
      </w:r>
      <w:r w:rsidR="00B9519E">
        <w:t xml:space="preserve"> to </w:t>
      </w:r>
      <w:r w:rsidR="00B9519E" w:rsidRPr="00B9519E">
        <w:t>ensure that utility investments and activities are focused on cost-effective wildfire mitigation measures.</w:t>
      </w:r>
      <w:r w:rsidR="00B9519E" w:rsidRPr="006C42D5">
        <w:rPr>
          <w:rStyle w:val="FootnoteReference"/>
        </w:rPr>
        <w:footnoteReference w:id="53"/>
      </w:r>
      <w:r w:rsidR="00293890">
        <w:t xml:space="preserve">  </w:t>
      </w:r>
      <w:r w:rsidR="00B9519E">
        <w:t>The governor’s executive order signal</w:t>
      </w:r>
      <w:r w:rsidR="00293890">
        <w:t>s</w:t>
      </w:r>
      <w:r w:rsidR="00B9519E">
        <w:t xml:space="preserve"> the need for clear alignment between WMP </w:t>
      </w:r>
      <w:r w:rsidR="00293890">
        <w:t>programs</w:t>
      </w:r>
      <w:r w:rsidR="00B9519E">
        <w:t xml:space="preserve"> and utility costs</w:t>
      </w:r>
      <w:r>
        <w:t>, which are addressed in GRCs</w:t>
      </w:r>
      <w:r w:rsidR="00B9519E">
        <w:t xml:space="preserve">.  As such, it is reasonable to expect </w:t>
      </w:r>
      <w:r>
        <w:t xml:space="preserve">continued interest in staggering WMP submissions to coordinate with GRC applications. </w:t>
      </w:r>
      <w:r w:rsidR="00AE2DBE">
        <w:t xml:space="preserve"> </w:t>
      </w:r>
      <w:r w:rsidR="00B9519E">
        <w:t xml:space="preserve">It would </w:t>
      </w:r>
      <w:r w:rsidR="00293890">
        <w:t xml:space="preserve">therefore </w:t>
      </w:r>
      <w:r w:rsidR="00B9519E">
        <w:t xml:space="preserve">be </w:t>
      </w:r>
      <w:r w:rsidR="008D317B">
        <w:t xml:space="preserve">beneficial </w:t>
      </w:r>
      <w:r w:rsidR="00B9519E">
        <w:t>for Energy Safety to begin this process now</w:t>
      </w:r>
      <w:r w:rsidR="00293890">
        <w:t xml:space="preserve">, to work out any </w:t>
      </w:r>
      <w:r w:rsidR="00EE6199">
        <w:t>complications</w:t>
      </w:r>
      <w:r w:rsidR="00293890">
        <w:t xml:space="preserve"> in the process prior to a change in statute.</w:t>
      </w:r>
    </w:p>
    <w:p w14:paraId="76509F86" w14:textId="6824E204" w:rsidR="00C06A2E" w:rsidRPr="00C06A2E" w:rsidRDefault="00C06A2E" w:rsidP="00F240DB">
      <w:pPr>
        <w:pStyle w:val="Heading2"/>
      </w:pPr>
      <w:bookmarkStart w:id="48" w:name="_Toc184385732"/>
      <w:bookmarkStart w:id="49" w:name="_Toc183593901"/>
      <w:r w:rsidRPr="00C06A2E">
        <w:t xml:space="preserve">Energy Safety should work with the CPUC to require alignment between </w:t>
      </w:r>
      <w:r w:rsidR="00E17873">
        <w:t>the</w:t>
      </w:r>
      <w:r w:rsidRPr="00C06A2E">
        <w:t xml:space="preserve"> cost-accounting</w:t>
      </w:r>
      <w:r w:rsidR="00E17873">
        <w:t xml:space="preserve"> used in GRCs and WMPs.</w:t>
      </w:r>
      <w:r w:rsidRPr="00C06A2E">
        <w:rPr>
          <w:u w:val="single"/>
          <w:vertAlign w:val="superscript"/>
        </w:rPr>
        <w:footnoteReference w:id="54"/>
      </w:r>
      <w:bookmarkEnd w:id="48"/>
      <w:r w:rsidRPr="00C06A2E">
        <w:t xml:space="preserve"> </w:t>
      </w:r>
      <w:bookmarkEnd w:id="49"/>
    </w:p>
    <w:p w14:paraId="1BACC44A" w14:textId="086E6816" w:rsidR="00DE080D" w:rsidRDefault="00DE080D" w:rsidP="00C06A2E">
      <w:pPr>
        <w:tabs>
          <w:tab w:val="clear" w:pos="5040"/>
        </w:tabs>
        <w:spacing w:line="360" w:lineRule="auto"/>
        <w:ind w:firstLine="720"/>
        <w:rPr>
          <w:color w:val="000000" w:themeColor="text1"/>
          <w:szCs w:val="24"/>
        </w:rPr>
      </w:pPr>
      <w:r>
        <w:rPr>
          <w:color w:val="000000" w:themeColor="text1"/>
          <w:szCs w:val="24"/>
        </w:rPr>
        <w:t>W</w:t>
      </w:r>
      <w:r w:rsidR="00C06A2E" w:rsidRPr="00C06A2E">
        <w:rPr>
          <w:color w:val="000000" w:themeColor="text1"/>
          <w:szCs w:val="24"/>
        </w:rPr>
        <w:t xml:space="preserve">ildfire mitigation costs have increased substantially since 2020 and have been the subject of significant debate in </w:t>
      </w:r>
      <w:r w:rsidR="00E17873">
        <w:rPr>
          <w:color w:val="000000" w:themeColor="text1"/>
          <w:szCs w:val="24"/>
        </w:rPr>
        <w:t>GRCs</w:t>
      </w:r>
      <w:r w:rsidR="00C06A2E" w:rsidRPr="00C06A2E">
        <w:rPr>
          <w:color w:val="000000" w:themeColor="text1"/>
          <w:szCs w:val="24"/>
        </w:rPr>
        <w:t>.</w:t>
      </w:r>
      <w:r w:rsidR="00C06A2E" w:rsidRPr="00C06A2E">
        <w:rPr>
          <w:b/>
          <w:color w:val="000000" w:themeColor="text1"/>
          <w:szCs w:val="24"/>
          <w:u w:val="single"/>
          <w:vertAlign w:val="superscript"/>
        </w:rPr>
        <w:footnoteReference w:id="55"/>
      </w:r>
      <w:r w:rsidR="00C06A2E" w:rsidRPr="00C06A2E">
        <w:rPr>
          <w:color w:val="000000" w:themeColor="text1"/>
          <w:szCs w:val="24"/>
        </w:rPr>
        <w:t xml:space="preserve">  While Energy Safety and the CPUC have differing roles in approving programs and spending, they have a common interest in ensuring transparency </w:t>
      </w:r>
      <w:r w:rsidR="00503352">
        <w:rPr>
          <w:color w:val="000000" w:themeColor="text1"/>
          <w:szCs w:val="24"/>
        </w:rPr>
        <w:t xml:space="preserve">of </w:t>
      </w:r>
      <w:r w:rsidR="00C06A2E" w:rsidRPr="00C06A2E">
        <w:rPr>
          <w:color w:val="000000" w:themeColor="text1"/>
          <w:szCs w:val="24"/>
        </w:rPr>
        <w:t>potential wildfire mitigation</w:t>
      </w:r>
      <w:r w:rsidR="00503352">
        <w:rPr>
          <w:color w:val="000000" w:themeColor="text1"/>
          <w:szCs w:val="24"/>
        </w:rPr>
        <w:t xml:space="preserve"> costs and benefits</w:t>
      </w:r>
      <w:r w:rsidR="00C06A2E" w:rsidRPr="00C06A2E">
        <w:rPr>
          <w:color w:val="000000" w:themeColor="text1"/>
          <w:szCs w:val="24"/>
        </w:rPr>
        <w:t xml:space="preserve">.  In addition, Executive Order N-5-24 </w:t>
      </w:r>
      <w:r>
        <w:rPr>
          <w:color w:val="000000" w:themeColor="text1"/>
          <w:szCs w:val="24"/>
        </w:rPr>
        <w:t>directs</w:t>
      </w:r>
      <w:r w:rsidR="00C06A2E" w:rsidRPr="00C06A2E">
        <w:rPr>
          <w:color w:val="000000" w:themeColor="text1"/>
          <w:szCs w:val="24"/>
        </w:rPr>
        <w:t xml:space="preserve"> Energy Safety and </w:t>
      </w:r>
      <w:r>
        <w:rPr>
          <w:color w:val="000000" w:themeColor="text1"/>
          <w:szCs w:val="24"/>
        </w:rPr>
        <w:t xml:space="preserve">the </w:t>
      </w:r>
      <w:r w:rsidR="00C06A2E" w:rsidRPr="00C06A2E">
        <w:rPr>
          <w:color w:val="000000" w:themeColor="text1"/>
          <w:szCs w:val="24"/>
        </w:rPr>
        <w:t>CPUC to consult with each other</w:t>
      </w:r>
      <w:r>
        <w:rPr>
          <w:color w:val="000000" w:themeColor="text1"/>
          <w:szCs w:val="24"/>
        </w:rPr>
        <w:t xml:space="preserve"> </w:t>
      </w:r>
      <w:r w:rsidR="00AB462D">
        <w:rPr>
          <w:color w:val="000000" w:themeColor="text1"/>
          <w:szCs w:val="24"/>
        </w:rPr>
        <w:t xml:space="preserve">to </w:t>
      </w:r>
      <w:r w:rsidR="000F6EB3">
        <w:rPr>
          <w:color w:val="000000" w:themeColor="text1"/>
          <w:szCs w:val="24"/>
        </w:rPr>
        <w:t>reduc</w:t>
      </w:r>
      <w:r w:rsidR="00AB462D">
        <w:rPr>
          <w:color w:val="000000" w:themeColor="text1"/>
          <w:szCs w:val="24"/>
        </w:rPr>
        <w:t>e</w:t>
      </w:r>
      <w:r w:rsidR="000F6EB3">
        <w:rPr>
          <w:color w:val="000000" w:themeColor="text1"/>
          <w:szCs w:val="24"/>
        </w:rPr>
        <w:t xml:space="preserve"> wildfire risk </w:t>
      </w:r>
      <w:r w:rsidR="008848BB">
        <w:rPr>
          <w:color w:val="000000" w:themeColor="text1"/>
          <w:szCs w:val="24"/>
        </w:rPr>
        <w:t xml:space="preserve">and </w:t>
      </w:r>
      <w:r w:rsidR="000F6EB3">
        <w:rPr>
          <w:color w:val="000000" w:themeColor="text1"/>
          <w:szCs w:val="24"/>
        </w:rPr>
        <w:t>manag</w:t>
      </w:r>
      <w:r w:rsidR="008848BB">
        <w:rPr>
          <w:color w:val="000000" w:themeColor="text1"/>
          <w:szCs w:val="24"/>
        </w:rPr>
        <w:t>e ratepayer</w:t>
      </w:r>
      <w:r w:rsidR="000F6EB3">
        <w:rPr>
          <w:color w:val="000000" w:themeColor="text1"/>
          <w:szCs w:val="24"/>
        </w:rPr>
        <w:t xml:space="preserve"> costs.</w:t>
      </w:r>
      <w:r w:rsidR="00C06A2E" w:rsidRPr="00C06A2E">
        <w:rPr>
          <w:b/>
          <w:color w:val="000000" w:themeColor="text1"/>
          <w:szCs w:val="24"/>
          <w:u w:val="single"/>
          <w:vertAlign w:val="superscript"/>
        </w:rPr>
        <w:footnoteReference w:id="56"/>
      </w:r>
      <w:r w:rsidR="00C06A2E" w:rsidRPr="00C06A2E">
        <w:rPr>
          <w:color w:val="000000" w:themeColor="text1"/>
          <w:szCs w:val="24"/>
        </w:rPr>
        <w:t xml:space="preserve">  </w:t>
      </w:r>
    </w:p>
    <w:p w14:paraId="4586E998" w14:textId="39C5211A" w:rsidR="00C06A2E" w:rsidRDefault="00C06A2E" w:rsidP="00A854F4">
      <w:pPr>
        <w:spacing w:line="360" w:lineRule="auto"/>
        <w:ind w:firstLine="720"/>
      </w:pPr>
      <w:r w:rsidRPr="00C06A2E">
        <w:rPr>
          <w:color w:val="000000" w:themeColor="text1"/>
          <w:szCs w:val="24"/>
        </w:rPr>
        <w:lastRenderedPageBreak/>
        <w:t xml:space="preserve">To promote transparency, affordability, and effective regulatory oversight, Energy Safety should require each WMP to identify the applicable GRC accounting category for each WMP initiative. </w:t>
      </w:r>
      <w:r w:rsidR="008D317B">
        <w:rPr>
          <w:color w:val="000000" w:themeColor="text1"/>
          <w:szCs w:val="24"/>
        </w:rPr>
        <w:t xml:space="preserve"> </w:t>
      </w:r>
      <w:r w:rsidRPr="00C06A2E">
        <w:rPr>
          <w:color w:val="000000" w:themeColor="text1"/>
          <w:szCs w:val="24"/>
        </w:rPr>
        <w:t>For example, PG&amp;E categorizes spending in GRC proceedings into Major Work Categories (MWC)</w:t>
      </w:r>
      <w:r w:rsidR="00DE080D">
        <w:rPr>
          <w:color w:val="000000" w:themeColor="text1"/>
          <w:szCs w:val="24"/>
        </w:rPr>
        <w:t>.  E</w:t>
      </w:r>
      <w:r w:rsidRPr="00C06A2E">
        <w:rPr>
          <w:color w:val="000000" w:themeColor="text1"/>
          <w:szCs w:val="24"/>
        </w:rPr>
        <w:t xml:space="preserve">ach </w:t>
      </w:r>
      <w:r w:rsidR="00DE080D">
        <w:rPr>
          <w:color w:val="000000" w:themeColor="text1"/>
          <w:szCs w:val="24"/>
        </w:rPr>
        <w:t>Major Work Category</w:t>
      </w:r>
      <w:r w:rsidRPr="00C06A2E">
        <w:rPr>
          <w:color w:val="000000" w:themeColor="text1"/>
          <w:szCs w:val="24"/>
        </w:rPr>
        <w:t xml:space="preserve"> contain</w:t>
      </w:r>
      <w:r w:rsidR="00DE080D">
        <w:rPr>
          <w:color w:val="000000" w:themeColor="text1"/>
          <w:szCs w:val="24"/>
        </w:rPr>
        <w:t>s</w:t>
      </w:r>
      <w:r w:rsidRPr="00C06A2E">
        <w:rPr>
          <w:color w:val="000000" w:themeColor="text1"/>
          <w:szCs w:val="24"/>
        </w:rPr>
        <w:t xml:space="preserve"> several Maintenance Activity Type (MAT)</w:t>
      </w:r>
      <w:r w:rsidRPr="00C06A2E">
        <w:rPr>
          <w:b/>
          <w:color w:val="000000" w:themeColor="text1"/>
          <w:spacing w:val="40"/>
          <w:position w:val="8"/>
          <w:sz w:val="16"/>
          <w:szCs w:val="24"/>
        </w:rPr>
        <w:t xml:space="preserve"> </w:t>
      </w:r>
      <w:r w:rsidRPr="00C06A2E">
        <w:rPr>
          <w:color w:val="000000" w:themeColor="text1"/>
          <w:szCs w:val="24"/>
        </w:rPr>
        <w:t xml:space="preserve">codes for various functions within </w:t>
      </w:r>
      <w:r w:rsidR="00DE080D">
        <w:rPr>
          <w:color w:val="000000" w:themeColor="text1"/>
          <w:szCs w:val="24"/>
        </w:rPr>
        <w:t>the</w:t>
      </w:r>
      <w:r w:rsidRPr="00C06A2E">
        <w:rPr>
          <w:color w:val="000000" w:themeColor="text1"/>
          <w:szCs w:val="24"/>
        </w:rPr>
        <w:t xml:space="preserve"> categor</w:t>
      </w:r>
      <w:r w:rsidR="00DE080D">
        <w:rPr>
          <w:color w:val="000000" w:themeColor="text1"/>
          <w:szCs w:val="24"/>
        </w:rPr>
        <w:t>y</w:t>
      </w:r>
      <w:r w:rsidRPr="00C06A2E">
        <w:rPr>
          <w:color w:val="000000" w:themeColor="text1"/>
          <w:szCs w:val="24"/>
        </w:rPr>
        <w:t>.</w:t>
      </w:r>
      <w:r w:rsidRPr="00C06A2E">
        <w:rPr>
          <w:color w:val="000000" w:themeColor="text1"/>
          <w:spacing w:val="40"/>
          <w:szCs w:val="24"/>
        </w:rPr>
        <w:t xml:space="preserve"> </w:t>
      </w:r>
      <w:r w:rsidRPr="00C06A2E">
        <w:rPr>
          <w:color w:val="000000" w:themeColor="text1"/>
          <w:szCs w:val="24"/>
        </w:rPr>
        <w:t>These MWC</w:t>
      </w:r>
      <w:r w:rsidR="00DE080D">
        <w:rPr>
          <w:color w:val="000000" w:themeColor="text1"/>
          <w:szCs w:val="24"/>
        </w:rPr>
        <w:t>-</w:t>
      </w:r>
      <w:r w:rsidRPr="00C06A2E">
        <w:rPr>
          <w:color w:val="000000" w:themeColor="text1"/>
          <w:szCs w:val="24"/>
        </w:rPr>
        <w:t>MAT code</w:t>
      </w:r>
      <w:r w:rsidR="00DE080D">
        <w:rPr>
          <w:color w:val="000000" w:themeColor="text1"/>
          <w:szCs w:val="24"/>
        </w:rPr>
        <w:t xml:space="preserve"> combination</w:t>
      </w:r>
      <w:r w:rsidRPr="00C06A2E">
        <w:rPr>
          <w:color w:val="000000" w:themeColor="text1"/>
          <w:szCs w:val="24"/>
        </w:rPr>
        <w:t>s do not always</w:t>
      </w:r>
      <w:r w:rsidRPr="00C06A2E">
        <w:rPr>
          <w:color w:val="000000" w:themeColor="text1"/>
          <w:spacing w:val="-3"/>
          <w:szCs w:val="24"/>
        </w:rPr>
        <w:t xml:space="preserve"> </w:t>
      </w:r>
      <w:r w:rsidRPr="00C06A2E">
        <w:rPr>
          <w:color w:val="000000" w:themeColor="text1"/>
          <w:szCs w:val="24"/>
        </w:rPr>
        <w:t>track</w:t>
      </w:r>
      <w:r w:rsidRPr="00C06A2E">
        <w:rPr>
          <w:color w:val="000000" w:themeColor="text1"/>
          <w:spacing w:val="-3"/>
          <w:szCs w:val="24"/>
        </w:rPr>
        <w:t xml:space="preserve"> </w:t>
      </w:r>
      <w:r w:rsidRPr="00C06A2E">
        <w:rPr>
          <w:color w:val="000000" w:themeColor="text1"/>
          <w:szCs w:val="24"/>
        </w:rPr>
        <w:t>cleanly</w:t>
      </w:r>
      <w:r w:rsidRPr="00C06A2E">
        <w:rPr>
          <w:color w:val="000000" w:themeColor="text1"/>
          <w:spacing w:val="-3"/>
          <w:szCs w:val="24"/>
        </w:rPr>
        <w:t xml:space="preserve"> </w:t>
      </w:r>
      <w:r w:rsidRPr="00C06A2E">
        <w:rPr>
          <w:color w:val="000000" w:themeColor="text1"/>
          <w:szCs w:val="24"/>
        </w:rPr>
        <w:t>to</w:t>
      </w:r>
      <w:r w:rsidRPr="00C06A2E">
        <w:rPr>
          <w:color w:val="000000" w:themeColor="text1"/>
          <w:spacing w:val="-3"/>
          <w:szCs w:val="24"/>
        </w:rPr>
        <w:t xml:space="preserve"> </w:t>
      </w:r>
      <w:r w:rsidRPr="00C06A2E">
        <w:rPr>
          <w:color w:val="000000" w:themeColor="text1"/>
          <w:szCs w:val="24"/>
        </w:rPr>
        <w:t>WMP</w:t>
      </w:r>
      <w:r w:rsidRPr="00C06A2E">
        <w:rPr>
          <w:color w:val="000000" w:themeColor="text1"/>
          <w:spacing w:val="-3"/>
          <w:szCs w:val="24"/>
        </w:rPr>
        <w:t xml:space="preserve"> </w:t>
      </w:r>
      <w:r w:rsidRPr="00C06A2E">
        <w:rPr>
          <w:color w:val="000000" w:themeColor="text1"/>
          <w:szCs w:val="24"/>
        </w:rPr>
        <w:t>programs</w:t>
      </w:r>
      <w:r w:rsidRPr="00C06A2E">
        <w:rPr>
          <w:color w:val="000000" w:themeColor="text1"/>
          <w:spacing w:val="-3"/>
          <w:szCs w:val="24"/>
        </w:rPr>
        <w:t xml:space="preserve"> </w:t>
      </w:r>
      <w:r w:rsidRPr="00C06A2E">
        <w:rPr>
          <w:color w:val="000000" w:themeColor="text1"/>
          <w:szCs w:val="24"/>
        </w:rPr>
        <w:t>as</w:t>
      </w:r>
      <w:r w:rsidRPr="00C06A2E">
        <w:rPr>
          <w:color w:val="000000" w:themeColor="text1"/>
          <w:spacing w:val="-3"/>
          <w:szCs w:val="24"/>
        </w:rPr>
        <w:t xml:space="preserve"> </w:t>
      </w:r>
      <w:r w:rsidRPr="00C06A2E">
        <w:rPr>
          <w:color w:val="000000" w:themeColor="text1"/>
          <w:szCs w:val="24"/>
        </w:rPr>
        <w:t>structured</w:t>
      </w:r>
      <w:r w:rsidRPr="00C06A2E">
        <w:rPr>
          <w:color w:val="000000" w:themeColor="text1"/>
          <w:spacing w:val="-3"/>
          <w:szCs w:val="24"/>
        </w:rPr>
        <w:t xml:space="preserve"> </w:t>
      </w:r>
      <w:r w:rsidRPr="00C06A2E">
        <w:rPr>
          <w:color w:val="000000" w:themeColor="text1"/>
          <w:szCs w:val="24"/>
        </w:rPr>
        <w:t>in</w:t>
      </w:r>
      <w:r w:rsidRPr="00C06A2E">
        <w:rPr>
          <w:color w:val="000000" w:themeColor="text1"/>
          <w:spacing w:val="-3"/>
          <w:szCs w:val="24"/>
        </w:rPr>
        <w:t xml:space="preserve"> </w:t>
      </w:r>
      <w:r w:rsidRPr="00C06A2E">
        <w:rPr>
          <w:color w:val="000000" w:themeColor="text1"/>
          <w:szCs w:val="24"/>
        </w:rPr>
        <w:t>the</w:t>
      </w:r>
      <w:r w:rsidRPr="00C06A2E">
        <w:rPr>
          <w:color w:val="000000" w:themeColor="text1"/>
          <w:spacing w:val="-4"/>
          <w:szCs w:val="24"/>
        </w:rPr>
        <w:t xml:space="preserve"> </w:t>
      </w:r>
      <w:r w:rsidRPr="00C06A2E">
        <w:rPr>
          <w:color w:val="000000" w:themeColor="text1"/>
          <w:szCs w:val="24"/>
        </w:rPr>
        <w:t>WMP</w:t>
      </w:r>
      <w:r w:rsidRPr="00C06A2E">
        <w:rPr>
          <w:color w:val="000000" w:themeColor="text1"/>
          <w:spacing w:val="-3"/>
          <w:szCs w:val="24"/>
        </w:rPr>
        <w:t xml:space="preserve"> </w:t>
      </w:r>
      <w:r w:rsidRPr="00C06A2E">
        <w:rPr>
          <w:color w:val="000000" w:themeColor="text1"/>
          <w:szCs w:val="24"/>
        </w:rPr>
        <w:t>guidelines</w:t>
      </w:r>
      <w:r w:rsidR="00DE080D">
        <w:rPr>
          <w:color w:val="000000" w:themeColor="text1"/>
          <w:szCs w:val="24"/>
        </w:rPr>
        <w:t xml:space="preserve">. </w:t>
      </w:r>
      <w:r w:rsidRPr="00C06A2E">
        <w:rPr>
          <w:color w:val="000000" w:themeColor="text1"/>
          <w:spacing w:val="-3"/>
          <w:szCs w:val="24"/>
        </w:rPr>
        <w:t xml:space="preserve"> </w:t>
      </w:r>
      <w:r w:rsidR="00DE080D">
        <w:rPr>
          <w:color w:val="000000" w:themeColor="text1"/>
          <w:szCs w:val="24"/>
        </w:rPr>
        <w:t>R</w:t>
      </w:r>
      <w:r w:rsidRPr="00C06A2E">
        <w:rPr>
          <w:color w:val="000000" w:themeColor="text1"/>
          <w:szCs w:val="24"/>
        </w:rPr>
        <w:t>equesting this mapping from the utilities on a program</w:t>
      </w:r>
      <w:r w:rsidR="00DE080D">
        <w:rPr>
          <w:color w:val="000000" w:themeColor="text1"/>
          <w:szCs w:val="24"/>
        </w:rPr>
        <w:t>-</w:t>
      </w:r>
      <w:r w:rsidRPr="00C06A2E">
        <w:rPr>
          <w:color w:val="000000" w:themeColor="text1"/>
          <w:szCs w:val="24"/>
        </w:rPr>
        <w:t>by</w:t>
      </w:r>
      <w:r w:rsidR="00DE080D">
        <w:rPr>
          <w:color w:val="000000" w:themeColor="text1"/>
          <w:szCs w:val="24"/>
        </w:rPr>
        <w:t>-</w:t>
      </w:r>
      <w:r w:rsidRPr="00C06A2E">
        <w:rPr>
          <w:color w:val="000000" w:themeColor="text1"/>
          <w:szCs w:val="24"/>
        </w:rPr>
        <w:t>program basis is labor-intensive.</w:t>
      </w:r>
      <w:r w:rsidR="00A854F4">
        <w:rPr>
          <w:color w:val="000000" w:themeColor="text1"/>
          <w:spacing w:val="40"/>
          <w:szCs w:val="24"/>
        </w:rPr>
        <w:t xml:space="preserve"> </w:t>
      </w:r>
      <w:r w:rsidR="00A854F4">
        <w:rPr>
          <w:color w:val="000000" w:themeColor="text1"/>
          <w:szCs w:val="24"/>
        </w:rPr>
        <w:t>A</w:t>
      </w:r>
      <w:r w:rsidR="00F6310B">
        <w:rPr>
          <w:color w:val="000000" w:themeColor="text1"/>
          <w:szCs w:val="24"/>
        </w:rPr>
        <w:t>ligning</w:t>
      </w:r>
      <w:r w:rsidR="00A854F4">
        <w:rPr>
          <w:color w:val="000000" w:themeColor="text1"/>
          <w:szCs w:val="24"/>
        </w:rPr>
        <w:t xml:space="preserve"> cost-accounting between</w:t>
      </w:r>
      <w:r w:rsidR="00F6310B">
        <w:rPr>
          <w:color w:val="000000" w:themeColor="text1"/>
          <w:szCs w:val="24"/>
        </w:rPr>
        <w:t xml:space="preserve"> the</w:t>
      </w:r>
      <w:r w:rsidR="00A854F4">
        <w:rPr>
          <w:color w:val="000000" w:themeColor="text1"/>
          <w:szCs w:val="24"/>
        </w:rPr>
        <w:t xml:space="preserve"> GRC and WMP </w:t>
      </w:r>
      <w:r w:rsidR="00A854F4" w:rsidRPr="00A01608">
        <w:rPr>
          <w:szCs w:val="24"/>
        </w:rPr>
        <w:t xml:space="preserve">would improve the ability of intervenors to understand wildfire mitigation programs and track utility performance. </w:t>
      </w:r>
      <w:r w:rsidR="00DA38D6" w:rsidRPr="00B66816">
        <w:rPr>
          <w:color w:val="000000" w:themeColor="text1"/>
          <w:szCs w:val="22"/>
          <w:lang w:val="en-ZW"/>
        </w:rPr>
        <w:t xml:space="preserve">Appendix A </w:t>
      </w:r>
      <w:r w:rsidR="00DA38D6">
        <w:rPr>
          <w:color w:val="000000" w:themeColor="text1"/>
          <w:szCs w:val="22"/>
          <w:lang w:val="en-ZW"/>
        </w:rPr>
        <w:t>provides</w:t>
      </w:r>
      <w:r w:rsidR="00DA38D6" w:rsidRPr="00B66816">
        <w:rPr>
          <w:color w:val="000000" w:themeColor="text1"/>
          <w:szCs w:val="22"/>
          <w:lang w:val="en-ZW"/>
        </w:rPr>
        <w:t xml:space="preserve"> an illustrative example of how accounting categories can be matched in a logical way.</w:t>
      </w:r>
    </w:p>
    <w:p w14:paraId="360BA626" w14:textId="095B0B92" w:rsidR="00C31135" w:rsidRPr="006C42D5" w:rsidRDefault="00C31135" w:rsidP="00BE7DCF">
      <w:pPr>
        <w:pStyle w:val="Heading1"/>
      </w:pPr>
      <w:bookmarkStart w:id="50" w:name="_Toc184053670"/>
      <w:bookmarkStart w:id="51" w:name="_Toc152253576"/>
      <w:bookmarkStart w:id="52" w:name="_Toc184385733"/>
      <w:bookmarkEnd w:id="50"/>
      <w:bookmarkEnd w:id="51"/>
      <w:r w:rsidRPr="006C42D5">
        <w:t>CONCLUSION</w:t>
      </w:r>
      <w:bookmarkEnd w:id="52"/>
    </w:p>
    <w:p w14:paraId="77F1D0B9" w14:textId="30A532DC" w:rsidR="00C31135" w:rsidRPr="00DA38D6" w:rsidRDefault="00C31135" w:rsidP="00744667">
      <w:pPr>
        <w:pStyle w:val="BodyText"/>
      </w:pPr>
      <w:r w:rsidRPr="006C42D5">
        <w:t xml:space="preserve">Cal Advocates </w:t>
      </w:r>
      <w:r w:rsidRPr="00DA38D6">
        <w:t xml:space="preserve">respectfully requests that </w:t>
      </w:r>
      <w:r w:rsidR="00570756" w:rsidRPr="00DA38D6">
        <w:t>Energy Safety</w:t>
      </w:r>
      <w:r w:rsidRPr="00DA38D6">
        <w:t xml:space="preserve"> adopt the recommendations discussed </w:t>
      </w:r>
      <w:r w:rsidR="00817203" w:rsidRPr="00DA38D6">
        <w:t>in these comments</w:t>
      </w:r>
      <w:r w:rsidRPr="00DA38D6">
        <w:t>.</w:t>
      </w:r>
    </w:p>
    <w:p w14:paraId="426046AD" w14:textId="77777777" w:rsidR="00EF4D1B" w:rsidRPr="00DA38D6" w:rsidRDefault="00EF4D1B" w:rsidP="00744667">
      <w:pPr>
        <w:pStyle w:val="BodyText"/>
      </w:pPr>
    </w:p>
    <w:p w14:paraId="66C7F40D" w14:textId="77777777" w:rsidR="001A7A53" w:rsidRPr="001A7A53" w:rsidRDefault="001A7A53" w:rsidP="00BE7DCF">
      <w:pPr>
        <w:tabs>
          <w:tab w:val="clear" w:pos="5040"/>
        </w:tabs>
        <w:ind w:left="4320" w:firstLine="720"/>
        <w:rPr>
          <w:color w:val="000000" w:themeColor="text1"/>
          <w:szCs w:val="24"/>
        </w:rPr>
      </w:pPr>
      <w:r w:rsidRPr="001A7A53">
        <w:rPr>
          <w:color w:val="000000" w:themeColor="text1"/>
          <w:szCs w:val="24"/>
        </w:rPr>
        <w:t xml:space="preserve">Respectfully submitted, </w:t>
      </w:r>
    </w:p>
    <w:p w14:paraId="1FEA9282" w14:textId="1579CE31" w:rsidR="001A7A53" w:rsidRPr="001A7A53" w:rsidRDefault="001A7A53" w:rsidP="00BE7DCF">
      <w:pPr>
        <w:tabs>
          <w:tab w:val="clear" w:pos="5040"/>
        </w:tabs>
        <w:ind w:left="4320" w:firstLine="720"/>
        <w:rPr>
          <w:color w:val="000000" w:themeColor="text1"/>
          <w:szCs w:val="24"/>
        </w:rPr>
      </w:pPr>
      <w:r w:rsidRPr="001A7A53">
        <w:rPr>
          <w:color w:val="000000" w:themeColor="text1"/>
          <w:szCs w:val="24"/>
        </w:rPr>
        <w:t>/s/</w:t>
      </w:r>
      <w:r w:rsidRPr="001A7A53">
        <w:rPr>
          <w:color w:val="000000" w:themeColor="text1"/>
          <w:szCs w:val="24"/>
        </w:rPr>
        <w:tab/>
      </w:r>
      <w:r w:rsidRPr="001A7A53">
        <w:rPr>
          <w:b/>
          <w:bCs/>
          <w:i/>
          <w:iCs/>
          <w:color w:val="000000" w:themeColor="text1"/>
          <w:szCs w:val="24"/>
        </w:rPr>
        <w:t>Marybelle Ang</w:t>
      </w:r>
    </w:p>
    <w:p w14:paraId="05033B67" w14:textId="77777777" w:rsidR="001A7A53" w:rsidRPr="001A7A53" w:rsidRDefault="001A7A53" w:rsidP="00BE7DCF">
      <w:pPr>
        <w:tabs>
          <w:tab w:val="clear" w:pos="5040"/>
        </w:tabs>
        <w:ind w:left="4320" w:firstLine="720"/>
        <w:rPr>
          <w:color w:val="000000" w:themeColor="text1"/>
          <w:szCs w:val="24"/>
        </w:rPr>
      </w:pPr>
      <w:r w:rsidRPr="001A7A53">
        <w:rPr>
          <w:color w:val="000000" w:themeColor="text1"/>
          <w:szCs w:val="24"/>
        </w:rPr>
        <w:t>__________________________</w:t>
      </w:r>
    </w:p>
    <w:p w14:paraId="680A9E68" w14:textId="2AEED133" w:rsidR="001A7A53" w:rsidRPr="001A7A53" w:rsidRDefault="001A7A53" w:rsidP="00BE7DCF">
      <w:pPr>
        <w:tabs>
          <w:tab w:val="clear" w:pos="5040"/>
        </w:tabs>
        <w:ind w:left="5040" w:firstLine="720"/>
        <w:rPr>
          <w:color w:val="000000" w:themeColor="text1"/>
          <w:szCs w:val="24"/>
        </w:rPr>
      </w:pPr>
      <w:r w:rsidRPr="001A7A53">
        <w:rPr>
          <w:color w:val="000000" w:themeColor="text1"/>
          <w:szCs w:val="24"/>
        </w:rPr>
        <w:t>Marybelle Ang</w:t>
      </w:r>
    </w:p>
    <w:p w14:paraId="7A6BDA43" w14:textId="77777777" w:rsidR="001A7A53" w:rsidRPr="001A7A53" w:rsidRDefault="001A7A53" w:rsidP="00BE7DCF">
      <w:pPr>
        <w:tabs>
          <w:tab w:val="clear" w:pos="5040"/>
        </w:tabs>
        <w:ind w:left="5040" w:firstLine="720"/>
        <w:rPr>
          <w:color w:val="000000" w:themeColor="text1"/>
          <w:szCs w:val="24"/>
        </w:rPr>
      </w:pPr>
      <w:r w:rsidRPr="001A7A53">
        <w:rPr>
          <w:color w:val="000000" w:themeColor="text1"/>
          <w:szCs w:val="24"/>
        </w:rPr>
        <w:t>Attorney</w:t>
      </w:r>
    </w:p>
    <w:p w14:paraId="16A13E6B" w14:textId="77777777" w:rsidR="001A7A53" w:rsidRPr="001A7A53" w:rsidRDefault="001A7A53" w:rsidP="00BE7DCF">
      <w:pPr>
        <w:tabs>
          <w:tab w:val="clear" w:pos="5040"/>
        </w:tabs>
        <w:ind w:left="4320" w:firstLine="720"/>
        <w:rPr>
          <w:color w:val="000000" w:themeColor="text1"/>
          <w:szCs w:val="24"/>
        </w:rPr>
      </w:pPr>
    </w:p>
    <w:p w14:paraId="42E44EEF" w14:textId="77777777" w:rsidR="001A7A53" w:rsidRPr="001A7A53" w:rsidRDefault="001A7A53" w:rsidP="00BE7DCF">
      <w:pPr>
        <w:tabs>
          <w:tab w:val="clear" w:pos="5040"/>
        </w:tabs>
        <w:ind w:left="5040"/>
        <w:rPr>
          <w:color w:val="000000" w:themeColor="text1"/>
          <w:szCs w:val="24"/>
        </w:rPr>
      </w:pPr>
      <w:r w:rsidRPr="001A7A53">
        <w:rPr>
          <w:color w:val="000000" w:themeColor="text1"/>
          <w:szCs w:val="24"/>
        </w:rPr>
        <w:t>Public Advocates Office</w:t>
      </w:r>
    </w:p>
    <w:p w14:paraId="4BB50C47" w14:textId="77777777" w:rsidR="001A7A53" w:rsidRPr="001A7A53" w:rsidRDefault="001A7A53" w:rsidP="00BE7DCF">
      <w:pPr>
        <w:tabs>
          <w:tab w:val="clear" w:pos="5040"/>
        </w:tabs>
        <w:ind w:left="5040"/>
        <w:rPr>
          <w:color w:val="000000" w:themeColor="text1"/>
          <w:szCs w:val="24"/>
        </w:rPr>
      </w:pPr>
      <w:r w:rsidRPr="001A7A53">
        <w:rPr>
          <w:color w:val="000000" w:themeColor="text1"/>
          <w:szCs w:val="24"/>
        </w:rPr>
        <w:t>California Public Utilities Commission</w:t>
      </w:r>
    </w:p>
    <w:p w14:paraId="7DE7B166" w14:textId="308681D0" w:rsidR="001A7A53" w:rsidRPr="001A7A53" w:rsidRDefault="001A7A53" w:rsidP="00BE7DCF">
      <w:pPr>
        <w:tabs>
          <w:tab w:val="clear" w:pos="5040"/>
        </w:tabs>
        <w:ind w:left="5040"/>
        <w:rPr>
          <w:color w:val="000000" w:themeColor="text1"/>
          <w:szCs w:val="24"/>
        </w:rPr>
      </w:pPr>
      <w:r w:rsidRPr="001A7A53">
        <w:rPr>
          <w:color w:val="000000" w:themeColor="text1"/>
          <w:szCs w:val="24"/>
        </w:rPr>
        <w:t>505 Van Ness Avenue</w:t>
      </w:r>
    </w:p>
    <w:p w14:paraId="3C8D9E5A" w14:textId="77777777" w:rsidR="001A7A53" w:rsidRPr="001A7A53" w:rsidRDefault="001A7A53" w:rsidP="00BE7DCF">
      <w:pPr>
        <w:tabs>
          <w:tab w:val="clear" w:pos="5040"/>
        </w:tabs>
        <w:ind w:left="5040"/>
        <w:rPr>
          <w:color w:val="000000" w:themeColor="text1"/>
          <w:szCs w:val="24"/>
        </w:rPr>
      </w:pPr>
      <w:r w:rsidRPr="001A7A53">
        <w:rPr>
          <w:color w:val="000000" w:themeColor="text1"/>
          <w:szCs w:val="24"/>
        </w:rPr>
        <w:t>San Francisco, CA 94102</w:t>
      </w:r>
    </w:p>
    <w:p w14:paraId="2000A5C2" w14:textId="05790696" w:rsidR="001A7A53" w:rsidRPr="001A7A53" w:rsidRDefault="001A7A53" w:rsidP="00BE7DCF">
      <w:pPr>
        <w:tabs>
          <w:tab w:val="clear" w:pos="5040"/>
        </w:tabs>
        <w:ind w:left="5040"/>
        <w:rPr>
          <w:color w:val="000000" w:themeColor="text1"/>
          <w:szCs w:val="24"/>
        </w:rPr>
      </w:pPr>
      <w:r w:rsidRPr="001A7A53">
        <w:rPr>
          <w:color w:val="000000" w:themeColor="text1"/>
          <w:szCs w:val="24"/>
        </w:rPr>
        <w:t>Telephone: (415) 696-7329</w:t>
      </w:r>
    </w:p>
    <w:p w14:paraId="16EAAE18" w14:textId="3F186B67" w:rsidR="00C06A2E" w:rsidRPr="001A7A53" w:rsidRDefault="001A7A53" w:rsidP="00BE7DCF">
      <w:pPr>
        <w:tabs>
          <w:tab w:val="clear" w:pos="5040"/>
        </w:tabs>
        <w:ind w:left="5040"/>
        <w:rPr>
          <w:color w:val="000000" w:themeColor="text1"/>
          <w:szCs w:val="24"/>
        </w:rPr>
      </w:pPr>
      <w:r w:rsidRPr="001A7A53">
        <w:rPr>
          <w:color w:val="000000" w:themeColor="text1"/>
          <w:szCs w:val="24"/>
        </w:rPr>
        <w:t xml:space="preserve">E-mail: </w:t>
      </w:r>
      <w:hyperlink r:id="rId21" w:history="1">
        <w:r w:rsidRPr="001A7A53">
          <w:rPr>
            <w:color w:val="000000" w:themeColor="text1"/>
            <w:szCs w:val="24"/>
            <w:u w:val="single"/>
          </w:rPr>
          <w:t>Marybelle.Ang@cpuc.ca.gov</w:t>
        </w:r>
      </w:hyperlink>
      <w:r w:rsidRPr="001A7A53">
        <w:rPr>
          <w:color w:val="000000" w:themeColor="text1"/>
          <w:szCs w:val="24"/>
        </w:rPr>
        <w:t xml:space="preserve"> </w:t>
      </w:r>
    </w:p>
    <w:p w14:paraId="1647D83E" w14:textId="77777777" w:rsidR="00C06A2E" w:rsidRDefault="00C06A2E" w:rsidP="00BE7DCF">
      <w:pPr>
        <w:pStyle w:val="Signatureaddress"/>
        <w:spacing w:line="240" w:lineRule="auto"/>
        <w:ind w:left="0"/>
      </w:pPr>
    </w:p>
    <w:p w14:paraId="0C6954C7" w14:textId="77777777" w:rsidR="00BE7DCF" w:rsidRDefault="00BE7DCF">
      <w:pPr>
        <w:tabs>
          <w:tab w:val="clear" w:pos="5040"/>
        </w:tabs>
        <w:overflowPunct/>
        <w:autoSpaceDE/>
        <w:autoSpaceDN/>
        <w:adjustRightInd/>
        <w:textAlignment w:val="auto"/>
        <w:sectPr w:rsidR="00BE7DCF" w:rsidSect="00C1344A">
          <w:headerReference w:type="default" r:id="rId22"/>
          <w:footerReference w:type="default" r:id="rId23"/>
          <w:pgSz w:w="12240" w:h="15840"/>
          <w:pgMar w:top="1440" w:right="1440" w:bottom="1440" w:left="1440" w:header="720" w:footer="720" w:gutter="0"/>
          <w:pgNumType w:start="1"/>
          <w:cols w:space="720"/>
          <w:docGrid w:linePitch="360"/>
        </w:sectPr>
      </w:pPr>
    </w:p>
    <w:p w14:paraId="35DEA52F" w14:textId="6B9DFD43" w:rsidR="00C06A2E" w:rsidRDefault="00C06A2E" w:rsidP="00BE7DCF">
      <w:pPr>
        <w:jc w:val="center"/>
        <w:rPr>
          <w:b/>
          <w:bCs/>
          <w:sz w:val="28"/>
          <w:szCs w:val="28"/>
        </w:rPr>
      </w:pPr>
      <w:r w:rsidRPr="00BE7DCF">
        <w:rPr>
          <w:b/>
          <w:bCs/>
          <w:sz w:val="28"/>
          <w:szCs w:val="28"/>
        </w:rPr>
        <w:lastRenderedPageBreak/>
        <w:t>Appendix A</w:t>
      </w:r>
    </w:p>
    <w:p w14:paraId="7CCFA0EB" w14:textId="77777777" w:rsidR="00BE7DCF" w:rsidRPr="00BE7DCF" w:rsidRDefault="00BE7DCF" w:rsidP="00BE7DCF">
      <w:pPr>
        <w:jc w:val="center"/>
        <w:rPr>
          <w:b/>
          <w:bCs/>
          <w:sz w:val="28"/>
          <w:szCs w:val="28"/>
        </w:rPr>
      </w:pPr>
    </w:p>
    <w:p w14:paraId="2CB9D9FB" w14:textId="77777777" w:rsidR="00C06A2E" w:rsidRPr="00C06A2E" w:rsidRDefault="00C06A2E" w:rsidP="00C06A2E">
      <w:pPr>
        <w:keepLines/>
        <w:tabs>
          <w:tab w:val="clear" w:pos="5040"/>
        </w:tabs>
        <w:rPr>
          <w:color w:val="000000" w:themeColor="text1"/>
          <w:szCs w:val="24"/>
        </w:rPr>
      </w:pPr>
      <w:r w:rsidRPr="00C06A2E">
        <w:rPr>
          <w:color w:val="000000" w:themeColor="text1"/>
          <w:szCs w:val="24"/>
        </w:rPr>
        <w:t>The following tables are intended to illustrate how activities can be defined and categorized in helpful or unhelpful ways. A logical mapping across proceedings allows regulators and stakeholders to track utility activities, performance targets, cost forecasts, and actual spending over time. These tables are intended purely for illustrative purposes.</w:t>
      </w:r>
    </w:p>
    <w:p w14:paraId="70EC4966" w14:textId="77777777" w:rsidR="00C06A2E" w:rsidRPr="00C06A2E" w:rsidRDefault="00C06A2E" w:rsidP="00C06A2E">
      <w:pPr>
        <w:keepLines/>
        <w:tabs>
          <w:tab w:val="clear" w:pos="5040"/>
        </w:tabs>
        <w:rPr>
          <w:color w:val="000000" w:themeColor="text1"/>
          <w:szCs w:val="24"/>
        </w:rPr>
      </w:pPr>
    </w:p>
    <w:tbl>
      <w:tblPr>
        <w:tblStyle w:val="TableGrid"/>
        <w:tblW w:w="0" w:type="auto"/>
        <w:jc w:val="center"/>
        <w:tblLook w:val="04A0" w:firstRow="1" w:lastRow="0" w:firstColumn="1" w:lastColumn="0" w:noHBand="0" w:noVBand="1"/>
      </w:tblPr>
      <w:tblGrid>
        <w:gridCol w:w="1887"/>
        <w:gridCol w:w="1720"/>
        <w:gridCol w:w="1403"/>
        <w:gridCol w:w="1719"/>
        <w:gridCol w:w="1889"/>
      </w:tblGrid>
      <w:tr w:rsidR="00C06A2E" w:rsidRPr="00C06A2E" w14:paraId="3656317D" w14:textId="77777777" w:rsidTr="00641B2A">
        <w:trPr>
          <w:trHeight w:val="439"/>
          <w:jc w:val="center"/>
        </w:trPr>
        <w:tc>
          <w:tcPr>
            <w:tcW w:w="8618" w:type="dxa"/>
            <w:gridSpan w:val="5"/>
            <w:shd w:val="clear" w:color="auto" w:fill="FFE599" w:themeFill="accent4" w:themeFillTint="66"/>
            <w:vAlign w:val="center"/>
          </w:tcPr>
          <w:p w14:paraId="33C8B861" w14:textId="77777777" w:rsidR="00C06A2E" w:rsidRPr="00C06A2E" w:rsidRDefault="00C06A2E" w:rsidP="00C06A2E">
            <w:pPr>
              <w:spacing w:before="120" w:after="120"/>
              <w:jc w:val="center"/>
              <w:rPr>
                <w:b/>
                <w:bCs/>
                <w:szCs w:val="24"/>
              </w:rPr>
            </w:pPr>
            <w:bookmarkStart w:id="53" w:name="_Hlk102498556"/>
            <w:r w:rsidRPr="00C06A2E">
              <w:rPr>
                <w:b/>
                <w:bCs/>
                <w:sz w:val="32"/>
                <w:szCs w:val="32"/>
              </w:rPr>
              <w:t>Example 1: Logical mapping between proceedings</w:t>
            </w:r>
          </w:p>
        </w:tc>
      </w:tr>
      <w:tr w:rsidR="00C06A2E" w:rsidRPr="00C06A2E" w14:paraId="3F57E909" w14:textId="77777777" w:rsidTr="00641B2A">
        <w:trPr>
          <w:trHeight w:val="424"/>
          <w:jc w:val="center"/>
        </w:trPr>
        <w:tc>
          <w:tcPr>
            <w:tcW w:w="3607" w:type="dxa"/>
            <w:gridSpan w:val="2"/>
            <w:shd w:val="clear" w:color="auto" w:fill="D9E2F3" w:themeFill="accent1" w:themeFillTint="33"/>
            <w:vAlign w:val="center"/>
          </w:tcPr>
          <w:p w14:paraId="23B5507E" w14:textId="77777777" w:rsidR="00C06A2E" w:rsidRPr="00C06A2E" w:rsidRDefault="00C06A2E" w:rsidP="00C06A2E">
            <w:pPr>
              <w:spacing w:before="120" w:after="120"/>
              <w:jc w:val="center"/>
              <w:rPr>
                <w:b/>
                <w:bCs/>
                <w:sz w:val="28"/>
                <w:szCs w:val="28"/>
              </w:rPr>
            </w:pPr>
            <w:r w:rsidRPr="00C06A2E">
              <w:rPr>
                <w:b/>
                <w:bCs/>
                <w:sz w:val="28"/>
                <w:szCs w:val="28"/>
              </w:rPr>
              <w:t>GRC program definitions</w:t>
            </w:r>
          </w:p>
        </w:tc>
        <w:tc>
          <w:tcPr>
            <w:tcW w:w="5011" w:type="dxa"/>
            <w:gridSpan w:val="3"/>
            <w:shd w:val="clear" w:color="auto" w:fill="F7CAAC" w:themeFill="accent2" w:themeFillTint="66"/>
            <w:vAlign w:val="center"/>
          </w:tcPr>
          <w:p w14:paraId="7DDDC192" w14:textId="77777777" w:rsidR="00C06A2E" w:rsidRPr="00C06A2E" w:rsidRDefault="00C06A2E" w:rsidP="00C06A2E">
            <w:pPr>
              <w:spacing w:before="120" w:after="120"/>
              <w:jc w:val="center"/>
              <w:rPr>
                <w:b/>
                <w:bCs/>
                <w:sz w:val="28"/>
                <w:szCs w:val="28"/>
              </w:rPr>
            </w:pPr>
            <w:r w:rsidRPr="00C06A2E">
              <w:rPr>
                <w:b/>
                <w:bCs/>
                <w:sz w:val="28"/>
                <w:szCs w:val="28"/>
              </w:rPr>
              <w:t>WMP initiative definitions</w:t>
            </w:r>
          </w:p>
        </w:tc>
      </w:tr>
      <w:tr w:rsidR="00C06A2E" w:rsidRPr="00C06A2E" w14:paraId="4842D097" w14:textId="77777777" w:rsidTr="00641B2A">
        <w:trPr>
          <w:trHeight w:val="439"/>
          <w:jc w:val="center"/>
        </w:trPr>
        <w:tc>
          <w:tcPr>
            <w:tcW w:w="1887" w:type="dxa"/>
            <w:vMerge w:val="restart"/>
            <w:shd w:val="clear" w:color="auto" w:fill="D9E2F3" w:themeFill="accent1" w:themeFillTint="33"/>
            <w:vAlign w:val="center"/>
          </w:tcPr>
          <w:p w14:paraId="2A93E6CC" w14:textId="77777777" w:rsidR="00C06A2E" w:rsidRPr="00C06A2E" w:rsidRDefault="00C06A2E" w:rsidP="00C06A2E">
            <w:pPr>
              <w:spacing w:before="120" w:after="120"/>
              <w:rPr>
                <w:sz w:val="28"/>
                <w:szCs w:val="28"/>
              </w:rPr>
            </w:pPr>
            <w:r w:rsidRPr="00C06A2E">
              <w:rPr>
                <w:sz w:val="28"/>
                <w:szCs w:val="28"/>
              </w:rPr>
              <w:t>Asset Inspections – Distribution</w:t>
            </w:r>
          </w:p>
        </w:tc>
        <w:tc>
          <w:tcPr>
            <w:tcW w:w="1719" w:type="dxa"/>
            <w:shd w:val="clear" w:color="auto" w:fill="D9E2F3" w:themeFill="accent1" w:themeFillTint="33"/>
            <w:vAlign w:val="center"/>
          </w:tcPr>
          <w:p w14:paraId="0709E280" w14:textId="77777777" w:rsidR="00C06A2E" w:rsidRPr="00C06A2E" w:rsidRDefault="00C06A2E" w:rsidP="00C06A2E">
            <w:pPr>
              <w:spacing w:before="120" w:after="120"/>
              <w:rPr>
                <w:szCs w:val="24"/>
              </w:rPr>
            </w:pPr>
            <w:r w:rsidRPr="00C06A2E">
              <w:rPr>
                <w:szCs w:val="24"/>
              </w:rPr>
              <w:t>Compliance</w:t>
            </w:r>
          </w:p>
        </w:tc>
        <w:tc>
          <w:tcPr>
            <w:tcW w:w="1403" w:type="dxa"/>
            <w:shd w:val="clear" w:color="auto" w:fill="F7CAAC" w:themeFill="accent2" w:themeFillTint="66"/>
            <w:vAlign w:val="center"/>
          </w:tcPr>
          <w:p w14:paraId="2142F96E" w14:textId="77777777" w:rsidR="00C06A2E" w:rsidRPr="00C06A2E" w:rsidRDefault="00C06A2E" w:rsidP="00C06A2E">
            <w:pPr>
              <w:spacing w:before="120" w:after="120"/>
              <w:rPr>
                <w:sz w:val="22"/>
                <w:szCs w:val="22"/>
              </w:rPr>
            </w:pPr>
            <w:r w:rsidRPr="00C06A2E">
              <w:rPr>
                <w:sz w:val="22"/>
                <w:szCs w:val="22"/>
              </w:rPr>
              <w:t>Patrol</w:t>
            </w:r>
          </w:p>
        </w:tc>
        <w:tc>
          <w:tcPr>
            <w:tcW w:w="1719" w:type="dxa"/>
            <w:shd w:val="clear" w:color="auto" w:fill="F7CAAC" w:themeFill="accent2" w:themeFillTint="66"/>
            <w:vAlign w:val="center"/>
          </w:tcPr>
          <w:p w14:paraId="2167BBE4" w14:textId="77777777" w:rsidR="00C06A2E" w:rsidRPr="00C06A2E" w:rsidRDefault="00C06A2E" w:rsidP="00C06A2E">
            <w:pPr>
              <w:spacing w:before="120" w:after="120"/>
              <w:rPr>
                <w:szCs w:val="24"/>
              </w:rPr>
            </w:pPr>
            <w:r w:rsidRPr="00C06A2E">
              <w:rPr>
                <w:szCs w:val="24"/>
              </w:rPr>
              <w:t>Compliance</w:t>
            </w:r>
          </w:p>
        </w:tc>
        <w:tc>
          <w:tcPr>
            <w:tcW w:w="1887" w:type="dxa"/>
            <w:vMerge w:val="restart"/>
            <w:shd w:val="clear" w:color="auto" w:fill="F7CAAC" w:themeFill="accent2" w:themeFillTint="66"/>
            <w:vAlign w:val="center"/>
          </w:tcPr>
          <w:p w14:paraId="239FE5E2" w14:textId="77777777" w:rsidR="00C06A2E" w:rsidRPr="00C06A2E" w:rsidRDefault="00C06A2E" w:rsidP="00C06A2E">
            <w:pPr>
              <w:spacing w:before="120" w:after="120"/>
              <w:rPr>
                <w:sz w:val="28"/>
                <w:szCs w:val="28"/>
              </w:rPr>
            </w:pPr>
            <w:r w:rsidRPr="00C06A2E">
              <w:rPr>
                <w:sz w:val="28"/>
                <w:szCs w:val="28"/>
              </w:rPr>
              <w:t>Asset Inspections – Distribution</w:t>
            </w:r>
          </w:p>
        </w:tc>
      </w:tr>
      <w:tr w:rsidR="00C06A2E" w:rsidRPr="00C06A2E" w14:paraId="55C30F79" w14:textId="77777777" w:rsidTr="00641B2A">
        <w:trPr>
          <w:trHeight w:val="356"/>
          <w:jc w:val="center"/>
        </w:trPr>
        <w:tc>
          <w:tcPr>
            <w:tcW w:w="1887" w:type="dxa"/>
            <w:vMerge/>
            <w:shd w:val="clear" w:color="auto" w:fill="D9E2F3" w:themeFill="accent1" w:themeFillTint="33"/>
            <w:vAlign w:val="center"/>
          </w:tcPr>
          <w:p w14:paraId="46490141" w14:textId="77777777" w:rsidR="00C06A2E" w:rsidRPr="00C06A2E" w:rsidRDefault="00C06A2E" w:rsidP="00C06A2E">
            <w:pPr>
              <w:spacing w:before="120" w:after="120"/>
              <w:rPr>
                <w:sz w:val="28"/>
                <w:szCs w:val="28"/>
              </w:rPr>
            </w:pPr>
          </w:p>
        </w:tc>
        <w:tc>
          <w:tcPr>
            <w:tcW w:w="1719" w:type="dxa"/>
            <w:vMerge w:val="restart"/>
            <w:shd w:val="clear" w:color="auto" w:fill="D9E2F3" w:themeFill="accent1" w:themeFillTint="33"/>
            <w:vAlign w:val="center"/>
          </w:tcPr>
          <w:p w14:paraId="79C1F0A1" w14:textId="77777777" w:rsidR="00C06A2E" w:rsidRPr="00C06A2E" w:rsidRDefault="00C06A2E" w:rsidP="00C06A2E">
            <w:pPr>
              <w:spacing w:before="120" w:after="120"/>
              <w:rPr>
                <w:szCs w:val="24"/>
              </w:rPr>
            </w:pPr>
            <w:r w:rsidRPr="00C06A2E">
              <w:rPr>
                <w:szCs w:val="24"/>
              </w:rPr>
              <w:t>Enhanced</w:t>
            </w:r>
          </w:p>
        </w:tc>
        <w:tc>
          <w:tcPr>
            <w:tcW w:w="1403" w:type="dxa"/>
            <w:shd w:val="clear" w:color="auto" w:fill="F7CAAC" w:themeFill="accent2" w:themeFillTint="66"/>
            <w:vAlign w:val="center"/>
          </w:tcPr>
          <w:p w14:paraId="20393E69" w14:textId="77777777" w:rsidR="00C06A2E" w:rsidRPr="00C06A2E" w:rsidRDefault="00C06A2E" w:rsidP="00C06A2E">
            <w:pPr>
              <w:spacing w:before="120" w:after="120"/>
              <w:rPr>
                <w:sz w:val="22"/>
                <w:szCs w:val="22"/>
              </w:rPr>
            </w:pPr>
            <w:r w:rsidRPr="00C06A2E">
              <w:rPr>
                <w:sz w:val="22"/>
                <w:szCs w:val="22"/>
              </w:rPr>
              <w:t>Detailed ground</w:t>
            </w:r>
          </w:p>
        </w:tc>
        <w:tc>
          <w:tcPr>
            <w:tcW w:w="1719" w:type="dxa"/>
            <w:vMerge w:val="restart"/>
            <w:shd w:val="clear" w:color="auto" w:fill="F7CAAC" w:themeFill="accent2" w:themeFillTint="66"/>
            <w:vAlign w:val="center"/>
          </w:tcPr>
          <w:p w14:paraId="4F1C079A" w14:textId="77777777" w:rsidR="00C06A2E" w:rsidRPr="00C06A2E" w:rsidRDefault="00C06A2E" w:rsidP="00C06A2E">
            <w:pPr>
              <w:spacing w:before="120" w:after="120"/>
              <w:rPr>
                <w:szCs w:val="24"/>
              </w:rPr>
            </w:pPr>
            <w:r w:rsidRPr="00C06A2E">
              <w:rPr>
                <w:szCs w:val="24"/>
              </w:rPr>
              <w:t>Enhanced</w:t>
            </w:r>
          </w:p>
        </w:tc>
        <w:tc>
          <w:tcPr>
            <w:tcW w:w="1887" w:type="dxa"/>
            <w:vMerge/>
            <w:shd w:val="clear" w:color="auto" w:fill="F7CAAC" w:themeFill="accent2" w:themeFillTint="66"/>
            <w:vAlign w:val="center"/>
          </w:tcPr>
          <w:p w14:paraId="015C8766" w14:textId="77777777" w:rsidR="00C06A2E" w:rsidRPr="00C06A2E" w:rsidRDefault="00C06A2E" w:rsidP="00C06A2E">
            <w:pPr>
              <w:spacing w:before="120" w:after="120"/>
              <w:rPr>
                <w:sz w:val="28"/>
                <w:szCs w:val="28"/>
              </w:rPr>
            </w:pPr>
          </w:p>
        </w:tc>
      </w:tr>
      <w:tr w:rsidR="00C06A2E" w:rsidRPr="00C06A2E" w14:paraId="385D8C5B" w14:textId="77777777" w:rsidTr="00641B2A">
        <w:trPr>
          <w:trHeight w:val="355"/>
          <w:jc w:val="center"/>
        </w:trPr>
        <w:tc>
          <w:tcPr>
            <w:tcW w:w="1887" w:type="dxa"/>
            <w:vMerge/>
            <w:shd w:val="clear" w:color="auto" w:fill="D9E2F3" w:themeFill="accent1" w:themeFillTint="33"/>
            <w:vAlign w:val="center"/>
          </w:tcPr>
          <w:p w14:paraId="3735705F" w14:textId="77777777" w:rsidR="00C06A2E" w:rsidRPr="00C06A2E" w:rsidRDefault="00C06A2E" w:rsidP="00C06A2E">
            <w:pPr>
              <w:spacing w:before="120" w:after="120"/>
              <w:rPr>
                <w:sz w:val="28"/>
                <w:szCs w:val="28"/>
              </w:rPr>
            </w:pPr>
          </w:p>
        </w:tc>
        <w:tc>
          <w:tcPr>
            <w:tcW w:w="1719" w:type="dxa"/>
            <w:vMerge/>
            <w:shd w:val="clear" w:color="auto" w:fill="D9E2F3" w:themeFill="accent1" w:themeFillTint="33"/>
            <w:vAlign w:val="center"/>
          </w:tcPr>
          <w:p w14:paraId="1824C288" w14:textId="77777777" w:rsidR="00C06A2E" w:rsidRPr="00C06A2E" w:rsidRDefault="00C06A2E" w:rsidP="00C06A2E">
            <w:pPr>
              <w:spacing w:before="120" w:after="120"/>
              <w:rPr>
                <w:szCs w:val="24"/>
              </w:rPr>
            </w:pPr>
          </w:p>
        </w:tc>
        <w:tc>
          <w:tcPr>
            <w:tcW w:w="1403" w:type="dxa"/>
            <w:shd w:val="clear" w:color="auto" w:fill="F7CAAC" w:themeFill="accent2" w:themeFillTint="66"/>
            <w:vAlign w:val="center"/>
          </w:tcPr>
          <w:p w14:paraId="5547A2F6" w14:textId="77777777" w:rsidR="00C06A2E" w:rsidRPr="00C06A2E" w:rsidRDefault="00C06A2E" w:rsidP="00C06A2E">
            <w:pPr>
              <w:spacing w:before="120" w:after="120"/>
              <w:rPr>
                <w:sz w:val="22"/>
                <w:szCs w:val="22"/>
              </w:rPr>
            </w:pPr>
            <w:r w:rsidRPr="00C06A2E">
              <w:rPr>
                <w:sz w:val="22"/>
                <w:szCs w:val="22"/>
              </w:rPr>
              <w:t>Aerial</w:t>
            </w:r>
          </w:p>
        </w:tc>
        <w:tc>
          <w:tcPr>
            <w:tcW w:w="1719" w:type="dxa"/>
            <w:vMerge/>
            <w:shd w:val="clear" w:color="auto" w:fill="F7CAAC" w:themeFill="accent2" w:themeFillTint="66"/>
            <w:vAlign w:val="center"/>
          </w:tcPr>
          <w:p w14:paraId="3843A31D" w14:textId="77777777" w:rsidR="00C06A2E" w:rsidRPr="00C06A2E" w:rsidRDefault="00C06A2E" w:rsidP="00C06A2E">
            <w:pPr>
              <w:spacing w:before="120" w:after="120"/>
              <w:rPr>
                <w:szCs w:val="24"/>
              </w:rPr>
            </w:pPr>
          </w:p>
        </w:tc>
        <w:tc>
          <w:tcPr>
            <w:tcW w:w="1887" w:type="dxa"/>
            <w:vMerge/>
            <w:shd w:val="clear" w:color="auto" w:fill="F7CAAC" w:themeFill="accent2" w:themeFillTint="66"/>
            <w:vAlign w:val="center"/>
          </w:tcPr>
          <w:p w14:paraId="15D57105" w14:textId="77777777" w:rsidR="00C06A2E" w:rsidRPr="00C06A2E" w:rsidRDefault="00C06A2E" w:rsidP="00C06A2E">
            <w:pPr>
              <w:spacing w:before="120" w:after="120"/>
              <w:rPr>
                <w:sz w:val="28"/>
                <w:szCs w:val="28"/>
              </w:rPr>
            </w:pPr>
          </w:p>
        </w:tc>
      </w:tr>
      <w:tr w:rsidR="00C06A2E" w:rsidRPr="00C06A2E" w14:paraId="7ECDF8D7" w14:textId="77777777" w:rsidTr="00641B2A">
        <w:trPr>
          <w:trHeight w:val="439"/>
          <w:jc w:val="center"/>
        </w:trPr>
        <w:tc>
          <w:tcPr>
            <w:tcW w:w="1887" w:type="dxa"/>
            <w:vMerge w:val="restart"/>
            <w:shd w:val="clear" w:color="auto" w:fill="D9E2F3" w:themeFill="accent1" w:themeFillTint="33"/>
            <w:vAlign w:val="center"/>
          </w:tcPr>
          <w:p w14:paraId="77DE5A18" w14:textId="77777777" w:rsidR="00C06A2E" w:rsidRPr="00C06A2E" w:rsidRDefault="00C06A2E" w:rsidP="00C06A2E">
            <w:pPr>
              <w:spacing w:before="120" w:after="120"/>
              <w:rPr>
                <w:sz w:val="28"/>
                <w:szCs w:val="28"/>
              </w:rPr>
            </w:pPr>
            <w:r w:rsidRPr="00C06A2E">
              <w:rPr>
                <w:sz w:val="28"/>
                <w:szCs w:val="28"/>
              </w:rPr>
              <w:t>Asset Inspections – Transmission</w:t>
            </w:r>
          </w:p>
        </w:tc>
        <w:tc>
          <w:tcPr>
            <w:tcW w:w="1719" w:type="dxa"/>
            <w:shd w:val="clear" w:color="auto" w:fill="D9E2F3" w:themeFill="accent1" w:themeFillTint="33"/>
            <w:vAlign w:val="center"/>
          </w:tcPr>
          <w:p w14:paraId="28333F29" w14:textId="77777777" w:rsidR="00C06A2E" w:rsidRPr="00C06A2E" w:rsidRDefault="00C06A2E" w:rsidP="00C06A2E">
            <w:pPr>
              <w:spacing w:before="120" w:after="120"/>
              <w:rPr>
                <w:szCs w:val="24"/>
              </w:rPr>
            </w:pPr>
            <w:r w:rsidRPr="00C06A2E">
              <w:rPr>
                <w:szCs w:val="24"/>
              </w:rPr>
              <w:t>Compliance</w:t>
            </w:r>
          </w:p>
        </w:tc>
        <w:tc>
          <w:tcPr>
            <w:tcW w:w="1403" w:type="dxa"/>
            <w:shd w:val="clear" w:color="auto" w:fill="F7CAAC" w:themeFill="accent2" w:themeFillTint="66"/>
            <w:vAlign w:val="center"/>
          </w:tcPr>
          <w:p w14:paraId="510AC5DC" w14:textId="77777777" w:rsidR="00C06A2E" w:rsidRPr="00C06A2E" w:rsidRDefault="00C06A2E" w:rsidP="00C06A2E">
            <w:pPr>
              <w:spacing w:before="120" w:after="120"/>
              <w:rPr>
                <w:sz w:val="22"/>
                <w:szCs w:val="22"/>
              </w:rPr>
            </w:pPr>
            <w:r w:rsidRPr="00C06A2E">
              <w:rPr>
                <w:sz w:val="22"/>
                <w:szCs w:val="22"/>
              </w:rPr>
              <w:t>Patrol</w:t>
            </w:r>
          </w:p>
        </w:tc>
        <w:tc>
          <w:tcPr>
            <w:tcW w:w="1719" w:type="dxa"/>
            <w:shd w:val="clear" w:color="auto" w:fill="F7CAAC" w:themeFill="accent2" w:themeFillTint="66"/>
            <w:vAlign w:val="center"/>
          </w:tcPr>
          <w:p w14:paraId="25556B14" w14:textId="77777777" w:rsidR="00C06A2E" w:rsidRPr="00C06A2E" w:rsidRDefault="00C06A2E" w:rsidP="00C06A2E">
            <w:pPr>
              <w:spacing w:before="120" w:after="120"/>
              <w:rPr>
                <w:szCs w:val="24"/>
              </w:rPr>
            </w:pPr>
            <w:r w:rsidRPr="00C06A2E">
              <w:rPr>
                <w:szCs w:val="24"/>
              </w:rPr>
              <w:t>Compliance</w:t>
            </w:r>
          </w:p>
        </w:tc>
        <w:tc>
          <w:tcPr>
            <w:tcW w:w="1887" w:type="dxa"/>
            <w:vMerge w:val="restart"/>
            <w:shd w:val="clear" w:color="auto" w:fill="F7CAAC" w:themeFill="accent2" w:themeFillTint="66"/>
            <w:vAlign w:val="center"/>
          </w:tcPr>
          <w:p w14:paraId="58F9B628" w14:textId="77777777" w:rsidR="00C06A2E" w:rsidRPr="00C06A2E" w:rsidRDefault="00C06A2E" w:rsidP="00C06A2E">
            <w:pPr>
              <w:spacing w:before="120" w:after="120"/>
              <w:rPr>
                <w:sz w:val="28"/>
                <w:szCs w:val="28"/>
              </w:rPr>
            </w:pPr>
            <w:r w:rsidRPr="00C06A2E">
              <w:rPr>
                <w:sz w:val="28"/>
                <w:szCs w:val="28"/>
              </w:rPr>
              <w:t>Asset Inspections – Transmission</w:t>
            </w:r>
          </w:p>
        </w:tc>
      </w:tr>
      <w:tr w:rsidR="00C06A2E" w:rsidRPr="00C06A2E" w14:paraId="7DC5E3FC" w14:textId="77777777" w:rsidTr="00641B2A">
        <w:trPr>
          <w:trHeight w:val="237"/>
          <w:jc w:val="center"/>
        </w:trPr>
        <w:tc>
          <w:tcPr>
            <w:tcW w:w="1887" w:type="dxa"/>
            <w:vMerge/>
            <w:shd w:val="clear" w:color="auto" w:fill="D9E2F3" w:themeFill="accent1" w:themeFillTint="33"/>
            <w:vAlign w:val="center"/>
          </w:tcPr>
          <w:p w14:paraId="3ED047EB" w14:textId="77777777" w:rsidR="00C06A2E" w:rsidRPr="00C06A2E" w:rsidRDefault="00C06A2E" w:rsidP="00C06A2E">
            <w:pPr>
              <w:spacing w:before="120" w:after="120"/>
              <w:rPr>
                <w:sz w:val="22"/>
                <w:szCs w:val="22"/>
              </w:rPr>
            </w:pPr>
          </w:p>
        </w:tc>
        <w:tc>
          <w:tcPr>
            <w:tcW w:w="1719" w:type="dxa"/>
            <w:vMerge w:val="restart"/>
            <w:shd w:val="clear" w:color="auto" w:fill="D9E2F3" w:themeFill="accent1" w:themeFillTint="33"/>
            <w:vAlign w:val="center"/>
          </w:tcPr>
          <w:p w14:paraId="5763C6EE" w14:textId="77777777" w:rsidR="00C06A2E" w:rsidRPr="00C06A2E" w:rsidRDefault="00C06A2E" w:rsidP="00C06A2E">
            <w:pPr>
              <w:spacing w:before="120" w:after="120"/>
              <w:rPr>
                <w:szCs w:val="24"/>
              </w:rPr>
            </w:pPr>
            <w:r w:rsidRPr="00C06A2E">
              <w:rPr>
                <w:szCs w:val="24"/>
              </w:rPr>
              <w:t>Enhanced</w:t>
            </w:r>
          </w:p>
        </w:tc>
        <w:tc>
          <w:tcPr>
            <w:tcW w:w="1403" w:type="dxa"/>
            <w:shd w:val="clear" w:color="auto" w:fill="F7CAAC" w:themeFill="accent2" w:themeFillTint="66"/>
            <w:vAlign w:val="center"/>
          </w:tcPr>
          <w:p w14:paraId="29D37A05" w14:textId="77777777" w:rsidR="00C06A2E" w:rsidRPr="00C06A2E" w:rsidRDefault="00C06A2E" w:rsidP="00C06A2E">
            <w:pPr>
              <w:spacing w:before="120" w:after="120"/>
              <w:rPr>
                <w:sz w:val="22"/>
                <w:szCs w:val="22"/>
              </w:rPr>
            </w:pPr>
            <w:r w:rsidRPr="00C06A2E">
              <w:rPr>
                <w:sz w:val="22"/>
                <w:szCs w:val="22"/>
              </w:rPr>
              <w:t>Detailed ground</w:t>
            </w:r>
          </w:p>
        </w:tc>
        <w:tc>
          <w:tcPr>
            <w:tcW w:w="1719" w:type="dxa"/>
            <w:vMerge w:val="restart"/>
            <w:shd w:val="clear" w:color="auto" w:fill="F7CAAC" w:themeFill="accent2" w:themeFillTint="66"/>
            <w:vAlign w:val="center"/>
          </w:tcPr>
          <w:p w14:paraId="30FCD853" w14:textId="77777777" w:rsidR="00C06A2E" w:rsidRPr="00C06A2E" w:rsidRDefault="00C06A2E" w:rsidP="00C06A2E">
            <w:pPr>
              <w:spacing w:before="120" w:after="120"/>
              <w:rPr>
                <w:szCs w:val="24"/>
              </w:rPr>
            </w:pPr>
            <w:r w:rsidRPr="00C06A2E">
              <w:rPr>
                <w:szCs w:val="24"/>
              </w:rPr>
              <w:t>Enhanced</w:t>
            </w:r>
          </w:p>
        </w:tc>
        <w:tc>
          <w:tcPr>
            <w:tcW w:w="1887" w:type="dxa"/>
            <w:vMerge/>
            <w:shd w:val="clear" w:color="auto" w:fill="F7CAAC" w:themeFill="accent2" w:themeFillTint="66"/>
            <w:vAlign w:val="center"/>
          </w:tcPr>
          <w:p w14:paraId="6F03BF11" w14:textId="77777777" w:rsidR="00C06A2E" w:rsidRPr="00C06A2E" w:rsidRDefault="00C06A2E" w:rsidP="00C06A2E">
            <w:pPr>
              <w:spacing w:before="120" w:after="120"/>
              <w:rPr>
                <w:sz w:val="22"/>
                <w:szCs w:val="22"/>
              </w:rPr>
            </w:pPr>
          </w:p>
        </w:tc>
      </w:tr>
      <w:tr w:rsidR="00C06A2E" w:rsidRPr="00C06A2E" w14:paraId="2AC03B85" w14:textId="77777777" w:rsidTr="00641B2A">
        <w:trPr>
          <w:trHeight w:val="237"/>
          <w:jc w:val="center"/>
        </w:trPr>
        <w:tc>
          <w:tcPr>
            <w:tcW w:w="1887" w:type="dxa"/>
            <w:vMerge/>
            <w:shd w:val="clear" w:color="auto" w:fill="D9E2F3" w:themeFill="accent1" w:themeFillTint="33"/>
            <w:vAlign w:val="center"/>
          </w:tcPr>
          <w:p w14:paraId="2BC841A5" w14:textId="77777777" w:rsidR="00C06A2E" w:rsidRPr="00C06A2E" w:rsidRDefault="00C06A2E" w:rsidP="00C06A2E">
            <w:pPr>
              <w:spacing w:before="120" w:after="120"/>
              <w:rPr>
                <w:sz w:val="22"/>
                <w:szCs w:val="22"/>
              </w:rPr>
            </w:pPr>
          </w:p>
        </w:tc>
        <w:tc>
          <w:tcPr>
            <w:tcW w:w="1719" w:type="dxa"/>
            <w:vMerge/>
            <w:shd w:val="clear" w:color="auto" w:fill="D9E2F3" w:themeFill="accent1" w:themeFillTint="33"/>
            <w:vAlign w:val="center"/>
          </w:tcPr>
          <w:p w14:paraId="3C8B1D99" w14:textId="77777777" w:rsidR="00C06A2E" w:rsidRPr="00C06A2E" w:rsidRDefault="00C06A2E" w:rsidP="00C06A2E">
            <w:pPr>
              <w:spacing w:before="120" w:after="120"/>
              <w:rPr>
                <w:sz w:val="22"/>
                <w:szCs w:val="22"/>
              </w:rPr>
            </w:pPr>
          </w:p>
        </w:tc>
        <w:tc>
          <w:tcPr>
            <w:tcW w:w="1403" w:type="dxa"/>
            <w:shd w:val="clear" w:color="auto" w:fill="F7CAAC" w:themeFill="accent2" w:themeFillTint="66"/>
            <w:vAlign w:val="center"/>
          </w:tcPr>
          <w:p w14:paraId="3FFB5B70" w14:textId="77777777" w:rsidR="00C06A2E" w:rsidRPr="00C06A2E" w:rsidRDefault="00C06A2E" w:rsidP="00C06A2E">
            <w:pPr>
              <w:spacing w:before="120" w:after="120"/>
              <w:rPr>
                <w:sz w:val="22"/>
                <w:szCs w:val="22"/>
              </w:rPr>
            </w:pPr>
            <w:r w:rsidRPr="00C06A2E">
              <w:rPr>
                <w:sz w:val="22"/>
                <w:szCs w:val="22"/>
              </w:rPr>
              <w:t>Climbing</w:t>
            </w:r>
          </w:p>
        </w:tc>
        <w:tc>
          <w:tcPr>
            <w:tcW w:w="1719" w:type="dxa"/>
            <w:vMerge/>
            <w:shd w:val="clear" w:color="auto" w:fill="F7CAAC" w:themeFill="accent2" w:themeFillTint="66"/>
            <w:vAlign w:val="center"/>
          </w:tcPr>
          <w:p w14:paraId="28EF9DE6" w14:textId="77777777" w:rsidR="00C06A2E" w:rsidRPr="00C06A2E" w:rsidRDefault="00C06A2E" w:rsidP="00C06A2E">
            <w:pPr>
              <w:spacing w:before="120" w:after="120"/>
              <w:rPr>
                <w:sz w:val="22"/>
                <w:szCs w:val="22"/>
              </w:rPr>
            </w:pPr>
          </w:p>
        </w:tc>
        <w:tc>
          <w:tcPr>
            <w:tcW w:w="1887" w:type="dxa"/>
            <w:vMerge/>
            <w:shd w:val="clear" w:color="auto" w:fill="F7CAAC" w:themeFill="accent2" w:themeFillTint="66"/>
            <w:vAlign w:val="center"/>
          </w:tcPr>
          <w:p w14:paraId="0B893B9A" w14:textId="77777777" w:rsidR="00C06A2E" w:rsidRPr="00C06A2E" w:rsidRDefault="00C06A2E" w:rsidP="00C06A2E">
            <w:pPr>
              <w:spacing w:before="120" w:after="120"/>
              <w:rPr>
                <w:sz w:val="22"/>
                <w:szCs w:val="22"/>
              </w:rPr>
            </w:pPr>
          </w:p>
        </w:tc>
      </w:tr>
      <w:tr w:rsidR="00C06A2E" w:rsidRPr="00C06A2E" w14:paraId="0C6F234D" w14:textId="77777777" w:rsidTr="00641B2A">
        <w:trPr>
          <w:trHeight w:val="237"/>
          <w:jc w:val="center"/>
        </w:trPr>
        <w:tc>
          <w:tcPr>
            <w:tcW w:w="1887" w:type="dxa"/>
            <w:vMerge/>
            <w:shd w:val="clear" w:color="auto" w:fill="D9E2F3" w:themeFill="accent1" w:themeFillTint="33"/>
            <w:vAlign w:val="center"/>
          </w:tcPr>
          <w:p w14:paraId="2BB8161D" w14:textId="77777777" w:rsidR="00C06A2E" w:rsidRPr="00C06A2E" w:rsidRDefault="00C06A2E" w:rsidP="00C06A2E">
            <w:pPr>
              <w:spacing w:before="120" w:after="120"/>
              <w:rPr>
                <w:sz w:val="22"/>
                <w:szCs w:val="22"/>
              </w:rPr>
            </w:pPr>
          </w:p>
        </w:tc>
        <w:tc>
          <w:tcPr>
            <w:tcW w:w="1719" w:type="dxa"/>
            <w:vMerge/>
            <w:shd w:val="clear" w:color="auto" w:fill="D9E2F3" w:themeFill="accent1" w:themeFillTint="33"/>
            <w:vAlign w:val="center"/>
          </w:tcPr>
          <w:p w14:paraId="5035243C" w14:textId="77777777" w:rsidR="00C06A2E" w:rsidRPr="00C06A2E" w:rsidRDefault="00C06A2E" w:rsidP="00C06A2E">
            <w:pPr>
              <w:spacing w:before="120" w:after="120"/>
              <w:rPr>
                <w:sz w:val="22"/>
                <w:szCs w:val="22"/>
              </w:rPr>
            </w:pPr>
          </w:p>
        </w:tc>
        <w:tc>
          <w:tcPr>
            <w:tcW w:w="1403" w:type="dxa"/>
            <w:shd w:val="clear" w:color="auto" w:fill="F7CAAC" w:themeFill="accent2" w:themeFillTint="66"/>
            <w:vAlign w:val="center"/>
          </w:tcPr>
          <w:p w14:paraId="21BBF980" w14:textId="77777777" w:rsidR="00C06A2E" w:rsidRPr="00C06A2E" w:rsidRDefault="00C06A2E" w:rsidP="00C06A2E">
            <w:pPr>
              <w:spacing w:before="120" w:after="120"/>
              <w:rPr>
                <w:sz w:val="22"/>
                <w:szCs w:val="22"/>
              </w:rPr>
            </w:pPr>
            <w:r w:rsidRPr="00C06A2E">
              <w:rPr>
                <w:sz w:val="22"/>
                <w:szCs w:val="22"/>
              </w:rPr>
              <w:t>Aerial</w:t>
            </w:r>
          </w:p>
        </w:tc>
        <w:tc>
          <w:tcPr>
            <w:tcW w:w="1719" w:type="dxa"/>
            <w:vMerge/>
            <w:shd w:val="clear" w:color="auto" w:fill="F7CAAC" w:themeFill="accent2" w:themeFillTint="66"/>
            <w:vAlign w:val="center"/>
          </w:tcPr>
          <w:p w14:paraId="435F65F6" w14:textId="77777777" w:rsidR="00C06A2E" w:rsidRPr="00C06A2E" w:rsidRDefault="00C06A2E" w:rsidP="00C06A2E">
            <w:pPr>
              <w:spacing w:before="120" w:after="120"/>
              <w:rPr>
                <w:sz w:val="22"/>
                <w:szCs w:val="22"/>
              </w:rPr>
            </w:pPr>
          </w:p>
        </w:tc>
        <w:tc>
          <w:tcPr>
            <w:tcW w:w="1887" w:type="dxa"/>
            <w:vMerge/>
            <w:shd w:val="clear" w:color="auto" w:fill="F7CAAC" w:themeFill="accent2" w:themeFillTint="66"/>
            <w:vAlign w:val="center"/>
          </w:tcPr>
          <w:p w14:paraId="3DD76CA1" w14:textId="77777777" w:rsidR="00C06A2E" w:rsidRPr="00C06A2E" w:rsidRDefault="00C06A2E" w:rsidP="00C06A2E">
            <w:pPr>
              <w:spacing w:before="120" w:after="120"/>
              <w:rPr>
                <w:sz w:val="22"/>
                <w:szCs w:val="22"/>
              </w:rPr>
            </w:pPr>
          </w:p>
        </w:tc>
      </w:tr>
      <w:bookmarkEnd w:id="53"/>
    </w:tbl>
    <w:p w14:paraId="1EA9E70A" w14:textId="77777777" w:rsidR="00C06A2E" w:rsidRPr="00C06A2E" w:rsidRDefault="00C06A2E" w:rsidP="00C06A2E">
      <w:pPr>
        <w:keepLines/>
        <w:tabs>
          <w:tab w:val="clear" w:pos="5040"/>
        </w:tabs>
        <w:rPr>
          <w:color w:val="000000" w:themeColor="text1"/>
          <w:sz w:val="22"/>
          <w:szCs w:val="22"/>
        </w:rPr>
      </w:pPr>
    </w:p>
    <w:p w14:paraId="77112898" w14:textId="77777777" w:rsidR="00C06A2E" w:rsidRPr="00C06A2E" w:rsidRDefault="00C06A2E" w:rsidP="00C06A2E">
      <w:pPr>
        <w:keepLines/>
        <w:tabs>
          <w:tab w:val="clear" w:pos="5040"/>
        </w:tabs>
        <w:rPr>
          <w:color w:val="000000" w:themeColor="text1"/>
          <w:sz w:val="22"/>
          <w:szCs w:val="22"/>
        </w:rPr>
      </w:pPr>
    </w:p>
    <w:tbl>
      <w:tblPr>
        <w:tblStyle w:val="TableGrid"/>
        <w:tblW w:w="0" w:type="auto"/>
        <w:jc w:val="center"/>
        <w:tblLook w:val="04A0" w:firstRow="1" w:lastRow="0" w:firstColumn="1" w:lastColumn="0" w:noHBand="0" w:noVBand="1"/>
      </w:tblPr>
      <w:tblGrid>
        <w:gridCol w:w="1844"/>
        <w:gridCol w:w="1860"/>
        <w:gridCol w:w="1376"/>
        <w:gridCol w:w="1353"/>
        <w:gridCol w:w="1376"/>
        <w:gridCol w:w="1366"/>
      </w:tblGrid>
      <w:tr w:rsidR="00C06A2E" w:rsidRPr="00C06A2E" w14:paraId="46E5C5B3" w14:textId="77777777" w:rsidTr="00641B2A">
        <w:trPr>
          <w:trHeight w:val="439"/>
          <w:jc w:val="center"/>
        </w:trPr>
        <w:tc>
          <w:tcPr>
            <w:tcW w:w="9175" w:type="dxa"/>
            <w:gridSpan w:val="6"/>
            <w:shd w:val="clear" w:color="auto" w:fill="FFE599" w:themeFill="accent4" w:themeFillTint="66"/>
            <w:vAlign w:val="center"/>
          </w:tcPr>
          <w:p w14:paraId="684F57BC" w14:textId="77777777" w:rsidR="00C06A2E" w:rsidRPr="00C06A2E" w:rsidRDefault="00C06A2E" w:rsidP="00C06A2E">
            <w:pPr>
              <w:spacing w:before="120" w:after="120"/>
              <w:jc w:val="center"/>
              <w:rPr>
                <w:b/>
                <w:bCs/>
                <w:sz w:val="32"/>
                <w:szCs w:val="32"/>
              </w:rPr>
            </w:pPr>
            <w:r w:rsidRPr="00C06A2E">
              <w:rPr>
                <w:b/>
                <w:bCs/>
                <w:sz w:val="32"/>
                <w:szCs w:val="32"/>
              </w:rPr>
              <w:t>Example 2: Poor mapping between proceedings</w:t>
            </w:r>
          </w:p>
        </w:tc>
      </w:tr>
      <w:tr w:rsidR="00C06A2E" w:rsidRPr="00C06A2E" w14:paraId="5BDE9C4F" w14:textId="77777777" w:rsidTr="00641B2A">
        <w:trPr>
          <w:trHeight w:val="424"/>
          <w:jc w:val="center"/>
        </w:trPr>
        <w:tc>
          <w:tcPr>
            <w:tcW w:w="3704" w:type="dxa"/>
            <w:gridSpan w:val="2"/>
            <w:shd w:val="clear" w:color="auto" w:fill="D9E2F3" w:themeFill="accent1" w:themeFillTint="33"/>
            <w:vAlign w:val="center"/>
          </w:tcPr>
          <w:p w14:paraId="77DE4E46" w14:textId="77777777" w:rsidR="00C06A2E" w:rsidRPr="00C06A2E" w:rsidRDefault="00C06A2E" w:rsidP="00C06A2E">
            <w:pPr>
              <w:spacing w:before="120" w:after="120"/>
              <w:jc w:val="center"/>
              <w:rPr>
                <w:b/>
                <w:bCs/>
                <w:sz w:val="28"/>
                <w:szCs w:val="28"/>
              </w:rPr>
            </w:pPr>
            <w:r w:rsidRPr="00C06A2E">
              <w:rPr>
                <w:b/>
                <w:bCs/>
                <w:sz w:val="28"/>
                <w:szCs w:val="28"/>
              </w:rPr>
              <w:t>GRC program definitions</w:t>
            </w:r>
          </w:p>
        </w:tc>
        <w:tc>
          <w:tcPr>
            <w:tcW w:w="5471" w:type="dxa"/>
            <w:gridSpan w:val="4"/>
            <w:shd w:val="clear" w:color="auto" w:fill="F7CAAC" w:themeFill="accent2" w:themeFillTint="66"/>
            <w:vAlign w:val="center"/>
          </w:tcPr>
          <w:p w14:paraId="266DC300" w14:textId="77777777" w:rsidR="00C06A2E" w:rsidRPr="00C06A2E" w:rsidRDefault="00C06A2E" w:rsidP="00C06A2E">
            <w:pPr>
              <w:spacing w:before="120" w:after="120"/>
              <w:jc w:val="center"/>
              <w:rPr>
                <w:b/>
                <w:bCs/>
                <w:sz w:val="28"/>
                <w:szCs w:val="28"/>
              </w:rPr>
            </w:pPr>
            <w:r w:rsidRPr="00C06A2E">
              <w:rPr>
                <w:b/>
                <w:bCs/>
                <w:sz w:val="28"/>
                <w:szCs w:val="28"/>
              </w:rPr>
              <w:t>WMP initiative definitions</w:t>
            </w:r>
          </w:p>
        </w:tc>
      </w:tr>
      <w:tr w:rsidR="00C06A2E" w:rsidRPr="00C06A2E" w14:paraId="4017B36D" w14:textId="77777777" w:rsidTr="00641B2A">
        <w:trPr>
          <w:trHeight w:val="439"/>
          <w:jc w:val="center"/>
        </w:trPr>
        <w:tc>
          <w:tcPr>
            <w:tcW w:w="1844" w:type="dxa"/>
            <w:vMerge w:val="restart"/>
            <w:shd w:val="clear" w:color="auto" w:fill="D9E2F3" w:themeFill="accent1" w:themeFillTint="33"/>
            <w:vAlign w:val="center"/>
          </w:tcPr>
          <w:p w14:paraId="061F5D37" w14:textId="77777777" w:rsidR="00C06A2E" w:rsidRPr="00C06A2E" w:rsidRDefault="00C06A2E" w:rsidP="00C06A2E">
            <w:pPr>
              <w:spacing w:before="120" w:after="120"/>
              <w:rPr>
                <w:sz w:val="28"/>
                <w:szCs w:val="28"/>
              </w:rPr>
            </w:pPr>
            <w:r w:rsidRPr="00C06A2E">
              <w:rPr>
                <w:sz w:val="28"/>
                <w:szCs w:val="28"/>
              </w:rPr>
              <w:t>Asset Inspections – Compliance</w:t>
            </w:r>
          </w:p>
        </w:tc>
        <w:tc>
          <w:tcPr>
            <w:tcW w:w="1860" w:type="dxa"/>
            <w:shd w:val="clear" w:color="auto" w:fill="D9E2F3" w:themeFill="accent1" w:themeFillTint="33"/>
            <w:vAlign w:val="center"/>
          </w:tcPr>
          <w:p w14:paraId="7C47CAA3" w14:textId="77777777" w:rsidR="00C06A2E" w:rsidRPr="00C06A2E" w:rsidRDefault="00C06A2E" w:rsidP="00C06A2E">
            <w:pPr>
              <w:spacing w:before="120" w:after="120"/>
              <w:rPr>
                <w:szCs w:val="24"/>
              </w:rPr>
            </w:pPr>
            <w:r w:rsidRPr="00C06A2E">
              <w:rPr>
                <w:szCs w:val="24"/>
              </w:rPr>
              <w:t>Distribution</w:t>
            </w:r>
          </w:p>
        </w:tc>
        <w:tc>
          <w:tcPr>
            <w:tcW w:w="2729" w:type="dxa"/>
            <w:gridSpan w:val="2"/>
            <w:shd w:val="clear" w:color="auto" w:fill="F7CAAC" w:themeFill="accent2" w:themeFillTint="66"/>
            <w:vAlign w:val="center"/>
          </w:tcPr>
          <w:p w14:paraId="6935D03D" w14:textId="77777777" w:rsidR="00C06A2E" w:rsidRPr="00C06A2E" w:rsidRDefault="00C06A2E" w:rsidP="00C06A2E">
            <w:pPr>
              <w:spacing w:before="120" w:after="120"/>
              <w:rPr>
                <w:sz w:val="28"/>
                <w:szCs w:val="28"/>
              </w:rPr>
            </w:pPr>
            <w:r w:rsidRPr="00C06A2E">
              <w:rPr>
                <w:sz w:val="28"/>
                <w:szCs w:val="28"/>
              </w:rPr>
              <w:t>Asset Inspections – Distribution</w:t>
            </w:r>
          </w:p>
        </w:tc>
        <w:tc>
          <w:tcPr>
            <w:tcW w:w="2742" w:type="dxa"/>
            <w:gridSpan w:val="2"/>
            <w:shd w:val="clear" w:color="auto" w:fill="F7CAAC" w:themeFill="accent2" w:themeFillTint="66"/>
            <w:vAlign w:val="center"/>
          </w:tcPr>
          <w:p w14:paraId="5082AC45" w14:textId="77777777" w:rsidR="00C06A2E" w:rsidRPr="00C06A2E" w:rsidRDefault="00C06A2E" w:rsidP="00C06A2E">
            <w:pPr>
              <w:spacing w:before="120" w:after="120"/>
              <w:rPr>
                <w:sz w:val="28"/>
                <w:szCs w:val="28"/>
              </w:rPr>
            </w:pPr>
            <w:r w:rsidRPr="00C06A2E">
              <w:rPr>
                <w:sz w:val="28"/>
                <w:szCs w:val="28"/>
              </w:rPr>
              <w:t>Asset Inspections – Transmission</w:t>
            </w:r>
          </w:p>
        </w:tc>
      </w:tr>
      <w:tr w:rsidR="00C06A2E" w:rsidRPr="00C06A2E" w14:paraId="0890B8C0" w14:textId="77777777" w:rsidTr="00641B2A">
        <w:trPr>
          <w:trHeight w:val="356"/>
          <w:jc w:val="center"/>
        </w:trPr>
        <w:tc>
          <w:tcPr>
            <w:tcW w:w="1844" w:type="dxa"/>
            <w:vMerge/>
            <w:shd w:val="clear" w:color="auto" w:fill="D9E2F3" w:themeFill="accent1" w:themeFillTint="33"/>
            <w:vAlign w:val="center"/>
          </w:tcPr>
          <w:p w14:paraId="684B26B3" w14:textId="77777777" w:rsidR="00C06A2E" w:rsidRPr="00C06A2E" w:rsidRDefault="00C06A2E" w:rsidP="00C06A2E">
            <w:pPr>
              <w:spacing w:before="120" w:after="120"/>
              <w:rPr>
                <w:sz w:val="28"/>
                <w:szCs w:val="28"/>
              </w:rPr>
            </w:pPr>
          </w:p>
        </w:tc>
        <w:tc>
          <w:tcPr>
            <w:tcW w:w="1860" w:type="dxa"/>
            <w:shd w:val="clear" w:color="auto" w:fill="D9E2F3" w:themeFill="accent1" w:themeFillTint="33"/>
            <w:vAlign w:val="center"/>
          </w:tcPr>
          <w:p w14:paraId="26189385" w14:textId="77777777" w:rsidR="00C06A2E" w:rsidRPr="00C06A2E" w:rsidRDefault="00C06A2E" w:rsidP="00C06A2E">
            <w:pPr>
              <w:spacing w:before="120" w:after="120"/>
              <w:rPr>
                <w:szCs w:val="24"/>
              </w:rPr>
            </w:pPr>
            <w:r w:rsidRPr="00C06A2E">
              <w:rPr>
                <w:szCs w:val="24"/>
              </w:rPr>
              <w:t>Transmission</w:t>
            </w:r>
          </w:p>
        </w:tc>
        <w:tc>
          <w:tcPr>
            <w:tcW w:w="1376" w:type="dxa"/>
            <w:shd w:val="clear" w:color="auto" w:fill="F7CAAC" w:themeFill="accent2" w:themeFillTint="66"/>
            <w:vAlign w:val="center"/>
          </w:tcPr>
          <w:p w14:paraId="17E01DC6" w14:textId="77777777" w:rsidR="00C06A2E" w:rsidRPr="00C06A2E" w:rsidRDefault="00C06A2E" w:rsidP="00C06A2E">
            <w:pPr>
              <w:spacing w:before="120" w:after="120"/>
              <w:rPr>
                <w:szCs w:val="24"/>
              </w:rPr>
            </w:pPr>
            <w:r w:rsidRPr="00C06A2E">
              <w:rPr>
                <w:szCs w:val="24"/>
              </w:rPr>
              <w:t>Compliance</w:t>
            </w:r>
          </w:p>
        </w:tc>
        <w:tc>
          <w:tcPr>
            <w:tcW w:w="1353" w:type="dxa"/>
            <w:shd w:val="clear" w:color="auto" w:fill="F7CAAC" w:themeFill="accent2" w:themeFillTint="66"/>
            <w:vAlign w:val="center"/>
          </w:tcPr>
          <w:p w14:paraId="0BE30136" w14:textId="77777777" w:rsidR="00C06A2E" w:rsidRPr="00C06A2E" w:rsidRDefault="00C06A2E" w:rsidP="00C06A2E">
            <w:pPr>
              <w:spacing w:before="120" w:after="120"/>
              <w:rPr>
                <w:szCs w:val="24"/>
              </w:rPr>
            </w:pPr>
            <w:r w:rsidRPr="00C06A2E">
              <w:rPr>
                <w:szCs w:val="24"/>
              </w:rPr>
              <w:t>Enhanced</w:t>
            </w:r>
          </w:p>
        </w:tc>
        <w:tc>
          <w:tcPr>
            <w:tcW w:w="1376" w:type="dxa"/>
            <w:shd w:val="clear" w:color="auto" w:fill="F7CAAC" w:themeFill="accent2" w:themeFillTint="66"/>
            <w:vAlign w:val="center"/>
          </w:tcPr>
          <w:p w14:paraId="1EB224A6" w14:textId="77777777" w:rsidR="00C06A2E" w:rsidRPr="00C06A2E" w:rsidRDefault="00C06A2E" w:rsidP="00C06A2E">
            <w:pPr>
              <w:spacing w:before="120" w:after="120"/>
              <w:rPr>
                <w:szCs w:val="24"/>
              </w:rPr>
            </w:pPr>
            <w:r w:rsidRPr="00C06A2E">
              <w:rPr>
                <w:szCs w:val="24"/>
              </w:rPr>
              <w:t>Compliance</w:t>
            </w:r>
          </w:p>
        </w:tc>
        <w:tc>
          <w:tcPr>
            <w:tcW w:w="1366" w:type="dxa"/>
            <w:shd w:val="clear" w:color="auto" w:fill="F7CAAC" w:themeFill="accent2" w:themeFillTint="66"/>
            <w:vAlign w:val="center"/>
          </w:tcPr>
          <w:p w14:paraId="3334B857" w14:textId="77777777" w:rsidR="00C06A2E" w:rsidRPr="00C06A2E" w:rsidRDefault="00C06A2E" w:rsidP="00C06A2E">
            <w:pPr>
              <w:spacing w:before="120" w:after="120"/>
              <w:rPr>
                <w:szCs w:val="24"/>
              </w:rPr>
            </w:pPr>
            <w:r w:rsidRPr="00C06A2E">
              <w:rPr>
                <w:szCs w:val="24"/>
              </w:rPr>
              <w:t>Enhanced</w:t>
            </w:r>
          </w:p>
        </w:tc>
      </w:tr>
      <w:tr w:rsidR="00C06A2E" w:rsidRPr="00C06A2E" w14:paraId="50CB215B" w14:textId="77777777" w:rsidTr="00641B2A">
        <w:trPr>
          <w:trHeight w:val="439"/>
          <w:jc w:val="center"/>
        </w:trPr>
        <w:tc>
          <w:tcPr>
            <w:tcW w:w="1844" w:type="dxa"/>
            <w:vMerge w:val="restart"/>
            <w:shd w:val="clear" w:color="auto" w:fill="D9E2F3" w:themeFill="accent1" w:themeFillTint="33"/>
            <w:vAlign w:val="center"/>
          </w:tcPr>
          <w:p w14:paraId="330C5ABE" w14:textId="77777777" w:rsidR="00C06A2E" w:rsidRPr="00C06A2E" w:rsidRDefault="00C06A2E" w:rsidP="00C06A2E">
            <w:pPr>
              <w:spacing w:before="120" w:after="120"/>
              <w:rPr>
                <w:sz w:val="28"/>
                <w:szCs w:val="28"/>
              </w:rPr>
            </w:pPr>
            <w:r w:rsidRPr="00C06A2E">
              <w:rPr>
                <w:sz w:val="28"/>
                <w:szCs w:val="28"/>
              </w:rPr>
              <w:t>Asset Inspections – Enhanced</w:t>
            </w:r>
          </w:p>
        </w:tc>
        <w:tc>
          <w:tcPr>
            <w:tcW w:w="1860" w:type="dxa"/>
            <w:shd w:val="clear" w:color="auto" w:fill="D9E2F3" w:themeFill="accent1" w:themeFillTint="33"/>
            <w:vAlign w:val="center"/>
          </w:tcPr>
          <w:p w14:paraId="7C01FF50" w14:textId="77777777" w:rsidR="00C06A2E" w:rsidRPr="00C06A2E" w:rsidRDefault="00C06A2E" w:rsidP="00C06A2E">
            <w:pPr>
              <w:spacing w:before="120" w:after="120"/>
              <w:rPr>
                <w:szCs w:val="24"/>
              </w:rPr>
            </w:pPr>
            <w:r w:rsidRPr="00C06A2E">
              <w:rPr>
                <w:szCs w:val="24"/>
              </w:rPr>
              <w:t>Distribution</w:t>
            </w:r>
          </w:p>
        </w:tc>
        <w:tc>
          <w:tcPr>
            <w:tcW w:w="1376" w:type="dxa"/>
            <w:vMerge w:val="restart"/>
            <w:shd w:val="clear" w:color="auto" w:fill="F7CAAC" w:themeFill="accent2" w:themeFillTint="66"/>
            <w:vAlign w:val="center"/>
          </w:tcPr>
          <w:p w14:paraId="73ACAD86" w14:textId="77777777" w:rsidR="00C06A2E" w:rsidRPr="00C06A2E" w:rsidRDefault="00C06A2E" w:rsidP="00C06A2E">
            <w:pPr>
              <w:spacing w:before="120" w:after="120"/>
              <w:rPr>
                <w:sz w:val="22"/>
                <w:szCs w:val="22"/>
              </w:rPr>
            </w:pPr>
            <w:r w:rsidRPr="00C06A2E">
              <w:rPr>
                <w:sz w:val="22"/>
                <w:szCs w:val="22"/>
              </w:rPr>
              <w:t>Patrol</w:t>
            </w:r>
          </w:p>
        </w:tc>
        <w:tc>
          <w:tcPr>
            <w:tcW w:w="1353" w:type="dxa"/>
            <w:vMerge w:val="restart"/>
            <w:shd w:val="clear" w:color="auto" w:fill="F7CAAC" w:themeFill="accent2" w:themeFillTint="66"/>
            <w:vAlign w:val="center"/>
          </w:tcPr>
          <w:p w14:paraId="4289EB7C" w14:textId="77777777" w:rsidR="00C06A2E" w:rsidRPr="00C06A2E" w:rsidRDefault="00C06A2E" w:rsidP="00C06A2E">
            <w:pPr>
              <w:numPr>
                <w:ilvl w:val="0"/>
                <w:numId w:val="47"/>
              </w:numPr>
              <w:tabs>
                <w:tab w:val="clear" w:pos="5040"/>
              </w:tabs>
              <w:overflowPunct/>
              <w:autoSpaceDE/>
              <w:autoSpaceDN/>
              <w:adjustRightInd/>
              <w:spacing w:before="120" w:after="120"/>
              <w:ind w:left="151" w:hanging="165"/>
              <w:textAlignment w:val="auto"/>
              <w:rPr>
                <w:rFonts w:eastAsiaTheme="minorHAnsi"/>
                <w:szCs w:val="24"/>
              </w:rPr>
            </w:pPr>
            <w:r w:rsidRPr="00C06A2E">
              <w:rPr>
                <w:rFonts w:eastAsiaTheme="minorHAnsi"/>
                <w:szCs w:val="24"/>
              </w:rPr>
              <w:t xml:space="preserve">Detailed ground </w:t>
            </w:r>
          </w:p>
          <w:p w14:paraId="401BCCFD" w14:textId="77777777" w:rsidR="00C06A2E" w:rsidRPr="00C06A2E" w:rsidRDefault="00C06A2E" w:rsidP="00C06A2E">
            <w:pPr>
              <w:numPr>
                <w:ilvl w:val="0"/>
                <w:numId w:val="47"/>
              </w:numPr>
              <w:tabs>
                <w:tab w:val="clear" w:pos="5040"/>
              </w:tabs>
              <w:overflowPunct/>
              <w:autoSpaceDE/>
              <w:autoSpaceDN/>
              <w:adjustRightInd/>
              <w:spacing w:before="120" w:after="120"/>
              <w:ind w:left="151" w:hanging="165"/>
              <w:textAlignment w:val="auto"/>
              <w:rPr>
                <w:rFonts w:eastAsiaTheme="minorHAnsi"/>
                <w:szCs w:val="24"/>
              </w:rPr>
            </w:pPr>
            <w:r w:rsidRPr="00C06A2E">
              <w:rPr>
                <w:rFonts w:eastAsiaTheme="minorHAnsi"/>
                <w:szCs w:val="24"/>
              </w:rPr>
              <w:t>Aerial</w:t>
            </w:r>
          </w:p>
        </w:tc>
        <w:tc>
          <w:tcPr>
            <w:tcW w:w="1376" w:type="dxa"/>
            <w:vMerge w:val="restart"/>
            <w:shd w:val="clear" w:color="auto" w:fill="F7CAAC" w:themeFill="accent2" w:themeFillTint="66"/>
            <w:vAlign w:val="center"/>
          </w:tcPr>
          <w:p w14:paraId="0593D0B1" w14:textId="77777777" w:rsidR="00C06A2E" w:rsidRPr="00C06A2E" w:rsidRDefault="00C06A2E" w:rsidP="00C06A2E">
            <w:pPr>
              <w:spacing w:before="120" w:after="120"/>
              <w:rPr>
                <w:sz w:val="22"/>
                <w:szCs w:val="22"/>
              </w:rPr>
            </w:pPr>
            <w:r w:rsidRPr="00C06A2E">
              <w:rPr>
                <w:sz w:val="22"/>
                <w:szCs w:val="22"/>
              </w:rPr>
              <w:t>Patrol</w:t>
            </w:r>
          </w:p>
        </w:tc>
        <w:tc>
          <w:tcPr>
            <w:tcW w:w="1366" w:type="dxa"/>
            <w:vMerge w:val="restart"/>
            <w:shd w:val="clear" w:color="auto" w:fill="F7CAAC" w:themeFill="accent2" w:themeFillTint="66"/>
            <w:vAlign w:val="center"/>
          </w:tcPr>
          <w:p w14:paraId="12B9D46B" w14:textId="77777777" w:rsidR="00C06A2E" w:rsidRPr="00C06A2E" w:rsidRDefault="00C06A2E" w:rsidP="00C06A2E">
            <w:pPr>
              <w:numPr>
                <w:ilvl w:val="0"/>
                <w:numId w:val="48"/>
              </w:numPr>
              <w:tabs>
                <w:tab w:val="clear" w:pos="5040"/>
              </w:tabs>
              <w:overflowPunct/>
              <w:autoSpaceDE/>
              <w:autoSpaceDN/>
              <w:adjustRightInd/>
              <w:spacing w:before="120" w:after="120"/>
              <w:ind w:left="226" w:hanging="134"/>
              <w:textAlignment w:val="auto"/>
              <w:rPr>
                <w:rFonts w:eastAsiaTheme="minorHAnsi"/>
                <w:szCs w:val="24"/>
              </w:rPr>
            </w:pPr>
            <w:r w:rsidRPr="00C06A2E">
              <w:rPr>
                <w:rFonts w:eastAsiaTheme="minorHAnsi"/>
                <w:szCs w:val="24"/>
              </w:rPr>
              <w:t>Detailed ground</w:t>
            </w:r>
          </w:p>
          <w:p w14:paraId="7E16D699" w14:textId="77777777" w:rsidR="00C06A2E" w:rsidRPr="00C06A2E" w:rsidRDefault="00C06A2E" w:rsidP="00C06A2E">
            <w:pPr>
              <w:numPr>
                <w:ilvl w:val="0"/>
                <w:numId w:val="48"/>
              </w:numPr>
              <w:tabs>
                <w:tab w:val="clear" w:pos="5040"/>
              </w:tabs>
              <w:overflowPunct/>
              <w:autoSpaceDE/>
              <w:autoSpaceDN/>
              <w:adjustRightInd/>
              <w:spacing w:before="120" w:after="120"/>
              <w:ind w:left="226" w:hanging="134"/>
              <w:textAlignment w:val="auto"/>
              <w:rPr>
                <w:rFonts w:eastAsiaTheme="minorHAnsi"/>
                <w:szCs w:val="24"/>
              </w:rPr>
            </w:pPr>
            <w:r w:rsidRPr="00C06A2E">
              <w:rPr>
                <w:rFonts w:eastAsiaTheme="minorHAnsi"/>
                <w:szCs w:val="24"/>
              </w:rPr>
              <w:t>Climbing</w:t>
            </w:r>
          </w:p>
          <w:p w14:paraId="4D33A198" w14:textId="77777777" w:rsidR="00C06A2E" w:rsidRPr="00C06A2E" w:rsidRDefault="00C06A2E" w:rsidP="00C06A2E">
            <w:pPr>
              <w:numPr>
                <w:ilvl w:val="0"/>
                <w:numId w:val="48"/>
              </w:numPr>
              <w:tabs>
                <w:tab w:val="clear" w:pos="5040"/>
              </w:tabs>
              <w:overflowPunct/>
              <w:autoSpaceDE/>
              <w:autoSpaceDN/>
              <w:adjustRightInd/>
              <w:spacing w:before="120" w:after="120"/>
              <w:ind w:left="226" w:hanging="134"/>
              <w:textAlignment w:val="auto"/>
              <w:rPr>
                <w:rFonts w:eastAsiaTheme="minorHAnsi"/>
                <w:szCs w:val="24"/>
              </w:rPr>
            </w:pPr>
            <w:r w:rsidRPr="00C06A2E">
              <w:rPr>
                <w:rFonts w:eastAsiaTheme="minorHAnsi"/>
                <w:szCs w:val="24"/>
              </w:rPr>
              <w:t>Aerial</w:t>
            </w:r>
          </w:p>
        </w:tc>
      </w:tr>
      <w:tr w:rsidR="00C06A2E" w:rsidRPr="00C06A2E" w14:paraId="7E11FE40" w14:textId="77777777" w:rsidTr="00641B2A">
        <w:trPr>
          <w:trHeight w:val="792"/>
          <w:jc w:val="center"/>
        </w:trPr>
        <w:tc>
          <w:tcPr>
            <w:tcW w:w="1844" w:type="dxa"/>
            <w:vMerge/>
            <w:tcBorders>
              <w:bottom w:val="single" w:sz="4" w:space="0" w:color="auto"/>
            </w:tcBorders>
            <w:shd w:val="clear" w:color="auto" w:fill="D9E2F3" w:themeFill="accent1" w:themeFillTint="33"/>
            <w:vAlign w:val="center"/>
          </w:tcPr>
          <w:p w14:paraId="1BCB716F" w14:textId="77777777" w:rsidR="00C06A2E" w:rsidRPr="00C06A2E" w:rsidRDefault="00C06A2E" w:rsidP="00C06A2E">
            <w:pPr>
              <w:spacing w:before="120" w:after="120"/>
              <w:rPr>
                <w:sz w:val="22"/>
                <w:szCs w:val="22"/>
              </w:rPr>
            </w:pPr>
          </w:p>
        </w:tc>
        <w:tc>
          <w:tcPr>
            <w:tcW w:w="1860" w:type="dxa"/>
            <w:tcBorders>
              <w:bottom w:val="single" w:sz="4" w:space="0" w:color="auto"/>
            </w:tcBorders>
            <w:shd w:val="clear" w:color="auto" w:fill="D9E2F3" w:themeFill="accent1" w:themeFillTint="33"/>
            <w:vAlign w:val="center"/>
          </w:tcPr>
          <w:p w14:paraId="66CB6CD7" w14:textId="77777777" w:rsidR="00C06A2E" w:rsidRPr="00C06A2E" w:rsidRDefault="00C06A2E" w:rsidP="00C06A2E">
            <w:pPr>
              <w:spacing w:before="120" w:after="120"/>
              <w:rPr>
                <w:szCs w:val="24"/>
              </w:rPr>
            </w:pPr>
            <w:r w:rsidRPr="00C06A2E">
              <w:rPr>
                <w:szCs w:val="24"/>
              </w:rPr>
              <w:t>Transmission</w:t>
            </w:r>
          </w:p>
        </w:tc>
        <w:tc>
          <w:tcPr>
            <w:tcW w:w="1376" w:type="dxa"/>
            <w:vMerge/>
            <w:tcBorders>
              <w:bottom w:val="single" w:sz="4" w:space="0" w:color="auto"/>
            </w:tcBorders>
            <w:shd w:val="clear" w:color="auto" w:fill="F7CAAC" w:themeFill="accent2" w:themeFillTint="66"/>
            <w:vAlign w:val="center"/>
          </w:tcPr>
          <w:p w14:paraId="251B52D1" w14:textId="77777777" w:rsidR="00C06A2E" w:rsidRPr="00C06A2E" w:rsidRDefault="00C06A2E" w:rsidP="00C06A2E">
            <w:pPr>
              <w:spacing w:before="120" w:after="120"/>
              <w:rPr>
                <w:sz w:val="22"/>
                <w:szCs w:val="22"/>
              </w:rPr>
            </w:pPr>
          </w:p>
        </w:tc>
        <w:tc>
          <w:tcPr>
            <w:tcW w:w="1353" w:type="dxa"/>
            <w:vMerge/>
            <w:tcBorders>
              <w:bottom w:val="single" w:sz="4" w:space="0" w:color="auto"/>
            </w:tcBorders>
            <w:shd w:val="clear" w:color="auto" w:fill="F7CAAC" w:themeFill="accent2" w:themeFillTint="66"/>
            <w:vAlign w:val="center"/>
          </w:tcPr>
          <w:p w14:paraId="2444E62F" w14:textId="77777777" w:rsidR="00C06A2E" w:rsidRPr="00C06A2E" w:rsidRDefault="00C06A2E" w:rsidP="00C06A2E">
            <w:pPr>
              <w:spacing w:before="120" w:after="120"/>
              <w:rPr>
                <w:szCs w:val="24"/>
              </w:rPr>
            </w:pPr>
          </w:p>
        </w:tc>
        <w:tc>
          <w:tcPr>
            <w:tcW w:w="1376" w:type="dxa"/>
            <w:vMerge/>
            <w:tcBorders>
              <w:bottom w:val="single" w:sz="4" w:space="0" w:color="auto"/>
            </w:tcBorders>
            <w:shd w:val="clear" w:color="auto" w:fill="F7CAAC" w:themeFill="accent2" w:themeFillTint="66"/>
            <w:vAlign w:val="center"/>
          </w:tcPr>
          <w:p w14:paraId="023F4CC7" w14:textId="77777777" w:rsidR="00C06A2E" w:rsidRPr="00C06A2E" w:rsidRDefault="00C06A2E" w:rsidP="00C06A2E">
            <w:pPr>
              <w:spacing w:before="120" w:after="120"/>
              <w:rPr>
                <w:sz w:val="22"/>
                <w:szCs w:val="22"/>
              </w:rPr>
            </w:pPr>
          </w:p>
        </w:tc>
        <w:tc>
          <w:tcPr>
            <w:tcW w:w="1366" w:type="dxa"/>
            <w:vMerge/>
            <w:tcBorders>
              <w:bottom w:val="single" w:sz="4" w:space="0" w:color="auto"/>
            </w:tcBorders>
            <w:shd w:val="clear" w:color="auto" w:fill="F7CAAC" w:themeFill="accent2" w:themeFillTint="66"/>
            <w:vAlign w:val="center"/>
          </w:tcPr>
          <w:p w14:paraId="51712E81" w14:textId="77777777" w:rsidR="00C06A2E" w:rsidRPr="00C06A2E" w:rsidRDefault="00C06A2E" w:rsidP="00C06A2E">
            <w:pPr>
              <w:spacing w:before="120" w:after="120"/>
              <w:rPr>
                <w:sz w:val="22"/>
                <w:szCs w:val="22"/>
              </w:rPr>
            </w:pPr>
          </w:p>
        </w:tc>
      </w:tr>
    </w:tbl>
    <w:p w14:paraId="1353E9F8" w14:textId="77777777" w:rsidR="00C06A2E" w:rsidRPr="00C06A2E" w:rsidRDefault="00C06A2E" w:rsidP="00C06A2E">
      <w:pPr>
        <w:tabs>
          <w:tab w:val="clear" w:pos="5040"/>
        </w:tabs>
        <w:spacing w:line="276" w:lineRule="auto"/>
        <w:rPr>
          <w:color w:val="000000" w:themeColor="text1"/>
          <w:szCs w:val="24"/>
        </w:rPr>
      </w:pPr>
    </w:p>
    <w:p w14:paraId="7F18CCB4" w14:textId="77777777" w:rsidR="00C06A2E" w:rsidRPr="00B32BEB" w:rsidRDefault="00C06A2E" w:rsidP="00C06A2E">
      <w:pPr>
        <w:pStyle w:val="Signatureaddress"/>
        <w:ind w:left="0"/>
      </w:pPr>
    </w:p>
    <w:sectPr w:rsidR="00C06A2E" w:rsidRPr="00B32BEB" w:rsidSect="00C1344A">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20A37" w14:textId="77777777" w:rsidR="009B10C3" w:rsidRPr="00280322" w:rsidRDefault="009B10C3">
      <w:pPr>
        <w:rPr>
          <w:sz w:val="20"/>
        </w:rPr>
      </w:pPr>
      <w:r>
        <w:separator/>
      </w:r>
    </w:p>
  </w:endnote>
  <w:endnote w:type="continuationSeparator" w:id="0">
    <w:p w14:paraId="1573F764" w14:textId="77777777" w:rsidR="009B10C3" w:rsidRPr="00280322" w:rsidRDefault="009B10C3">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2036928081"/>
      <w:docPartObj>
        <w:docPartGallery w:val="Page Numbers (Bottom of Page)"/>
        <w:docPartUnique/>
      </w:docPartObj>
    </w:sdtPr>
    <w:sdtEndPr>
      <w:rPr>
        <w:noProof/>
      </w:rPr>
    </w:sdtEndPr>
    <w:sdtContent>
      <w:p w14:paraId="3FEB384F" w14:textId="0C402DD5" w:rsidR="00EA0E95" w:rsidRPr="00A55020" w:rsidRDefault="00BE7DCF" w:rsidP="003477E7">
        <w:pPr>
          <w:pStyle w:val="Footer"/>
          <w:jc w:val="center"/>
          <w:rPr>
            <w:szCs w:val="24"/>
          </w:rPr>
        </w:pPr>
        <w:r>
          <w:rPr>
            <w:szCs w:val="24"/>
          </w:rPr>
          <w:t>A-</w:t>
        </w:r>
        <w:r w:rsidR="00EA0E95" w:rsidRPr="00A55020">
          <w:rPr>
            <w:szCs w:val="24"/>
          </w:rPr>
          <w:fldChar w:fldCharType="begin"/>
        </w:r>
        <w:r w:rsidR="00EA0E95" w:rsidRPr="00A55020">
          <w:rPr>
            <w:szCs w:val="24"/>
          </w:rPr>
          <w:instrText xml:space="preserve"> PAGE   \* MERGEFORMAT </w:instrText>
        </w:r>
        <w:r w:rsidR="00EA0E95" w:rsidRPr="00A55020">
          <w:rPr>
            <w:szCs w:val="24"/>
          </w:rPr>
          <w:fldChar w:fldCharType="separate"/>
        </w:r>
        <w:r w:rsidR="00EA0E95" w:rsidRPr="00A55020">
          <w:rPr>
            <w:noProof/>
            <w:szCs w:val="24"/>
          </w:rPr>
          <w:t>2</w:t>
        </w:r>
        <w:r w:rsidR="00EA0E95" w:rsidRPr="00A55020">
          <w:rPr>
            <w:noProof/>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618062"/>
      <w:docPartObj>
        <w:docPartGallery w:val="Page Numbers (Bottom of Page)"/>
        <w:docPartUnique/>
      </w:docPartObj>
    </w:sdtPr>
    <w:sdtEndPr>
      <w:rPr>
        <w:noProof/>
        <w:color w:val="FFFFFF" w:themeColor="background1"/>
        <w:sz w:val="16"/>
        <w:szCs w:val="16"/>
      </w:rPr>
    </w:sdtEndPr>
    <w:sdtContent>
      <w:p w14:paraId="3F0A43ED" w14:textId="04364B18" w:rsidR="00EA0E95" w:rsidRPr="00BF3ADC" w:rsidRDefault="00BF3ADC" w:rsidP="00952C61">
        <w:pPr>
          <w:pStyle w:val="Footer"/>
          <w:rPr>
            <w:sz w:val="16"/>
            <w:szCs w:val="16"/>
          </w:rPr>
        </w:pPr>
        <w:r w:rsidRPr="00BF3ADC">
          <w:rPr>
            <w:sz w:val="16"/>
            <w:szCs w:val="16"/>
          </w:rPr>
          <w:t>548573373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542093186"/>
      <w:docPartObj>
        <w:docPartGallery w:val="Page Numbers (Bottom of Page)"/>
        <w:docPartUnique/>
      </w:docPartObj>
    </w:sdtPr>
    <w:sdtEndPr>
      <w:rPr>
        <w:noProof/>
      </w:rPr>
    </w:sdtEndPr>
    <w:sdtContent>
      <w:p w14:paraId="645F1A9C" w14:textId="677AAA26" w:rsidR="00F240DB" w:rsidRPr="00A55020" w:rsidRDefault="00F240DB" w:rsidP="003477E7">
        <w:pPr>
          <w:pStyle w:val="Footer"/>
          <w:jc w:val="center"/>
          <w:rPr>
            <w:szCs w:val="24"/>
          </w:rPr>
        </w:pPr>
        <w:r w:rsidRPr="00A55020">
          <w:rPr>
            <w:szCs w:val="24"/>
          </w:rPr>
          <w:fldChar w:fldCharType="begin"/>
        </w:r>
        <w:r w:rsidRPr="00A55020">
          <w:rPr>
            <w:szCs w:val="24"/>
          </w:rPr>
          <w:instrText xml:space="preserve"> PAGE   \* MERGEFORMAT </w:instrText>
        </w:r>
        <w:r w:rsidRPr="00A55020">
          <w:rPr>
            <w:szCs w:val="24"/>
          </w:rPr>
          <w:fldChar w:fldCharType="separate"/>
        </w:r>
        <w:r w:rsidRPr="00A55020">
          <w:rPr>
            <w:noProof/>
            <w:szCs w:val="24"/>
          </w:rPr>
          <w:t>2</w:t>
        </w:r>
        <w:r w:rsidRPr="00A55020">
          <w:rPr>
            <w:noProof/>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1053998882"/>
      <w:docPartObj>
        <w:docPartGallery w:val="Page Numbers (Bottom of Page)"/>
        <w:docPartUnique/>
      </w:docPartObj>
    </w:sdtPr>
    <w:sdtEndPr>
      <w:rPr>
        <w:noProof/>
      </w:rPr>
    </w:sdtEndPr>
    <w:sdtContent>
      <w:p w14:paraId="6C0C862E" w14:textId="12959050" w:rsidR="00BE7DCF" w:rsidRPr="00A55020" w:rsidRDefault="00BE7DCF" w:rsidP="003477E7">
        <w:pPr>
          <w:pStyle w:val="Footer"/>
          <w:jc w:val="center"/>
          <w:rPr>
            <w:szCs w:val="24"/>
          </w:rPr>
        </w:pPr>
        <w:r w:rsidRPr="00A55020">
          <w:rPr>
            <w:szCs w:val="24"/>
          </w:rPr>
          <w:fldChar w:fldCharType="begin"/>
        </w:r>
        <w:r w:rsidRPr="00A55020">
          <w:rPr>
            <w:szCs w:val="24"/>
          </w:rPr>
          <w:instrText xml:space="preserve"> PAGE   \* MERGEFORMAT </w:instrText>
        </w:r>
        <w:r w:rsidRPr="00A55020">
          <w:rPr>
            <w:szCs w:val="24"/>
          </w:rPr>
          <w:fldChar w:fldCharType="separate"/>
        </w:r>
        <w:r w:rsidRPr="00A55020">
          <w:rPr>
            <w:noProof/>
            <w:szCs w:val="24"/>
          </w:rPr>
          <w:t>2</w:t>
        </w:r>
        <w:r w:rsidRPr="00A55020">
          <w:rPr>
            <w:noProof/>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2126300160"/>
      <w:docPartObj>
        <w:docPartGallery w:val="Page Numbers (Bottom of Page)"/>
        <w:docPartUnique/>
      </w:docPartObj>
    </w:sdtPr>
    <w:sdtEndPr>
      <w:rPr>
        <w:noProof/>
      </w:rPr>
    </w:sdtEndPr>
    <w:sdtContent>
      <w:p w14:paraId="0DD54EA1" w14:textId="77777777" w:rsidR="00BE7DCF" w:rsidRPr="00A55020" w:rsidRDefault="00BE7DCF" w:rsidP="003477E7">
        <w:pPr>
          <w:pStyle w:val="Footer"/>
          <w:jc w:val="center"/>
          <w:rPr>
            <w:szCs w:val="24"/>
          </w:rPr>
        </w:pPr>
        <w:r>
          <w:rPr>
            <w:szCs w:val="24"/>
          </w:rPr>
          <w:t>A-</w:t>
        </w:r>
        <w:r w:rsidRPr="00A55020">
          <w:rPr>
            <w:szCs w:val="24"/>
          </w:rPr>
          <w:fldChar w:fldCharType="begin"/>
        </w:r>
        <w:r w:rsidRPr="00A55020">
          <w:rPr>
            <w:szCs w:val="24"/>
          </w:rPr>
          <w:instrText xml:space="preserve"> PAGE   \* MERGEFORMAT </w:instrText>
        </w:r>
        <w:r w:rsidRPr="00A55020">
          <w:rPr>
            <w:szCs w:val="24"/>
          </w:rPr>
          <w:fldChar w:fldCharType="separate"/>
        </w:r>
        <w:r w:rsidRPr="00A55020">
          <w:rPr>
            <w:noProof/>
            <w:szCs w:val="24"/>
          </w:rPr>
          <w:t>2</w:t>
        </w:r>
        <w:r w:rsidRPr="00A55020">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7F1F4" w14:textId="77777777" w:rsidR="009B10C3" w:rsidRPr="00280322" w:rsidRDefault="009B10C3">
      <w:pPr>
        <w:rPr>
          <w:sz w:val="20"/>
        </w:rPr>
      </w:pPr>
      <w:r>
        <w:separator/>
      </w:r>
    </w:p>
  </w:footnote>
  <w:footnote w:type="continuationSeparator" w:id="0">
    <w:p w14:paraId="59993A94" w14:textId="77777777" w:rsidR="009B10C3" w:rsidRPr="00280322" w:rsidRDefault="009B10C3">
      <w:pPr>
        <w:rPr>
          <w:sz w:val="20"/>
        </w:rPr>
      </w:pPr>
      <w:r>
        <w:continuationSeparator/>
      </w:r>
    </w:p>
  </w:footnote>
  <w:footnote w:id="1">
    <w:p w14:paraId="2EE69090" w14:textId="36E202E9" w:rsidR="006D3A81" w:rsidRPr="00B66816" w:rsidRDefault="006D3A81"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Office of Energy Infrastructure Safety, </w:t>
      </w:r>
      <w:r w:rsidR="00E95D89" w:rsidRPr="00B66816">
        <w:rPr>
          <w:i/>
          <w:iCs/>
          <w:color w:val="000000" w:themeColor="text1"/>
          <w:szCs w:val="22"/>
        </w:rPr>
        <w:t>Soliciting Public Input for Next Iteration of WMP Guidelines</w:t>
      </w:r>
      <w:r w:rsidRPr="00B66816">
        <w:rPr>
          <w:color w:val="000000" w:themeColor="text1"/>
          <w:szCs w:val="22"/>
        </w:rPr>
        <w:t xml:space="preserve">, </w:t>
      </w:r>
      <w:r w:rsidR="00E95D89" w:rsidRPr="00B66816">
        <w:rPr>
          <w:color w:val="000000" w:themeColor="text1"/>
          <w:szCs w:val="22"/>
        </w:rPr>
        <w:t>March</w:t>
      </w:r>
      <w:r w:rsidRPr="00B66816">
        <w:rPr>
          <w:color w:val="000000" w:themeColor="text1"/>
          <w:szCs w:val="22"/>
        </w:rPr>
        <w:t xml:space="preserve"> </w:t>
      </w:r>
      <w:r w:rsidR="00E95D89" w:rsidRPr="00B66816">
        <w:rPr>
          <w:color w:val="000000" w:themeColor="text1"/>
          <w:szCs w:val="22"/>
        </w:rPr>
        <w:t>4</w:t>
      </w:r>
      <w:r w:rsidRPr="00B66816">
        <w:rPr>
          <w:color w:val="000000" w:themeColor="text1"/>
          <w:szCs w:val="22"/>
        </w:rPr>
        <w:t>, 202</w:t>
      </w:r>
      <w:r w:rsidR="00E95D89" w:rsidRPr="00B66816">
        <w:rPr>
          <w:color w:val="000000" w:themeColor="text1"/>
          <w:szCs w:val="22"/>
        </w:rPr>
        <w:t>4</w:t>
      </w:r>
      <w:r w:rsidRPr="00B66816">
        <w:rPr>
          <w:color w:val="000000" w:themeColor="text1"/>
          <w:szCs w:val="22"/>
        </w:rPr>
        <w:t xml:space="preserve">, </w:t>
      </w:r>
      <w:r w:rsidR="003E2024">
        <w:rPr>
          <w:color w:val="000000" w:themeColor="text1"/>
          <w:szCs w:val="22"/>
        </w:rPr>
        <w:t>d</w:t>
      </w:r>
      <w:r w:rsidR="00BB1DF3" w:rsidRPr="00B66816">
        <w:rPr>
          <w:color w:val="000000" w:themeColor="text1"/>
          <w:szCs w:val="22"/>
        </w:rPr>
        <w:t xml:space="preserve">ocket </w:t>
      </w:r>
      <w:r w:rsidRPr="00B66816">
        <w:rPr>
          <w:color w:val="000000" w:themeColor="text1"/>
          <w:szCs w:val="22"/>
        </w:rPr>
        <w:t>WMP</w:t>
      </w:r>
      <w:r w:rsidR="00E95D89" w:rsidRPr="00B66816">
        <w:rPr>
          <w:color w:val="000000" w:themeColor="text1"/>
          <w:szCs w:val="22"/>
        </w:rPr>
        <w:t>-Guideline</w:t>
      </w:r>
      <w:r w:rsidRPr="00B66816">
        <w:rPr>
          <w:color w:val="000000" w:themeColor="text1"/>
          <w:szCs w:val="22"/>
        </w:rPr>
        <w:t>s.</w:t>
      </w:r>
    </w:p>
  </w:footnote>
  <w:footnote w:id="2">
    <w:p w14:paraId="3DFAA448" w14:textId="281D8E2D" w:rsidR="006D3A81" w:rsidRPr="00B66816" w:rsidRDefault="006D3A81"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Public Advocates Office, </w:t>
      </w:r>
      <w:r w:rsidR="00E95D89" w:rsidRPr="00B66816">
        <w:rPr>
          <w:i/>
          <w:iCs/>
          <w:color w:val="000000" w:themeColor="text1"/>
          <w:szCs w:val="22"/>
        </w:rPr>
        <w:t>Input for Next Iteration of WMP Guidelines</w:t>
      </w:r>
      <w:r w:rsidRPr="00B66816">
        <w:rPr>
          <w:color w:val="000000" w:themeColor="text1"/>
          <w:szCs w:val="22"/>
        </w:rPr>
        <w:t xml:space="preserve">, </w:t>
      </w:r>
      <w:r w:rsidR="00E95D89" w:rsidRPr="00B66816">
        <w:rPr>
          <w:color w:val="000000" w:themeColor="text1"/>
          <w:szCs w:val="22"/>
        </w:rPr>
        <w:t xml:space="preserve">April </w:t>
      </w:r>
      <w:r w:rsidRPr="00B66816">
        <w:rPr>
          <w:color w:val="000000" w:themeColor="text1"/>
          <w:szCs w:val="22"/>
        </w:rPr>
        <w:t>8, 202</w:t>
      </w:r>
      <w:r w:rsidR="00E95D89" w:rsidRPr="00B66816">
        <w:rPr>
          <w:color w:val="000000" w:themeColor="text1"/>
          <w:szCs w:val="22"/>
        </w:rPr>
        <w:t>4</w:t>
      </w:r>
      <w:r w:rsidR="003E2024">
        <w:rPr>
          <w:color w:val="000000" w:themeColor="text1"/>
          <w:szCs w:val="22"/>
        </w:rPr>
        <w:t xml:space="preserve"> in d</w:t>
      </w:r>
      <w:r w:rsidR="003E2024" w:rsidRPr="003E2024">
        <w:rPr>
          <w:color w:val="000000" w:themeColor="text1"/>
          <w:szCs w:val="22"/>
        </w:rPr>
        <w:t>ocket WMP-Guidelines</w:t>
      </w:r>
      <w:r w:rsidR="00270FCE" w:rsidRPr="00B66816">
        <w:rPr>
          <w:color w:val="000000" w:themeColor="text1"/>
          <w:szCs w:val="22"/>
        </w:rPr>
        <w:t>.</w:t>
      </w:r>
    </w:p>
  </w:footnote>
  <w:footnote w:id="3">
    <w:p w14:paraId="499EED17" w14:textId="6309002B" w:rsidR="006D3A81" w:rsidRPr="00B66816" w:rsidRDefault="006D3A81"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Office of Energy Infrastructure Safety, </w:t>
      </w:r>
      <w:r w:rsidR="00E95D89" w:rsidRPr="00B66816">
        <w:rPr>
          <w:i/>
          <w:iCs/>
          <w:color w:val="000000" w:themeColor="text1"/>
          <w:szCs w:val="22"/>
        </w:rPr>
        <w:t>Draft Wildfire Mitigation Plan Guidelines (Package 1)</w:t>
      </w:r>
      <w:r w:rsidRPr="00B66816">
        <w:rPr>
          <w:color w:val="000000" w:themeColor="text1"/>
          <w:szCs w:val="22"/>
        </w:rPr>
        <w:t xml:space="preserve">, </w:t>
      </w:r>
      <w:r w:rsidR="00E95D89" w:rsidRPr="00B66816">
        <w:rPr>
          <w:color w:val="000000" w:themeColor="text1"/>
          <w:szCs w:val="22"/>
        </w:rPr>
        <w:t>November</w:t>
      </w:r>
      <w:r w:rsidRPr="00B66816">
        <w:rPr>
          <w:color w:val="000000" w:themeColor="text1"/>
          <w:szCs w:val="22"/>
        </w:rPr>
        <w:t xml:space="preserve"> </w:t>
      </w:r>
      <w:r w:rsidR="00E95D89" w:rsidRPr="00B66816">
        <w:rPr>
          <w:color w:val="000000" w:themeColor="text1"/>
          <w:szCs w:val="22"/>
        </w:rPr>
        <w:t>12</w:t>
      </w:r>
      <w:r w:rsidRPr="00B66816">
        <w:rPr>
          <w:color w:val="000000" w:themeColor="text1"/>
          <w:szCs w:val="22"/>
        </w:rPr>
        <w:t>, 202</w:t>
      </w:r>
      <w:r w:rsidR="00E95D89" w:rsidRPr="00B66816">
        <w:rPr>
          <w:color w:val="000000" w:themeColor="text1"/>
          <w:szCs w:val="22"/>
        </w:rPr>
        <w:t>4</w:t>
      </w:r>
      <w:r w:rsidRPr="00B66816">
        <w:rPr>
          <w:color w:val="000000" w:themeColor="text1"/>
          <w:szCs w:val="22"/>
        </w:rPr>
        <w:t xml:space="preserve">, </w:t>
      </w:r>
      <w:r w:rsidR="003E2024">
        <w:rPr>
          <w:color w:val="000000" w:themeColor="text1"/>
          <w:szCs w:val="22"/>
        </w:rPr>
        <w:t>d</w:t>
      </w:r>
      <w:r w:rsidRPr="00B66816">
        <w:rPr>
          <w:color w:val="000000" w:themeColor="text1"/>
          <w:szCs w:val="22"/>
        </w:rPr>
        <w:t xml:space="preserve">ocket </w:t>
      </w:r>
      <w:r w:rsidR="00E95D89" w:rsidRPr="00B66816">
        <w:rPr>
          <w:color w:val="000000" w:themeColor="text1"/>
          <w:szCs w:val="22"/>
        </w:rPr>
        <w:t>WMP-Guidelines</w:t>
      </w:r>
      <w:r w:rsidR="008D5FB3" w:rsidRPr="00B66816">
        <w:rPr>
          <w:color w:val="000000" w:themeColor="text1"/>
          <w:szCs w:val="22"/>
        </w:rPr>
        <w:t xml:space="preserve"> (Draft 2026-2028 WMP Guidelines).</w:t>
      </w:r>
    </w:p>
  </w:footnote>
  <w:footnote w:id="4">
    <w:p w14:paraId="26F6FD54" w14:textId="768D4852" w:rsidR="00896B19" w:rsidRPr="00B66816" w:rsidRDefault="00896B19"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78</w:t>
      </w:r>
      <w:r w:rsidR="00A71BE9" w:rsidRPr="00B66816">
        <w:rPr>
          <w:color w:val="000000" w:themeColor="text1"/>
          <w:szCs w:val="22"/>
        </w:rPr>
        <w:t xml:space="preserve"> (Section 8.2).</w:t>
      </w:r>
      <w:r w:rsidRPr="00B66816">
        <w:rPr>
          <w:color w:val="000000" w:themeColor="text1"/>
          <w:szCs w:val="22"/>
        </w:rPr>
        <w:t xml:space="preserve">  </w:t>
      </w:r>
    </w:p>
  </w:footnote>
  <w:footnote w:id="5">
    <w:p w14:paraId="03C657A1" w14:textId="77777777" w:rsidR="000F25DB" w:rsidRPr="00B66816" w:rsidRDefault="000F25DB" w:rsidP="000F25DB">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78-79.  </w:t>
      </w:r>
    </w:p>
  </w:footnote>
  <w:footnote w:id="6">
    <w:p w14:paraId="5AE5C83E" w14:textId="5EA0152D" w:rsidR="00896B19" w:rsidRPr="00B66816" w:rsidRDefault="00896B19"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See, e.g., </w:t>
      </w:r>
      <w:r w:rsidRPr="00B66816">
        <w:rPr>
          <w:i/>
          <w:iCs/>
          <w:color w:val="000000" w:themeColor="text1"/>
          <w:szCs w:val="22"/>
        </w:rPr>
        <w:t>Comments of the Public Advocates Office on PG&amp;E’s 2025 Wildfire Mitigation Plan Update</w:t>
      </w:r>
      <w:r w:rsidRPr="00B66816">
        <w:rPr>
          <w:color w:val="000000" w:themeColor="text1"/>
          <w:szCs w:val="22"/>
        </w:rPr>
        <w:t xml:space="preserve"> </w:t>
      </w:r>
      <w:r w:rsidR="008D5FB3" w:rsidRPr="00B66816">
        <w:rPr>
          <w:color w:val="000000" w:themeColor="text1"/>
          <w:szCs w:val="22"/>
        </w:rPr>
        <w:t xml:space="preserve">at 36-38, </w:t>
      </w:r>
      <w:r w:rsidRPr="00B66816">
        <w:rPr>
          <w:color w:val="000000" w:themeColor="text1"/>
          <w:szCs w:val="22"/>
        </w:rPr>
        <w:t>May 7, 2024</w:t>
      </w:r>
      <w:r w:rsidR="008D5FB3" w:rsidRPr="00B66816">
        <w:rPr>
          <w:color w:val="000000" w:themeColor="text1"/>
          <w:szCs w:val="22"/>
        </w:rPr>
        <w:t xml:space="preserve"> in </w:t>
      </w:r>
      <w:r w:rsidR="003E2024">
        <w:rPr>
          <w:color w:val="000000" w:themeColor="text1"/>
          <w:szCs w:val="22"/>
        </w:rPr>
        <w:t>d</w:t>
      </w:r>
      <w:r w:rsidR="008D5FB3" w:rsidRPr="00B66816">
        <w:rPr>
          <w:color w:val="000000" w:themeColor="text1"/>
          <w:szCs w:val="22"/>
        </w:rPr>
        <w:t>ocket 2023-2025-WMPs</w:t>
      </w:r>
      <w:r w:rsidRPr="00B66816">
        <w:rPr>
          <w:color w:val="000000" w:themeColor="text1"/>
          <w:szCs w:val="22"/>
        </w:rPr>
        <w:t xml:space="preserve">; </w:t>
      </w:r>
      <w:r w:rsidR="00076F18" w:rsidRPr="00B66816">
        <w:rPr>
          <w:i/>
          <w:iCs/>
          <w:color w:val="000000" w:themeColor="text1"/>
          <w:szCs w:val="22"/>
        </w:rPr>
        <w:t>Public Advocates Office’s Informal Comments on the Staff Proposal for the SB 884 Program</w:t>
      </w:r>
      <w:r w:rsidR="00076F18" w:rsidRPr="00B66816">
        <w:rPr>
          <w:color w:val="000000" w:themeColor="text1"/>
          <w:szCs w:val="22"/>
        </w:rPr>
        <w:t xml:space="preserve"> </w:t>
      </w:r>
      <w:r w:rsidR="008D5FB3" w:rsidRPr="00B66816">
        <w:rPr>
          <w:color w:val="000000" w:themeColor="text1"/>
          <w:szCs w:val="22"/>
        </w:rPr>
        <w:t xml:space="preserve">at 9-10, </w:t>
      </w:r>
      <w:r w:rsidR="00076F18" w:rsidRPr="00B66816">
        <w:rPr>
          <w:color w:val="000000" w:themeColor="text1"/>
          <w:szCs w:val="22"/>
        </w:rPr>
        <w:t>September 27, 2023</w:t>
      </w:r>
      <w:r w:rsidR="008D5FB3" w:rsidRPr="00B66816">
        <w:rPr>
          <w:color w:val="000000" w:themeColor="text1"/>
          <w:szCs w:val="22"/>
        </w:rPr>
        <w:t xml:space="preserve"> in </w:t>
      </w:r>
      <w:r w:rsidR="003E2024">
        <w:rPr>
          <w:color w:val="000000" w:themeColor="text1"/>
          <w:szCs w:val="22"/>
        </w:rPr>
        <w:t>d</w:t>
      </w:r>
      <w:r w:rsidR="008D5FB3" w:rsidRPr="00B66816">
        <w:rPr>
          <w:color w:val="000000" w:themeColor="text1"/>
          <w:szCs w:val="22"/>
        </w:rPr>
        <w:t>ocket 2023-UPs</w:t>
      </w:r>
      <w:r w:rsidR="00076F18" w:rsidRPr="00B66816">
        <w:rPr>
          <w:color w:val="000000" w:themeColor="text1"/>
          <w:szCs w:val="22"/>
        </w:rPr>
        <w:t>.</w:t>
      </w:r>
    </w:p>
  </w:footnote>
  <w:footnote w:id="7">
    <w:p w14:paraId="151DE52D" w14:textId="3E595403" w:rsidR="00896B19" w:rsidRPr="00B66816" w:rsidRDefault="00896B19"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00076F18" w:rsidRPr="00B66816">
        <w:rPr>
          <w:color w:val="000000" w:themeColor="text1"/>
          <w:szCs w:val="22"/>
        </w:rPr>
        <w:t xml:space="preserve">See, e.g., </w:t>
      </w:r>
      <w:r w:rsidR="00076F18" w:rsidRPr="00B66816">
        <w:rPr>
          <w:i/>
          <w:iCs/>
          <w:color w:val="000000" w:themeColor="text1"/>
          <w:szCs w:val="22"/>
        </w:rPr>
        <w:t>Comments of the Public Advocates Office on PG&amp;E’s 2025 Wildfire Mitigation Plan Update</w:t>
      </w:r>
      <w:r w:rsidR="008D5FB3" w:rsidRPr="00B66816">
        <w:rPr>
          <w:color w:val="000000" w:themeColor="text1"/>
          <w:szCs w:val="22"/>
        </w:rPr>
        <w:t xml:space="preserve"> at 41-42</w:t>
      </w:r>
      <w:r w:rsidR="00076F18" w:rsidRPr="00B66816">
        <w:rPr>
          <w:color w:val="000000" w:themeColor="text1"/>
          <w:szCs w:val="22"/>
        </w:rPr>
        <w:t>, May 7, 2024</w:t>
      </w:r>
      <w:r w:rsidR="008D5FB3" w:rsidRPr="00B66816">
        <w:rPr>
          <w:color w:val="000000" w:themeColor="text1"/>
          <w:szCs w:val="22"/>
        </w:rPr>
        <w:t xml:space="preserve"> in </w:t>
      </w:r>
      <w:r w:rsidR="003E2024">
        <w:rPr>
          <w:color w:val="000000" w:themeColor="text1"/>
          <w:szCs w:val="22"/>
        </w:rPr>
        <w:t>d</w:t>
      </w:r>
      <w:r w:rsidR="008D5FB3" w:rsidRPr="00B66816">
        <w:rPr>
          <w:color w:val="000000" w:themeColor="text1"/>
          <w:szCs w:val="22"/>
        </w:rPr>
        <w:t>ocket 2023-2025-WMPs</w:t>
      </w:r>
      <w:r w:rsidRPr="00B66816">
        <w:rPr>
          <w:color w:val="000000" w:themeColor="text1"/>
          <w:szCs w:val="22"/>
        </w:rPr>
        <w:t xml:space="preserve">.  </w:t>
      </w:r>
    </w:p>
  </w:footnote>
  <w:footnote w:id="8">
    <w:p w14:paraId="5FF3FE72" w14:textId="331F2BBC" w:rsidR="007E7FF1" w:rsidRPr="00B66816" w:rsidRDefault="007E7FF1"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For example, Cal Advocates previously noted that PG&amp;E</w:t>
      </w:r>
      <w:r w:rsidR="00E818DC" w:rsidRPr="00B66816">
        <w:rPr>
          <w:color w:val="000000" w:themeColor="text1"/>
          <w:szCs w:val="22"/>
        </w:rPr>
        <w:t>’s estimate for undergrounding effectiveness was higher than observed, while its estimate for covered conductor was lower than observed</w:t>
      </w:r>
      <w:r w:rsidR="0096681E" w:rsidRPr="00B66816">
        <w:rPr>
          <w:color w:val="000000" w:themeColor="text1"/>
          <w:szCs w:val="22"/>
        </w:rPr>
        <w:t>.  This can skew effectiveness and cost-benefit ratio estimates</w:t>
      </w:r>
      <w:r w:rsidR="00E818DC" w:rsidRPr="00B66816">
        <w:rPr>
          <w:color w:val="000000" w:themeColor="text1"/>
          <w:szCs w:val="22"/>
        </w:rPr>
        <w:t xml:space="preserve">. </w:t>
      </w:r>
      <w:r w:rsidRPr="00B66816">
        <w:rPr>
          <w:color w:val="000000" w:themeColor="text1"/>
          <w:szCs w:val="22"/>
        </w:rPr>
        <w:t xml:space="preserve">See, e.g., </w:t>
      </w:r>
      <w:r w:rsidRPr="00B66816">
        <w:rPr>
          <w:i/>
          <w:iCs/>
          <w:color w:val="000000" w:themeColor="text1"/>
          <w:szCs w:val="22"/>
        </w:rPr>
        <w:t>Comments of the Public Advocates Office on PG&amp;E’s 2025 Wildfire Mitigation Plan Update</w:t>
      </w:r>
      <w:r w:rsidR="008D5FB3" w:rsidRPr="00B66816">
        <w:rPr>
          <w:color w:val="000000" w:themeColor="text1"/>
          <w:szCs w:val="22"/>
        </w:rPr>
        <w:t xml:space="preserve"> at 36-37</w:t>
      </w:r>
      <w:r w:rsidRPr="00B66816">
        <w:rPr>
          <w:color w:val="000000" w:themeColor="text1"/>
          <w:szCs w:val="22"/>
        </w:rPr>
        <w:t xml:space="preserve">, May 7, 2024.  </w:t>
      </w:r>
    </w:p>
  </w:footnote>
  <w:footnote w:id="9">
    <w:p w14:paraId="285067FF" w14:textId="56CF16BE" w:rsidR="00E818DC" w:rsidRPr="00B66816" w:rsidRDefault="00E818DC"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For example, Cal Advocates previously noted that PG&amp;E’s </w:t>
      </w:r>
      <w:r w:rsidR="0096681E" w:rsidRPr="00B66816">
        <w:rPr>
          <w:color w:val="000000" w:themeColor="text1"/>
          <w:szCs w:val="22"/>
        </w:rPr>
        <w:t>unit cost estimate for</w:t>
      </w:r>
      <w:r w:rsidR="00680D2A">
        <w:rPr>
          <w:color w:val="000000" w:themeColor="text1"/>
          <w:szCs w:val="22"/>
        </w:rPr>
        <w:t xml:space="preserve"> covered conductor in</w:t>
      </w:r>
      <w:r w:rsidR="0096681E" w:rsidRPr="00B66816">
        <w:rPr>
          <w:color w:val="000000" w:themeColor="text1"/>
          <w:szCs w:val="22"/>
        </w:rPr>
        <w:t xml:space="preserve"> 2023 </w:t>
      </w:r>
      <w:r w:rsidRPr="00B66816">
        <w:rPr>
          <w:color w:val="000000" w:themeColor="text1"/>
          <w:szCs w:val="22"/>
        </w:rPr>
        <w:t xml:space="preserve">was nearly double its actual recorded costs in </w:t>
      </w:r>
      <w:r w:rsidR="0096681E" w:rsidRPr="00B66816">
        <w:rPr>
          <w:color w:val="000000" w:themeColor="text1"/>
          <w:szCs w:val="22"/>
        </w:rPr>
        <w:t xml:space="preserve">prior </w:t>
      </w:r>
      <w:r w:rsidRPr="00B66816">
        <w:rPr>
          <w:color w:val="000000" w:themeColor="text1"/>
          <w:szCs w:val="22"/>
        </w:rPr>
        <w:t xml:space="preserve">years. See, e.g., </w:t>
      </w:r>
      <w:r w:rsidRPr="00B66816">
        <w:rPr>
          <w:i/>
          <w:iCs/>
          <w:color w:val="000000" w:themeColor="text1"/>
          <w:szCs w:val="22"/>
        </w:rPr>
        <w:t>Comments of the Public Advocates Office on the 2023 to 2025 Wildfire Mitigation Plans of the Large Investor-Owned Utilities</w:t>
      </w:r>
      <w:r w:rsidRPr="00B66816">
        <w:rPr>
          <w:color w:val="000000" w:themeColor="text1"/>
          <w:szCs w:val="22"/>
        </w:rPr>
        <w:t>, footnote 10 at 10</w:t>
      </w:r>
      <w:r w:rsidR="008D5FB3" w:rsidRPr="00B66816">
        <w:rPr>
          <w:color w:val="000000" w:themeColor="text1"/>
          <w:szCs w:val="22"/>
        </w:rPr>
        <w:t>, May 26, 2023</w:t>
      </w:r>
      <w:r w:rsidRPr="00B66816">
        <w:rPr>
          <w:color w:val="000000" w:themeColor="text1"/>
          <w:szCs w:val="22"/>
        </w:rPr>
        <w:t xml:space="preserve">.  </w:t>
      </w:r>
    </w:p>
  </w:footnote>
  <w:footnote w:id="10">
    <w:p w14:paraId="1D5408B1" w14:textId="536F1702" w:rsidR="0096681E" w:rsidRPr="00B66816" w:rsidRDefault="0096681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See, e.g., </w:t>
      </w:r>
      <w:r w:rsidRPr="00B66816">
        <w:rPr>
          <w:i/>
          <w:iCs/>
          <w:color w:val="000000" w:themeColor="text1"/>
          <w:szCs w:val="22"/>
        </w:rPr>
        <w:t>Comments of the Public Advocates Office on PG&amp;E’s 2025 Wildfire Mitigation Plan Update</w:t>
      </w:r>
      <w:r w:rsidR="008D5FB3" w:rsidRPr="00B66816">
        <w:rPr>
          <w:color w:val="000000" w:themeColor="text1"/>
          <w:szCs w:val="22"/>
        </w:rPr>
        <w:t xml:space="preserve"> at 36-38</w:t>
      </w:r>
      <w:r w:rsidRPr="00B66816">
        <w:rPr>
          <w:color w:val="000000" w:themeColor="text1"/>
          <w:szCs w:val="22"/>
        </w:rPr>
        <w:t xml:space="preserve">, May 7, 2024.  </w:t>
      </w:r>
    </w:p>
  </w:footnote>
  <w:footnote w:id="11">
    <w:p w14:paraId="7CE4F653" w14:textId="14F338ED" w:rsidR="004260BD" w:rsidRPr="00B66816" w:rsidRDefault="004260BD"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61-62</w:t>
      </w:r>
      <w:r w:rsidR="008D5FB3" w:rsidRPr="00B66816">
        <w:rPr>
          <w:color w:val="000000" w:themeColor="text1"/>
          <w:szCs w:val="22"/>
        </w:rPr>
        <w:t xml:space="preserve"> (Section 6.1.3.1).</w:t>
      </w:r>
    </w:p>
  </w:footnote>
  <w:footnote w:id="12">
    <w:p w14:paraId="19022EE7" w14:textId="56A27E96" w:rsidR="00777124" w:rsidRPr="00B66816" w:rsidRDefault="00777124"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78</w:t>
      </w:r>
      <w:r w:rsidR="008D5FB3" w:rsidRPr="00B66816">
        <w:rPr>
          <w:color w:val="000000" w:themeColor="text1"/>
          <w:szCs w:val="22"/>
        </w:rPr>
        <w:t xml:space="preserve"> (Section 8.2)</w:t>
      </w:r>
      <w:r w:rsidRPr="00B66816">
        <w:rPr>
          <w:color w:val="000000" w:themeColor="text1"/>
          <w:szCs w:val="22"/>
        </w:rPr>
        <w:t xml:space="preserve">.  </w:t>
      </w:r>
    </w:p>
  </w:footnote>
  <w:footnote w:id="13">
    <w:p w14:paraId="216D9E5F" w14:textId="77777777" w:rsidR="00D50645" w:rsidRPr="00B66816" w:rsidRDefault="00D50645" w:rsidP="00D50645">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See, e.g., </w:t>
      </w:r>
      <w:r w:rsidRPr="00B66816">
        <w:rPr>
          <w:i/>
          <w:iCs/>
          <w:color w:val="000000" w:themeColor="text1"/>
          <w:szCs w:val="22"/>
        </w:rPr>
        <w:t>Comments of the Public Advocates Office on PG&amp;E’s 2025 Wildfire Mitigation Plan Update</w:t>
      </w:r>
      <w:r w:rsidRPr="00B66816">
        <w:rPr>
          <w:color w:val="000000" w:themeColor="text1"/>
          <w:szCs w:val="22"/>
        </w:rPr>
        <w:t>, at 13-14 and 38, May 7, 2024.</w:t>
      </w:r>
    </w:p>
  </w:footnote>
  <w:footnote w:id="14">
    <w:p w14:paraId="5EB2A339" w14:textId="08126474" w:rsidR="00680D2A" w:rsidRDefault="00680D2A" w:rsidP="00252BF9">
      <w:pPr>
        <w:pStyle w:val="FootnoteText"/>
        <w:spacing w:line="240" w:lineRule="auto"/>
      </w:pPr>
      <w:r>
        <w:rPr>
          <w:rStyle w:val="FootnoteReference"/>
        </w:rPr>
        <w:footnoteRef/>
      </w:r>
      <w:r>
        <w:t xml:space="preserve"> </w:t>
      </w:r>
      <w:r w:rsidR="000F6EB3" w:rsidRPr="00680D2A">
        <w:rPr>
          <w:color w:val="000000" w:themeColor="text1"/>
          <w:szCs w:val="22"/>
        </w:rPr>
        <w:t xml:space="preserve">Draft 2026-2028 WMP Guidelines at </w:t>
      </w:r>
      <w:r w:rsidR="000F6EB3">
        <w:rPr>
          <w:color w:val="000000" w:themeColor="text1"/>
          <w:szCs w:val="22"/>
        </w:rPr>
        <w:t>94 (</w:t>
      </w:r>
      <w:r w:rsidR="000F6EB3" w:rsidRPr="00B66816">
        <w:rPr>
          <w:color w:val="000000" w:themeColor="text1"/>
          <w:szCs w:val="22"/>
        </w:rPr>
        <w:t>Table 8-7</w:t>
      </w:r>
      <w:r w:rsidR="000F6EB3">
        <w:rPr>
          <w:color w:val="000000" w:themeColor="text1"/>
          <w:szCs w:val="22"/>
        </w:rPr>
        <w:t>).</w:t>
      </w:r>
    </w:p>
  </w:footnote>
  <w:footnote w:id="15">
    <w:p w14:paraId="0D71AF94" w14:textId="3103E909" w:rsidR="00C06A2E" w:rsidRPr="00B66816" w:rsidRDefault="00C06A2E" w:rsidP="00B66816">
      <w:pPr>
        <w:pStyle w:val="FootnoteText"/>
        <w:spacing w:line="240" w:lineRule="auto"/>
        <w:rPr>
          <w:color w:val="000000" w:themeColor="text1"/>
          <w:szCs w:val="22"/>
          <w:lang w:val="en-ZW"/>
        </w:rPr>
      </w:pPr>
      <w:r w:rsidRPr="00B66816">
        <w:rPr>
          <w:rStyle w:val="FootnoteReference"/>
          <w:sz w:val="22"/>
          <w:szCs w:val="22"/>
        </w:rPr>
        <w:footnoteRef/>
      </w:r>
      <w:r w:rsidRPr="00B66816">
        <w:rPr>
          <w:color w:val="000000" w:themeColor="text1"/>
          <w:szCs w:val="22"/>
        </w:rPr>
        <w:t xml:space="preserve"> The four columns</w:t>
      </w:r>
      <w:r w:rsidR="00A71BE9" w:rsidRPr="00B66816">
        <w:rPr>
          <w:color w:val="000000" w:themeColor="text1"/>
          <w:szCs w:val="22"/>
        </w:rPr>
        <w:t xml:space="preserve"> are</w:t>
      </w:r>
      <w:r w:rsidRPr="00B66816">
        <w:rPr>
          <w:color w:val="000000" w:themeColor="text1"/>
          <w:szCs w:val="22"/>
        </w:rPr>
        <w:t xml:space="preserve"> circuit ID, number of outages in past three years, cumulative outage duration, and cumulative number of customer</w:t>
      </w:r>
      <w:r w:rsidR="004D63C5">
        <w:rPr>
          <w:color w:val="000000" w:themeColor="text1"/>
          <w:szCs w:val="22"/>
        </w:rPr>
        <w:t xml:space="preserve"> accounts</w:t>
      </w:r>
      <w:r w:rsidRPr="00B66816">
        <w:rPr>
          <w:color w:val="000000" w:themeColor="text1"/>
          <w:szCs w:val="22"/>
        </w:rPr>
        <w:t xml:space="preserve"> impacted by outages</w:t>
      </w:r>
      <w:r w:rsidR="00A71BE9" w:rsidRPr="00B66816">
        <w:rPr>
          <w:color w:val="000000" w:themeColor="text1"/>
          <w:szCs w:val="22"/>
        </w:rPr>
        <w:t>.</w:t>
      </w:r>
    </w:p>
  </w:footnote>
  <w:footnote w:id="16">
    <w:p w14:paraId="14B81F6B" w14:textId="08F6BC76" w:rsidR="000F6EB3" w:rsidRPr="000F6EB3" w:rsidRDefault="000F6EB3">
      <w:pPr>
        <w:pStyle w:val="FootnoteText"/>
        <w:rPr>
          <w:lang w:val="en-ZW"/>
        </w:rPr>
      </w:pPr>
      <w:r>
        <w:rPr>
          <w:rStyle w:val="FootnoteReference"/>
        </w:rPr>
        <w:footnoteRef/>
      </w:r>
      <w:r>
        <w:t xml:space="preserve"> 3-year average data should be used as this column might have a unique number each year.</w:t>
      </w:r>
    </w:p>
  </w:footnote>
  <w:footnote w:id="17">
    <w:p w14:paraId="44C520FA" w14:textId="7BBF843F" w:rsidR="000F6EB3" w:rsidRPr="000F6EB3" w:rsidRDefault="000F6EB3">
      <w:pPr>
        <w:pStyle w:val="FootnoteText"/>
        <w:rPr>
          <w:lang w:val="en-ZW"/>
        </w:rPr>
      </w:pPr>
      <w:r>
        <w:rPr>
          <w:rStyle w:val="FootnoteReference"/>
        </w:rPr>
        <w:footnoteRef/>
      </w:r>
      <w:r>
        <w:t xml:space="preserve"> 3-year average data should be used as this column will have a unique number each year.</w:t>
      </w:r>
    </w:p>
  </w:footnote>
  <w:footnote w:id="18">
    <w:p w14:paraId="5CD19184" w14:textId="67322516"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86-91</w:t>
      </w:r>
      <w:r w:rsidR="000A7017" w:rsidRPr="00B66816">
        <w:rPr>
          <w:color w:val="000000" w:themeColor="text1"/>
          <w:szCs w:val="22"/>
        </w:rPr>
        <w:t xml:space="preserve"> (Section 8.5)</w:t>
      </w:r>
      <w:r w:rsidRPr="00B66816">
        <w:rPr>
          <w:color w:val="000000" w:themeColor="text1"/>
          <w:szCs w:val="22"/>
        </w:rPr>
        <w:t xml:space="preserve">.  </w:t>
      </w:r>
    </w:p>
  </w:footnote>
  <w:footnote w:id="19">
    <w:p w14:paraId="6EC85A67" w14:textId="095C660E"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106-110</w:t>
      </w:r>
      <w:r w:rsidR="000A7017" w:rsidRPr="00B66816">
        <w:rPr>
          <w:color w:val="000000" w:themeColor="text1"/>
          <w:szCs w:val="22"/>
        </w:rPr>
        <w:t xml:space="preserve"> (Section 9.10)</w:t>
      </w:r>
      <w:r w:rsidRPr="00B66816">
        <w:rPr>
          <w:color w:val="000000" w:themeColor="text1"/>
          <w:szCs w:val="22"/>
        </w:rPr>
        <w:t xml:space="preserve">.  </w:t>
      </w:r>
    </w:p>
  </w:footnote>
  <w:footnote w:id="20">
    <w:p w14:paraId="17411F60"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86-91.  </w:t>
      </w:r>
    </w:p>
  </w:footnote>
  <w:footnote w:id="21">
    <w:p w14:paraId="385D6664"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106-110.  </w:t>
      </w:r>
    </w:p>
  </w:footnote>
  <w:footnote w:id="22">
    <w:p w14:paraId="55188EA3" w14:textId="77777777" w:rsidR="00223A13" w:rsidRPr="00B66816" w:rsidRDefault="00223A13" w:rsidP="00223A13">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See, e.g., </w:t>
      </w:r>
      <w:r w:rsidRPr="00B66816">
        <w:rPr>
          <w:i/>
          <w:iCs/>
          <w:color w:val="000000" w:themeColor="text1"/>
          <w:szCs w:val="22"/>
        </w:rPr>
        <w:t>Comments of the Public Advocates Office on PG&amp;E’s 2025 Wildfire Mitigation Plan Update</w:t>
      </w:r>
      <w:r w:rsidRPr="003E2024">
        <w:rPr>
          <w:color w:val="000000" w:themeColor="text1"/>
          <w:szCs w:val="22"/>
        </w:rPr>
        <w:t xml:space="preserve"> </w:t>
      </w:r>
      <w:r w:rsidRPr="00B66816">
        <w:rPr>
          <w:color w:val="000000" w:themeColor="text1"/>
          <w:szCs w:val="22"/>
        </w:rPr>
        <w:t>at 31-32, May 7, 2024</w:t>
      </w:r>
      <w:r>
        <w:rPr>
          <w:color w:val="000000" w:themeColor="text1"/>
          <w:szCs w:val="22"/>
        </w:rPr>
        <w:t>.</w:t>
      </w:r>
    </w:p>
  </w:footnote>
  <w:footnote w:id="23">
    <w:p w14:paraId="2A24D8C9" w14:textId="77777777" w:rsidR="00223A13" w:rsidRPr="00B66816" w:rsidRDefault="00223A13" w:rsidP="00223A13">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See, e.g., </w:t>
      </w:r>
      <w:r w:rsidRPr="00B66816">
        <w:rPr>
          <w:i/>
          <w:iCs/>
          <w:color w:val="000000" w:themeColor="text1"/>
          <w:szCs w:val="22"/>
        </w:rPr>
        <w:t>Comments of the Public Advocates Office on SDG&amp;E’s 2025 Wildfire Mitigation Plan Update</w:t>
      </w:r>
      <w:r w:rsidRPr="003E2024">
        <w:rPr>
          <w:color w:val="000000" w:themeColor="text1"/>
          <w:szCs w:val="22"/>
        </w:rPr>
        <w:t xml:space="preserve"> </w:t>
      </w:r>
      <w:r w:rsidRPr="00B66816">
        <w:rPr>
          <w:color w:val="000000" w:themeColor="text1"/>
          <w:szCs w:val="22"/>
        </w:rPr>
        <w:t xml:space="preserve">at 12-13, May 7, 2024. </w:t>
      </w:r>
    </w:p>
  </w:footnote>
  <w:footnote w:id="24">
    <w:p w14:paraId="78DACDB6" w14:textId="02227AC6"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00524111" w:rsidRPr="00B66816">
        <w:rPr>
          <w:color w:val="000000" w:themeColor="text1"/>
          <w:szCs w:val="22"/>
        </w:rPr>
        <w:t xml:space="preserve">In Section 8.5, Energy Safety should add a </w:t>
      </w:r>
      <w:r w:rsidR="00D97298" w:rsidRPr="00B66816">
        <w:rPr>
          <w:color w:val="000000" w:themeColor="text1"/>
          <w:szCs w:val="22"/>
        </w:rPr>
        <w:t>sub-</w:t>
      </w:r>
      <w:r w:rsidRPr="00B66816">
        <w:rPr>
          <w:color w:val="000000" w:themeColor="text1"/>
          <w:szCs w:val="22"/>
        </w:rPr>
        <w:t xml:space="preserve">section titled: </w:t>
      </w:r>
      <w:r w:rsidRPr="00B66816">
        <w:rPr>
          <w:i/>
          <w:iCs/>
          <w:color w:val="000000" w:themeColor="text1"/>
          <w:szCs w:val="22"/>
        </w:rPr>
        <w:t>Section 8.5.8: Failure to Report QA and QC Data Related to Asset Inspections.</w:t>
      </w:r>
      <w:r w:rsidRPr="00B66816">
        <w:rPr>
          <w:color w:val="000000" w:themeColor="text1"/>
          <w:szCs w:val="22"/>
        </w:rPr>
        <w:t xml:space="preserve">  </w:t>
      </w:r>
    </w:p>
  </w:footnote>
  <w:footnote w:id="25">
    <w:p w14:paraId="7D12B93F" w14:textId="649E7138"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00524111" w:rsidRPr="00B66816">
        <w:rPr>
          <w:color w:val="000000" w:themeColor="text1"/>
          <w:szCs w:val="22"/>
        </w:rPr>
        <w:t xml:space="preserve">In Section 9.10, Energy Safety should add a </w:t>
      </w:r>
      <w:r w:rsidR="00D97298" w:rsidRPr="00B66816">
        <w:rPr>
          <w:color w:val="000000" w:themeColor="text1"/>
          <w:szCs w:val="22"/>
        </w:rPr>
        <w:t>sub-</w:t>
      </w:r>
      <w:r w:rsidRPr="00B66816">
        <w:rPr>
          <w:color w:val="000000" w:themeColor="text1"/>
          <w:szCs w:val="22"/>
        </w:rPr>
        <w:t xml:space="preserve">section titled: </w:t>
      </w:r>
      <w:r w:rsidRPr="00B66816">
        <w:rPr>
          <w:i/>
          <w:iCs/>
          <w:color w:val="000000" w:themeColor="text1"/>
          <w:szCs w:val="22"/>
        </w:rPr>
        <w:t>Section 9.10.8: Failure to Report QA and QC Data Related to Vegetation Management.</w:t>
      </w:r>
      <w:r w:rsidRPr="00B66816">
        <w:rPr>
          <w:color w:val="000000" w:themeColor="text1"/>
          <w:szCs w:val="22"/>
        </w:rPr>
        <w:t xml:space="preserve">  </w:t>
      </w:r>
    </w:p>
  </w:footnote>
  <w:footnote w:id="26">
    <w:p w14:paraId="3C332E53" w14:textId="4B0D2465" w:rsidR="00E84080" w:rsidRPr="00B66816" w:rsidRDefault="00E84080"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21</w:t>
      </w:r>
      <w:r w:rsidR="00A04F82" w:rsidRPr="00B66816">
        <w:rPr>
          <w:color w:val="000000" w:themeColor="text1"/>
          <w:szCs w:val="22"/>
        </w:rPr>
        <w:t xml:space="preserve"> (Table 3-3).</w:t>
      </w:r>
      <w:r w:rsidRPr="00B66816">
        <w:rPr>
          <w:color w:val="000000" w:themeColor="text1"/>
          <w:szCs w:val="22"/>
        </w:rPr>
        <w:t xml:space="preserve">  </w:t>
      </w:r>
    </w:p>
  </w:footnote>
  <w:footnote w:id="27">
    <w:p w14:paraId="0C854AE2" w14:textId="764E4FA0" w:rsidR="007832EA" w:rsidRPr="00B66816" w:rsidRDefault="007832EA"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Data for 2020, 2021, 2022, 2024 (projected), and 2025 (projected) are from Table 4-1 in PG&amp;E’s </w:t>
      </w:r>
      <w:r w:rsidRPr="001C4E53">
        <w:rPr>
          <w:i/>
          <w:iCs/>
          <w:color w:val="000000" w:themeColor="text1"/>
          <w:szCs w:val="22"/>
        </w:rPr>
        <w:t>2023-2025 Wildfire Mitigation Plan R6</w:t>
      </w:r>
      <w:r w:rsidR="008D5FB3" w:rsidRPr="00B66816">
        <w:rPr>
          <w:color w:val="000000" w:themeColor="text1"/>
          <w:szCs w:val="22"/>
        </w:rPr>
        <w:t xml:space="preserve"> at 73</w:t>
      </w:r>
      <w:r w:rsidRPr="00B66816">
        <w:rPr>
          <w:color w:val="000000" w:themeColor="text1"/>
          <w:szCs w:val="22"/>
        </w:rPr>
        <w:t xml:space="preserve">, July 5, 2024.  </w:t>
      </w:r>
    </w:p>
  </w:footnote>
  <w:footnote w:id="28">
    <w:p w14:paraId="64F5D0A1" w14:textId="72429A88" w:rsidR="007832EA" w:rsidRPr="00B66816" w:rsidRDefault="007832EA"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Data for 2023 are from Table 11 in PG&amp;E’s Quarterly Data Report for Q4 of 2023, revision 2, April 15, 2024.  The total is a summation of the reported actual capital and operating expenditures for the entire territory.</w:t>
      </w:r>
    </w:p>
  </w:footnote>
  <w:footnote w:id="29">
    <w:p w14:paraId="77A02E90" w14:textId="4A4D93A4" w:rsidR="00236897" w:rsidRPr="00B66816" w:rsidRDefault="00236897"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Cost data can be extracted from Table 11 of the Quarterly Data Reports for Q4 of a given year, but this is not a transparent </w:t>
      </w:r>
      <w:r w:rsidR="00E76BAF">
        <w:rPr>
          <w:color w:val="000000" w:themeColor="text1"/>
          <w:szCs w:val="22"/>
        </w:rPr>
        <w:t>way of assessing billions in potential ratepayer funded spending a year</w:t>
      </w:r>
      <w:r w:rsidRPr="00B66816">
        <w:rPr>
          <w:color w:val="000000" w:themeColor="text1"/>
          <w:szCs w:val="22"/>
        </w:rPr>
        <w:t>.</w:t>
      </w:r>
    </w:p>
  </w:footnote>
  <w:footnote w:id="30">
    <w:p w14:paraId="6FA79408" w14:textId="7368F000" w:rsidR="00236897" w:rsidRPr="00B66816" w:rsidRDefault="00236897"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00856719" w:rsidRPr="00B66816">
        <w:rPr>
          <w:color w:val="000000" w:themeColor="text1"/>
          <w:szCs w:val="22"/>
        </w:rPr>
        <w:t xml:space="preserve">Specifically, Energy Safety should revise Table 3-3 to include actual spending. </w:t>
      </w:r>
      <w:r w:rsidRPr="00B66816">
        <w:rPr>
          <w:color w:val="000000" w:themeColor="text1"/>
          <w:szCs w:val="22"/>
        </w:rPr>
        <w:t xml:space="preserve">Cost data for 2025 will not be available as of the filing date of the 2026-2028 WMPs, so </w:t>
      </w:r>
      <w:r w:rsidR="00A04F82" w:rsidRPr="00B66816">
        <w:rPr>
          <w:color w:val="000000" w:themeColor="text1"/>
          <w:szCs w:val="22"/>
        </w:rPr>
        <w:t xml:space="preserve">the 2026-2025 WMP Guidelines should require the utility to provide a forecast. Complete, actual </w:t>
      </w:r>
      <w:r w:rsidRPr="00B66816">
        <w:rPr>
          <w:color w:val="000000" w:themeColor="text1"/>
          <w:szCs w:val="22"/>
        </w:rPr>
        <w:t>2025 cost data should be included in the following year’s WMP Update.</w:t>
      </w:r>
    </w:p>
  </w:footnote>
  <w:footnote w:id="31">
    <w:p w14:paraId="531AF29B"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4.  </w:t>
      </w:r>
    </w:p>
  </w:footnote>
  <w:footnote w:id="32">
    <w:p w14:paraId="4771CC1A" w14:textId="77777777" w:rsidR="009D715C" w:rsidRPr="00B66816" w:rsidRDefault="009D715C" w:rsidP="009D715C">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4.  </w:t>
      </w:r>
    </w:p>
  </w:footnote>
  <w:footnote w:id="33">
    <w:p w14:paraId="052007AB"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4.</w:t>
      </w:r>
    </w:p>
  </w:footnote>
  <w:footnote w:id="34">
    <w:p w14:paraId="38D2F12E"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CSV refers to Comma-Separated Values. CSV is a widely-used file format that stores tabular data in plain text, where each line represents a data record, and fields within a record are separated by commas. CSV files are compatible with various software tools, making them ideal for data analysis and integration. </w:t>
      </w:r>
    </w:p>
  </w:footnote>
  <w:footnote w:id="35">
    <w:p w14:paraId="0F7B452F"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4. Table data is explicitly required but data for graphs, maps, and figures is not mentioned.</w:t>
      </w:r>
    </w:p>
  </w:footnote>
  <w:footnote w:id="36">
    <w:p w14:paraId="0719DCE4" w14:textId="3F37C499"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4. Table data format is explicitly described, but data formats for graphs, maps, and figures </w:t>
      </w:r>
      <w:r w:rsidR="00B66816">
        <w:rPr>
          <w:color w:val="000000" w:themeColor="text1"/>
          <w:szCs w:val="22"/>
        </w:rPr>
        <w:t>are</w:t>
      </w:r>
      <w:r w:rsidR="00B66816" w:rsidRPr="00B66816">
        <w:rPr>
          <w:color w:val="000000" w:themeColor="text1"/>
          <w:szCs w:val="22"/>
        </w:rPr>
        <w:t xml:space="preserve"> </w:t>
      </w:r>
      <w:r w:rsidRPr="00B66816">
        <w:rPr>
          <w:color w:val="000000" w:themeColor="text1"/>
          <w:szCs w:val="22"/>
        </w:rPr>
        <w:t>not mentioned.</w:t>
      </w:r>
    </w:p>
  </w:footnote>
  <w:footnote w:id="37">
    <w:p w14:paraId="063BCEE1" w14:textId="77777777" w:rsidR="00C06A2E" w:rsidRPr="00B66816" w:rsidRDefault="00C06A2E" w:rsidP="00B66816">
      <w:pPr>
        <w:pStyle w:val="FootnoteText"/>
        <w:spacing w:line="240" w:lineRule="auto"/>
        <w:rPr>
          <w:i/>
          <w:iCs/>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14-19. Section 3.4, Prioritized List of Wildfire Risks and Risk Drivers, </w:t>
      </w:r>
      <w:r w:rsidRPr="00B66816">
        <w:rPr>
          <w:i/>
          <w:iCs/>
          <w:color w:val="000000" w:themeColor="text1"/>
          <w:szCs w:val="22"/>
        </w:rPr>
        <w:t>Table 3-1. List of Risks and Risk Drivers to Prioritize.</w:t>
      </w:r>
    </w:p>
  </w:footnote>
  <w:footnote w:id="38">
    <w:p w14:paraId="3F7C3C1F"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14-19. Section 3.4, Prioritized List of Wildfire Risks and Risk Drivers, </w:t>
      </w:r>
      <w:r w:rsidRPr="00B66816">
        <w:rPr>
          <w:i/>
          <w:iCs/>
          <w:color w:val="000000" w:themeColor="text1"/>
          <w:szCs w:val="22"/>
        </w:rPr>
        <w:t>Table 3-1. List of Risks and Risk Drivers to Prioritize.</w:t>
      </w:r>
    </w:p>
  </w:footnote>
  <w:footnote w:id="39">
    <w:p w14:paraId="5ED5ECCB" w14:textId="7C665ABE" w:rsidR="006761E5" w:rsidRDefault="006761E5">
      <w:pPr>
        <w:pStyle w:val="FootnoteText"/>
      </w:pPr>
      <w:r>
        <w:rPr>
          <w:rStyle w:val="FootnoteReference"/>
        </w:rPr>
        <w:footnoteRef/>
      </w:r>
      <w:r>
        <w:t xml:space="preserve"> </w:t>
      </w:r>
      <w:r w:rsidR="00673A46" w:rsidRPr="00673A46">
        <w:t>The year 2019 was significant as it was the first time utilities were required to submit Wildfire Mitigation Plans (WMPs). This introduced a formal process for utilities to outline their approaches to reducing wildfire risks and report on their efforts, providing a baseline for tracking progress and improving safety measures.</w:t>
      </w:r>
    </w:p>
  </w:footnote>
  <w:footnote w:id="40">
    <w:p w14:paraId="34FC4138" w14:textId="77348100" w:rsidR="00701E2D" w:rsidRDefault="00701E2D">
      <w:pPr>
        <w:pStyle w:val="FootnoteText"/>
      </w:pPr>
      <w:r>
        <w:rPr>
          <w:rStyle w:val="FootnoteReference"/>
        </w:rPr>
        <w:footnoteRef/>
      </w:r>
      <w:r>
        <w:t xml:space="preserve"> </w:t>
      </w:r>
      <w:r w:rsidRPr="00673A46">
        <w:t>The year 2019 was significant as it was the first time utilities were required to submit Wildfire Mitigation Plans (WMPs). This introduced a formal process for utilities to outline their approaches to reducing wildfire risks and report on their efforts, providing a baseline for tracking progress and improving safety measures.</w:t>
      </w:r>
    </w:p>
  </w:footnote>
  <w:footnote w:id="41">
    <w:p w14:paraId="1C1B3573" w14:textId="47E2709C"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24</w:t>
      </w:r>
      <w:r w:rsidR="00B66816">
        <w:rPr>
          <w:color w:val="000000" w:themeColor="text1"/>
          <w:szCs w:val="22"/>
        </w:rPr>
        <w:t>:</w:t>
      </w:r>
      <w:r w:rsidRPr="00B66816">
        <w:rPr>
          <w:color w:val="000000" w:themeColor="text1"/>
          <w:szCs w:val="22"/>
        </w:rPr>
        <w:t xml:space="preserve"> “The electrical corporation must cite to an authoritative government source (e.g., CPUC, CAL FIRE, U.S. Forest Service, or local fire authority) for all data provided to the extent this information is available.”</w:t>
      </w:r>
    </w:p>
  </w:footnote>
  <w:footnote w:id="42">
    <w:p w14:paraId="5ADE3B7E" w14:textId="232008C5"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23-24</w:t>
      </w:r>
      <w:r w:rsidR="00B66816">
        <w:rPr>
          <w:color w:val="000000" w:themeColor="text1"/>
          <w:szCs w:val="22"/>
        </w:rPr>
        <w:t>:</w:t>
      </w:r>
      <w:r w:rsidRPr="00B66816">
        <w:rPr>
          <w:color w:val="000000" w:themeColor="text1"/>
          <w:szCs w:val="22"/>
        </w:rPr>
        <w:t xml:space="preserve"> </w:t>
      </w:r>
    </w:p>
    <w:p w14:paraId="1A9D2BE4" w14:textId="77777777" w:rsidR="00C06A2E" w:rsidRPr="00B66816" w:rsidRDefault="00C06A2E" w:rsidP="00BE7DCF">
      <w:pPr>
        <w:pStyle w:val="FootnoteText"/>
        <w:spacing w:line="240" w:lineRule="auto"/>
        <w:ind w:left="720" w:right="1440"/>
        <w:rPr>
          <w:color w:val="000000" w:themeColor="text1"/>
          <w:szCs w:val="22"/>
        </w:rPr>
      </w:pPr>
      <w:r w:rsidRPr="00B66816">
        <w:rPr>
          <w:color w:val="000000" w:themeColor="text1"/>
          <w:szCs w:val="22"/>
        </w:rPr>
        <w:t>For this section, wildfire history must be limited to electrical corporation ignited catastrophic fires (i.e., fires that caused at least one death, damaged over 500 structures, or burned over 5,000 acres). This includes catastrophic wildfire ignitions reported to the CPUC that may be attributable to facilities or equipment owned by the electrical corporation and where the cause of the ignition is still under investigation by the CPUC, CAL FIRE, and/or other authoritative government sources.</w:t>
      </w:r>
    </w:p>
  </w:footnote>
  <w:footnote w:id="43">
    <w:p w14:paraId="1AA97883"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23-24. See footnote 11.</w:t>
      </w:r>
    </w:p>
  </w:footnote>
  <w:footnote w:id="44">
    <w:p w14:paraId="7280F348" w14:textId="77777777"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23-24. See footnote 11.</w:t>
      </w:r>
    </w:p>
  </w:footnote>
  <w:footnote w:id="45">
    <w:p w14:paraId="7B086301" w14:textId="0B736262" w:rsidR="00893C2A" w:rsidRDefault="00893C2A">
      <w:pPr>
        <w:pStyle w:val="FootnoteText"/>
      </w:pPr>
      <w:r>
        <w:rPr>
          <w:rStyle w:val="FootnoteReference"/>
        </w:rPr>
        <w:footnoteRef/>
      </w:r>
      <w:r>
        <w:t xml:space="preserve"> In some cases, the cause of ignition may be unknown or undetermined.</w:t>
      </w:r>
    </w:p>
  </w:footnote>
  <w:footnote w:id="46">
    <w:p w14:paraId="58020C1D" w14:textId="678CBF18"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Draft 2026-2028 WMP Guidelines at 24-26. Section 4.3, Frequently Deenergized Circuits, </w:t>
      </w:r>
      <w:r w:rsidRPr="00B66816">
        <w:rPr>
          <w:i/>
          <w:iCs/>
          <w:color w:val="000000" w:themeColor="text1"/>
          <w:szCs w:val="22"/>
        </w:rPr>
        <w:t>Table 4-3. Example of Frequently Deenergized Circuits</w:t>
      </w:r>
      <w:r w:rsidR="00B66816">
        <w:rPr>
          <w:i/>
          <w:iCs/>
          <w:color w:val="000000" w:themeColor="text1"/>
          <w:szCs w:val="22"/>
        </w:rPr>
        <w:t>.</w:t>
      </w:r>
    </w:p>
  </w:footnote>
  <w:footnote w:id="47">
    <w:p w14:paraId="21512006" w14:textId="503D416E" w:rsidR="00113200" w:rsidRPr="00B66816" w:rsidRDefault="00113200"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Pr="00673691">
        <w:rPr>
          <w:i/>
          <w:iCs/>
          <w:color w:val="000000" w:themeColor="text1"/>
          <w:szCs w:val="22"/>
        </w:rPr>
        <w:t>Comments of the Public Advocates Office on the 2023 Wildfire Mitigation Plan Guideline Development Workshop</w:t>
      </w:r>
      <w:r w:rsidRPr="00B66816">
        <w:rPr>
          <w:color w:val="000000" w:themeColor="text1"/>
          <w:szCs w:val="22"/>
        </w:rPr>
        <w:t xml:space="preserve">, May 6, 2022 in </w:t>
      </w:r>
      <w:r w:rsidR="003E2024">
        <w:rPr>
          <w:color w:val="000000" w:themeColor="text1"/>
          <w:szCs w:val="22"/>
        </w:rPr>
        <w:t>d</w:t>
      </w:r>
      <w:r w:rsidRPr="00B66816">
        <w:rPr>
          <w:color w:val="000000" w:themeColor="text1"/>
          <w:szCs w:val="22"/>
        </w:rPr>
        <w:t xml:space="preserve">ocket 2023-2025-WMPs; Public Advocates Office, </w:t>
      </w:r>
      <w:r w:rsidRPr="00673691">
        <w:rPr>
          <w:i/>
          <w:iCs/>
          <w:color w:val="000000" w:themeColor="text1"/>
          <w:szCs w:val="22"/>
        </w:rPr>
        <w:t>Input for Next Iteration of WMP Guidelines</w:t>
      </w:r>
      <w:r w:rsidRPr="00B66816">
        <w:rPr>
          <w:color w:val="000000" w:themeColor="text1"/>
          <w:szCs w:val="22"/>
        </w:rPr>
        <w:t xml:space="preserve">, April 8, 2024 in </w:t>
      </w:r>
      <w:r w:rsidR="003E2024">
        <w:rPr>
          <w:color w:val="000000" w:themeColor="text1"/>
          <w:szCs w:val="22"/>
        </w:rPr>
        <w:t>d</w:t>
      </w:r>
      <w:r w:rsidRPr="00B66816">
        <w:rPr>
          <w:color w:val="000000" w:themeColor="text1"/>
          <w:szCs w:val="22"/>
        </w:rPr>
        <w:t>ocket WMP-Guidelines.</w:t>
      </w:r>
    </w:p>
  </w:footnote>
  <w:footnote w:id="48">
    <w:p w14:paraId="69F00A19" w14:textId="4A4C9A7A" w:rsidR="00236897" w:rsidRPr="00B66816" w:rsidRDefault="00236897"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These comments refer to PG&amp;E, SCE, SDG&amp;E, PacifiCorp, Liberty, and BVES.  The transmission-only operators are not discussed</w:t>
      </w:r>
      <w:r w:rsidR="00B66816">
        <w:rPr>
          <w:color w:val="000000" w:themeColor="text1"/>
          <w:szCs w:val="22"/>
        </w:rPr>
        <w:t xml:space="preserve"> here</w:t>
      </w:r>
      <w:r w:rsidRPr="00B66816">
        <w:rPr>
          <w:color w:val="000000" w:themeColor="text1"/>
          <w:szCs w:val="22"/>
        </w:rPr>
        <w:t>.</w:t>
      </w:r>
    </w:p>
  </w:footnote>
  <w:footnote w:id="49">
    <w:p w14:paraId="2D0FD72A" w14:textId="0C4BD02E" w:rsidR="00EB4461" w:rsidRPr="00B66816" w:rsidRDefault="00EB4461"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00081EBA" w:rsidRPr="00B66816">
        <w:rPr>
          <w:color w:val="000000" w:themeColor="text1"/>
          <w:szCs w:val="22"/>
        </w:rPr>
        <w:t xml:space="preserve">For example, </w:t>
      </w:r>
      <w:r w:rsidRPr="00B66816">
        <w:rPr>
          <w:color w:val="000000" w:themeColor="text1"/>
          <w:szCs w:val="22"/>
        </w:rPr>
        <w:t>PG&amp;E’s 2023-2025 Wildfire Mitigation Plan, March 27, 2023, was a 1,504-page pdf file.</w:t>
      </w:r>
    </w:p>
  </w:footnote>
  <w:footnote w:id="50">
    <w:p w14:paraId="1CA1AC9E" w14:textId="531ECF06" w:rsidR="00EB4461" w:rsidRPr="00B66816" w:rsidRDefault="00EB4461"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Public Utilities Code </w:t>
      </w:r>
      <w:r w:rsidR="00AE34BE">
        <w:rPr>
          <w:color w:val="000000" w:themeColor="text1"/>
          <w:szCs w:val="22"/>
        </w:rPr>
        <w:t>s</w:t>
      </w:r>
      <w:r w:rsidRPr="00B66816">
        <w:rPr>
          <w:color w:val="000000" w:themeColor="text1"/>
          <w:szCs w:val="22"/>
        </w:rPr>
        <w:t>ection 8386(b).</w:t>
      </w:r>
    </w:p>
  </w:footnote>
  <w:footnote w:id="51">
    <w:p w14:paraId="1472D502" w14:textId="77777777" w:rsidR="00F937F8" w:rsidRDefault="00F937F8">
      <w:pPr>
        <w:pStyle w:val="FootnoteText"/>
      </w:pPr>
      <w:r>
        <w:rPr>
          <w:rStyle w:val="FootnoteReference"/>
        </w:rPr>
        <w:footnoteRef/>
      </w:r>
      <w:r>
        <w:t xml:space="preserve"> </w:t>
      </w:r>
      <w:r w:rsidRPr="00F937F8">
        <w:t>PG&amp;E will file a new GRC application (test year 2027) in mid-2025</w:t>
      </w:r>
      <w:r>
        <w:t>. With our proposed schedule, PG&amp;E’s next comprehensive WMP and its next GRC cycle will start simultaneously in 2027.</w:t>
      </w:r>
    </w:p>
    <w:p w14:paraId="236AE55C" w14:textId="77777777" w:rsidR="00182F8E" w:rsidRDefault="00182F8E">
      <w:pPr>
        <w:pStyle w:val="FootnoteText"/>
      </w:pPr>
      <w:r>
        <w:t>SCE’s currently approved GRC covers 2025-2028. With our proposed schedule, SCE will file a comprehensive WMP to cover the last three years of its current GRC cycle (2026-2028). Then, its subsequent comprehensive WMP would start simultaneously with the test year 2029 GRC cycle.</w:t>
      </w:r>
    </w:p>
    <w:p w14:paraId="3DDACC45" w14:textId="0246A10A" w:rsidR="00182F8E" w:rsidRDefault="00182F8E">
      <w:pPr>
        <w:pStyle w:val="FootnoteText"/>
      </w:pPr>
      <w:r>
        <w:t xml:space="preserve">SDG&amp;E’s current GRC application (for which a proposed decision is pending) is test year 2024 and covers the period 2024-2027. With our proposed schedule, SDG&amp;E would submit a new comprehensive WMP shortly after the CPUC issues a decision on its GRC in 2025, which is appropriate because the GRC decision will affect the resources available for wildfire mitigation. </w:t>
      </w:r>
    </w:p>
  </w:footnote>
  <w:footnote w:id="52">
    <w:p w14:paraId="09EDB5C9" w14:textId="7ABA9842" w:rsidR="00FD04ED" w:rsidRPr="00B66816" w:rsidRDefault="00FD04ED"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Energy Safety, </w:t>
      </w:r>
      <w:r w:rsidRPr="00B66816">
        <w:rPr>
          <w:i/>
          <w:iCs/>
          <w:color w:val="000000" w:themeColor="text1"/>
          <w:szCs w:val="22"/>
        </w:rPr>
        <w:t>2025 Wildfire Mitigation Plan Update Guidelines</w:t>
      </w:r>
      <w:r w:rsidRPr="00B66816">
        <w:rPr>
          <w:color w:val="000000" w:themeColor="text1"/>
          <w:szCs w:val="22"/>
        </w:rPr>
        <w:t>, January 2024.</w:t>
      </w:r>
      <w:r w:rsidR="00596BA5" w:rsidRPr="00B66816">
        <w:rPr>
          <w:color w:val="000000" w:themeColor="text1"/>
          <w:szCs w:val="22"/>
        </w:rPr>
        <w:t xml:space="preserve"> Energy Safety would need only to add a brief section to the Draft 2026-2028 WMP Guidelines to direct </w:t>
      </w:r>
      <w:r w:rsidR="00596BA5" w:rsidRPr="00F10583">
        <w:rPr>
          <w:color w:val="000000" w:themeColor="text1"/>
          <w:szCs w:val="22"/>
        </w:rPr>
        <w:t xml:space="preserve">SCE, SDG&amp;E, and BVES to </w:t>
      </w:r>
      <w:r w:rsidR="003A29D0" w:rsidRPr="00F10583">
        <w:rPr>
          <w:color w:val="000000" w:themeColor="text1"/>
          <w:szCs w:val="22"/>
        </w:rPr>
        <w:t>use</w:t>
      </w:r>
      <w:r w:rsidR="00596BA5" w:rsidRPr="00F10583">
        <w:rPr>
          <w:color w:val="000000" w:themeColor="text1"/>
          <w:szCs w:val="22"/>
        </w:rPr>
        <w:t xml:space="preserve"> the 2025 WMP Update Guidelines, with the explanation that all instances of “2025</w:t>
      </w:r>
      <w:r w:rsidR="00596BA5" w:rsidRPr="00B66816">
        <w:rPr>
          <w:color w:val="000000" w:themeColor="text1"/>
          <w:szCs w:val="22"/>
        </w:rPr>
        <w:t>” should be interpreted to refer to 2026.  This would obviate the need for Energy Safety to release two sets of new guidelines.</w:t>
      </w:r>
    </w:p>
  </w:footnote>
  <w:footnote w:id="53">
    <w:p w14:paraId="3DEFA084" w14:textId="3152D09F" w:rsidR="00B9519E" w:rsidRPr="00B66816" w:rsidRDefault="00B9519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00D90099" w:rsidRPr="00B66816">
        <w:rPr>
          <w:color w:val="000000" w:themeColor="text1"/>
          <w:szCs w:val="22"/>
        </w:rPr>
        <w:t xml:space="preserve">Executive Order N-5-24, October 30, 2024. </w:t>
      </w:r>
      <w:r w:rsidRPr="00B66816">
        <w:rPr>
          <w:color w:val="000000" w:themeColor="text1"/>
          <w:szCs w:val="22"/>
        </w:rPr>
        <w:t xml:space="preserve">See a summary of the executive order at </w:t>
      </w:r>
      <w:hyperlink r:id="rId1" w:history="1">
        <w:r w:rsidR="00B66816" w:rsidRPr="00B66816">
          <w:rPr>
            <w:rStyle w:val="Hyperlink"/>
            <w:color w:val="000000" w:themeColor="text1"/>
            <w:szCs w:val="22"/>
          </w:rPr>
          <w:t>https://www.gov.ca.gov/2024/10/30/governor-newsom-issues-executive-order-tackling-rising-electric-bills/</w:t>
        </w:r>
      </w:hyperlink>
      <w:r w:rsidR="00B66816" w:rsidRPr="00B66816">
        <w:rPr>
          <w:color w:val="000000" w:themeColor="text1"/>
          <w:szCs w:val="22"/>
        </w:rPr>
        <w:t xml:space="preserve"> </w:t>
      </w:r>
    </w:p>
  </w:footnote>
  <w:footnote w:id="54">
    <w:p w14:paraId="235FC2B2" w14:textId="77777777" w:rsidR="00C06A2E" w:rsidRPr="00B66816" w:rsidRDefault="00C06A2E" w:rsidP="00B66816">
      <w:pPr>
        <w:pStyle w:val="FootnoteText"/>
        <w:spacing w:line="240" w:lineRule="auto"/>
        <w:rPr>
          <w:i/>
          <w:iCs/>
          <w:color w:val="000000" w:themeColor="text1"/>
          <w:szCs w:val="22"/>
        </w:rPr>
      </w:pPr>
      <w:r w:rsidRPr="00B66816">
        <w:rPr>
          <w:rStyle w:val="FootnoteReference"/>
          <w:sz w:val="22"/>
          <w:szCs w:val="22"/>
        </w:rPr>
        <w:footnoteRef/>
      </w:r>
      <w:r w:rsidRPr="00B66816">
        <w:rPr>
          <w:color w:val="000000" w:themeColor="text1"/>
          <w:szCs w:val="22"/>
        </w:rPr>
        <w:t xml:space="preserve"> </w:t>
      </w:r>
      <w:r w:rsidRPr="00B66816">
        <w:rPr>
          <w:i/>
          <w:iCs/>
          <w:color w:val="000000" w:themeColor="text1"/>
          <w:szCs w:val="22"/>
        </w:rPr>
        <w:t>Comments of the Public Advocates Office on the 2023 Wildfire Mitigation Plan Guideline Development Workshop</w:t>
      </w:r>
      <w:r w:rsidRPr="00B66816">
        <w:rPr>
          <w:color w:val="000000" w:themeColor="text1"/>
          <w:szCs w:val="22"/>
        </w:rPr>
        <w:t>, May 6, 2022, at 15-17.</w:t>
      </w:r>
    </w:p>
  </w:footnote>
  <w:footnote w:id="55">
    <w:p w14:paraId="086AF8D9" w14:textId="2CBFAEEC" w:rsidR="00C06A2E" w:rsidRPr="00B66816" w:rsidRDefault="00C06A2E" w:rsidP="00B66816">
      <w:pPr>
        <w:pStyle w:val="FootnoteText"/>
        <w:spacing w:line="240" w:lineRule="auto"/>
        <w:rPr>
          <w:color w:val="000000" w:themeColor="text1"/>
          <w:szCs w:val="22"/>
        </w:rPr>
      </w:pPr>
      <w:r w:rsidRPr="00B66816">
        <w:rPr>
          <w:rStyle w:val="FootnoteReference"/>
          <w:sz w:val="22"/>
          <w:szCs w:val="22"/>
        </w:rPr>
        <w:footnoteRef/>
      </w:r>
      <w:r w:rsidRPr="00B66816">
        <w:rPr>
          <w:color w:val="000000" w:themeColor="text1"/>
          <w:szCs w:val="22"/>
        </w:rPr>
        <w:t xml:space="preserve"> </w:t>
      </w:r>
      <w:r w:rsidRPr="00B66816">
        <w:rPr>
          <w:i/>
          <w:iCs/>
          <w:color w:val="000000" w:themeColor="text1"/>
          <w:szCs w:val="22"/>
        </w:rPr>
        <w:t>See, e.g.</w:t>
      </w:r>
      <w:r w:rsidRPr="00B66816">
        <w:rPr>
          <w:color w:val="000000" w:themeColor="text1"/>
          <w:szCs w:val="22"/>
        </w:rPr>
        <w:t xml:space="preserve">, PG&amp;E’s 2023-2026 GRC Decision, which authorized $4.7 billion for wildfire mitigation system hardening. </w:t>
      </w:r>
      <w:r w:rsidR="00DE080D" w:rsidRPr="00B66816">
        <w:rPr>
          <w:color w:val="000000" w:themeColor="text1"/>
          <w:szCs w:val="22"/>
        </w:rPr>
        <w:t xml:space="preserve">CPUC </w:t>
      </w:r>
      <w:r w:rsidRPr="00B66816">
        <w:rPr>
          <w:color w:val="000000" w:themeColor="text1"/>
          <w:szCs w:val="22"/>
        </w:rPr>
        <w:t>Decision 23-11-069, November 17, 2023, Figure F at 273.</w:t>
      </w:r>
    </w:p>
  </w:footnote>
  <w:footnote w:id="56">
    <w:p w14:paraId="0AD947B2" w14:textId="6430385D" w:rsidR="00C06A2E" w:rsidRPr="00B66816" w:rsidRDefault="00C06A2E" w:rsidP="00B66816">
      <w:pPr>
        <w:pStyle w:val="FootnoteText"/>
        <w:spacing w:line="240" w:lineRule="auto"/>
        <w:rPr>
          <w:color w:val="000000" w:themeColor="text1"/>
          <w:szCs w:val="22"/>
          <w:shd w:val="clear" w:color="auto" w:fill="FFFFFF"/>
        </w:rPr>
      </w:pPr>
      <w:r w:rsidRPr="00B66816">
        <w:rPr>
          <w:rStyle w:val="FootnoteReference"/>
          <w:sz w:val="22"/>
          <w:szCs w:val="22"/>
        </w:rPr>
        <w:footnoteRef/>
      </w:r>
      <w:r w:rsidRPr="00B66816">
        <w:rPr>
          <w:color w:val="000000" w:themeColor="text1"/>
          <w:szCs w:val="22"/>
        </w:rPr>
        <w:t xml:space="preserve"> </w:t>
      </w:r>
      <w:r w:rsidRPr="00B66816">
        <w:rPr>
          <w:color w:val="000000" w:themeColor="text1"/>
          <w:szCs w:val="22"/>
          <w:shd w:val="clear" w:color="auto" w:fill="FFFFFF"/>
        </w:rPr>
        <w:t>Executive Order N-5-24, October 30, 2024</w:t>
      </w:r>
      <w:r w:rsidR="00E17873" w:rsidRPr="00B66816">
        <w:rPr>
          <w:color w:val="000000" w:themeColor="text1"/>
          <w:szCs w:val="22"/>
          <w:shd w:val="clear" w:color="auto" w:fill="FFFFFF"/>
        </w:rPr>
        <w:t>:</w:t>
      </w:r>
    </w:p>
    <w:p w14:paraId="370E5C7A" w14:textId="10DD2622" w:rsidR="00C06A2E" w:rsidRPr="00B66816" w:rsidRDefault="00C06A2E" w:rsidP="00BE7DCF">
      <w:pPr>
        <w:pStyle w:val="FootnoteText"/>
        <w:spacing w:line="240" w:lineRule="auto"/>
        <w:ind w:left="720" w:right="1440"/>
        <w:rPr>
          <w:color w:val="000000" w:themeColor="text1"/>
          <w:szCs w:val="22"/>
        </w:rPr>
      </w:pPr>
      <w:r w:rsidRPr="00B66816">
        <w:rPr>
          <w:color w:val="000000" w:themeColor="text1"/>
          <w:szCs w:val="22"/>
        </w:rPr>
        <w:t>The Office of Energy Infrastructure Safety is directed, and the California Public Utilities Commission is requested, to consult with each other on adjustments to utility wildfire safety oversight processes, procedures, and practices that would yield administrative efficiencies and focus utility investments and activities on cost-effective wildfire mitigation measures that reduce wildfire ignition risk while managing costs to electric ratepayers.</w:t>
      </w:r>
    </w:p>
    <w:p w14:paraId="78389C93" w14:textId="5BEC9719" w:rsidR="00E17873" w:rsidRPr="00B66816" w:rsidRDefault="00E17873" w:rsidP="00B66816">
      <w:pPr>
        <w:pStyle w:val="FootnoteText"/>
        <w:spacing w:line="240" w:lineRule="auto"/>
        <w:rPr>
          <w:color w:val="000000" w:themeColor="text1"/>
          <w:szCs w:val="22"/>
        </w:rPr>
      </w:pPr>
      <w:r w:rsidRPr="00B66816">
        <w:rPr>
          <w:color w:val="000000" w:themeColor="text1"/>
          <w:szCs w:val="22"/>
        </w:rPr>
        <w:t xml:space="preserve">The full text is available at </w:t>
      </w:r>
      <w:hyperlink r:id="rId2" w:history="1">
        <w:r w:rsidRPr="00B66816">
          <w:rPr>
            <w:rStyle w:val="Hyperlink"/>
            <w:color w:val="000000" w:themeColor="text1"/>
            <w:szCs w:val="22"/>
          </w:rPr>
          <w:t>https://www.gov.ca.gov/wp-content/uploads/2024/10/energy-EO-10-30-24.pdf</w:t>
        </w:r>
      </w:hyperlink>
      <w:r w:rsidRPr="00B66816">
        <w:rPr>
          <w:color w:val="000000" w:themeColor="text1"/>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6948" w14:textId="02C81A3E" w:rsidR="00A55020" w:rsidRDefault="00A55020">
    <w:pPr>
      <w:pStyle w:val="Header"/>
    </w:pPr>
    <w:r>
      <w:rPr>
        <w:noProof/>
      </w:rPr>
      <w:drawing>
        <wp:anchor distT="0" distB="0" distL="114300" distR="114300" simplePos="0" relativeHeight="251658240" behindDoc="1" locked="0" layoutInCell="1" allowOverlap="1" wp14:anchorId="51A36429" wp14:editId="36F6CCA3">
          <wp:simplePos x="0" y="0"/>
          <wp:positionH relativeFrom="page">
            <wp:align>right</wp:align>
          </wp:positionH>
          <wp:positionV relativeFrom="page">
            <wp:align>bottom</wp:align>
          </wp:positionV>
          <wp:extent cx="7799070" cy="10029825"/>
          <wp:effectExtent l="0" t="0" r="0" b="9525"/>
          <wp:wrapNone/>
          <wp:docPr id="1048787050" name="Picture 104878705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9070" cy="10029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3CFF" w14:textId="77777777" w:rsidR="00F240DB" w:rsidRDefault="00F24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80C6" w14:textId="77777777" w:rsidR="00F240DB" w:rsidRDefault="00F24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1F16" w14:textId="77777777" w:rsidR="00BE7DCF" w:rsidRDefault="00BE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19E27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746FE7"/>
    <w:multiLevelType w:val="hybridMultilevel"/>
    <w:tmpl w:val="A684969C"/>
    <w:lvl w:ilvl="0" w:tplc="0409000F">
      <w:start w:val="1"/>
      <w:numFmt w:val="decimal"/>
      <w:lvlText w:val="%1."/>
      <w:lvlJc w:val="left"/>
      <w:pPr>
        <w:ind w:left="2520" w:hanging="360"/>
      </w:pPr>
      <w:rPr>
        <w:rFonts w:hint="default"/>
        <w:b/>
        <w:bCs/>
        <w:sz w:val="26"/>
        <w:szCs w:val="2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5427FA"/>
    <w:multiLevelType w:val="hybridMultilevel"/>
    <w:tmpl w:val="AA8EB542"/>
    <w:lvl w:ilvl="0" w:tplc="23E6B8BE">
      <w:start w:val="1"/>
      <w:numFmt w:val="bullet"/>
      <w:lvlText w:val=""/>
      <w:lvlJc w:val="left"/>
      <w:pPr>
        <w:ind w:left="720" w:hanging="360"/>
      </w:pPr>
      <w:rPr>
        <w:rFonts w:ascii="Symbol" w:hAnsi="Symbol"/>
      </w:rPr>
    </w:lvl>
    <w:lvl w:ilvl="1" w:tplc="F7CE4808">
      <w:start w:val="1"/>
      <w:numFmt w:val="bullet"/>
      <w:lvlText w:val=""/>
      <w:lvlJc w:val="left"/>
      <w:pPr>
        <w:ind w:left="720" w:hanging="360"/>
      </w:pPr>
      <w:rPr>
        <w:rFonts w:ascii="Symbol" w:hAnsi="Symbol"/>
      </w:rPr>
    </w:lvl>
    <w:lvl w:ilvl="2" w:tplc="AE382366">
      <w:start w:val="1"/>
      <w:numFmt w:val="bullet"/>
      <w:lvlText w:val=""/>
      <w:lvlJc w:val="left"/>
      <w:pPr>
        <w:ind w:left="720" w:hanging="360"/>
      </w:pPr>
      <w:rPr>
        <w:rFonts w:ascii="Symbol" w:hAnsi="Symbol"/>
      </w:rPr>
    </w:lvl>
    <w:lvl w:ilvl="3" w:tplc="495A92E8">
      <w:start w:val="1"/>
      <w:numFmt w:val="bullet"/>
      <w:lvlText w:val=""/>
      <w:lvlJc w:val="left"/>
      <w:pPr>
        <w:ind w:left="720" w:hanging="360"/>
      </w:pPr>
      <w:rPr>
        <w:rFonts w:ascii="Symbol" w:hAnsi="Symbol"/>
      </w:rPr>
    </w:lvl>
    <w:lvl w:ilvl="4" w:tplc="7ABCEF50">
      <w:start w:val="1"/>
      <w:numFmt w:val="bullet"/>
      <w:lvlText w:val=""/>
      <w:lvlJc w:val="left"/>
      <w:pPr>
        <w:ind w:left="720" w:hanging="360"/>
      </w:pPr>
      <w:rPr>
        <w:rFonts w:ascii="Symbol" w:hAnsi="Symbol"/>
      </w:rPr>
    </w:lvl>
    <w:lvl w:ilvl="5" w:tplc="8762451C">
      <w:start w:val="1"/>
      <w:numFmt w:val="bullet"/>
      <w:lvlText w:val=""/>
      <w:lvlJc w:val="left"/>
      <w:pPr>
        <w:ind w:left="720" w:hanging="360"/>
      </w:pPr>
      <w:rPr>
        <w:rFonts w:ascii="Symbol" w:hAnsi="Symbol"/>
      </w:rPr>
    </w:lvl>
    <w:lvl w:ilvl="6" w:tplc="C6203AF4">
      <w:start w:val="1"/>
      <w:numFmt w:val="bullet"/>
      <w:lvlText w:val=""/>
      <w:lvlJc w:val="left"/>
      <w:pPr>
        <w:ind w:left="720" w:hanging="360"/>
      </w:pPr>
      <w:rPr>
        <w:rFonts w:ascii="Symbol" w:hAnsi="Symbol"/>
      </w:rPr>
    </w:lvl>
    <w:lvl w:ilvl="7" w:tplc="0CE28998">
      <w:start w:val="1"/>
      <w:numFmt w:val="bullet"/>
      <w:lvlText w:val=""/>
      <w:lvlJc w:val="left"/>
      <w:pPr>
        <w:ind w:left="720" w:hanging="360"/>
      </w:pPr>
      <w:rPr>
        <w:rFonts w:ascii="Symbol" w:hAnsi="Symbol"/>
      </w:rPr>
    </w:lvl>
    <w:lvl w:ilvl="8" w:tplc="055C1344">
      <w:start w:val="1"/>
      <w:numFmt w:val="bullet"/>
      <w:lvlText w:val=""/>
      <w:lvlJc w:val="left"/>
      <w:pPr>
        <w:ind w:left="720" w:hanging="360"/>
      </w:pPr>
      <w:rPr>
        <w:rFonts w:ascii="Symbol" w:hAnsi="Symbol"/>
      </w:rPr>
    </w:lvl>
  </w:abstractNum>
  <w:abstractNum w:abstractNumId="3" w15:restartNumberingAfterBreak="0">
    <w:nsid w:val="05BB1880"/>
    <w:multiLevelType w:val="hybridMultilevel"/>
    <w:tmpl w:val="E0EC73D8"/>
    <w:lvl w:ilvl="0" w:tplc="89422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DAB"/>
    <w:multiLevelType w:val="hybridMultilevel"/>
    <w:tmpl w:val="0358B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B4C20"/>
    <w:multiLevelType w:val="hybridMultilevel"/>
    <w:tmpl w:val="401CFC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84B483C"/>
    <w:multiLevelType w:val="hybridMultilevel"/>
    <w:tmpl w:val="AE8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9083B"/>
    <w:multiLevelType w:val="hybridMultilevel"/>
    <w:tmpl w:val="398CFC14"/>
    <w:lvl w:ilvl="0" w:tplc="04090017">
      <w:start w:val="1"/>
      <w:numFmt w:val="lowerLetter"/>
      <w:lvlText w:val="%1)"/>
      <w:lvlJc w:val="left"/>
      <w:pPr>
        <w:tabs>
          <w:tab w:val="num" w:pos="720"/>
        </w:tabs>
        <w:ind w:left="720" w:hanging="360"/>
      </w:pPr>
    </w:lvl>
    <w:lvl w:ilvl="1" w:tplc="BFC20CF4">
      <w:start w:val="1"/>
      <w:numFmt w:val="decimal"/>
      <w:lvlText w:val="%2."/>
      <w:lvlJc w:val="left"/>
      <w:pPr>
        <w:ind w:left="1800" w:hanging="720"/>
      </w:pPr>
      <w:rPr>
        <w:rFonts w:hint="default"/>
      </w:rPr>
    </w:lvl>
    <w:lvl w:ilvl="2" w:tplc="6330C898" w:tentative="1">
      <w:start w:val="1"/>
      <w:numFmt w:val="decimal"/>
      <w:lvlText w:val="%3."/>
      <w:lvlJc w:val="left"/>
      <w:pPr>
        <w:tabs>
          <w:tab w:val="num" w:pos="2160"/>
        </w:tabs>
        <w:ind w:left="2160" w:hanging="360"/>
      </w:pPr>
    </w:lvl>
    <w:lvl w:ilvl="3" w:tplc="08D8AB90" w:tentative="1">
      <w:start w:val="1"/>
      <w:numFmt w:val="decimal"/>
      <w:lvlText w:val="%4."/>
      <w:lvlJc w:val="left"/>
      <w:pPr>
        <w:tabs>
          <w:tab w:val="num" w:pos="2880"/>
        </w:tabs>
        <w:ind w:left="2880" w:hanging="360"/>
      </w:pPr>
    </w:lvl>
    <w:lvl w:ilvl="4" w:tplc="2ABA8A0E" w:tentative="1">
      <w:start w:val="1"/>
      <w:numFmt w:val="decimal"/>
      <w:lvlText w:val="%5."/>
      <w:lvlJc w:val="left"/>
      <w:pPr>
        <w:tabs>
          <w:tab w:val="num" w:pos="3600"/>
        </w:tabs>
        <w:ind w:left="3600" w:hanging="360"/>
      </w:pPr>
    </w:lvl>
    <w:lvl w:ilvl="5" w:tplc="A3B6E5A6" w:tentative="1">
      <w:start w:val="1"/>
      <w:numFmt w:val="decimal"/>
      <w:lvlText w:val="%6."/>
      <w:lvlJc w:val="left"/>
      <w:pPr>
        <w:tabs>
          <w:tab w:val="num" w:pos="4320"/>
        </w:tabs>
        <w:ind w:left="4320" w:hanging="360"/>
      </w:pPr>
    </w:lvl>
    <w:lvl w:ilvl="6" w:tplc="CB18EBD8" w:tentative="1">
      <w:start w:val="1"/>
      <w:numFmt w:val="decimal"/>
      <w:lvlText w:val="%7."/>
      <w:lvlJc w:val="left"/>
      <w:pPr>
        <w:tabs>
          <w:tab w:val="num" w:pos="5040"/>
        </w:tabs>
        <w:ind w:left="5040" w:hanging="360"/>
      </w:pPr>
    </w:lvl>
    <w:lvl w:ilvl="7" w:tplc="49908EAE" w:tentative="1">
      <w:start w:val="1"/>
      <w:numFmt w:val="decimal"/>
      <w:lvlText w:val="%8."/>
      <w:lvlJc w:val="left"/>
      <w:pPr>
        <w:tabs>
          <w:tab w:val="num" w:pos="5760"/>
        </w:tabs>
        <w:ind w:left="5760" w:hanging="360"/>
      </w:pPr>
    </w:lvl>
    <w:lvl w:ilvl="8" w:tplc="41E07A62" w:tentative="1">
      <w:start w:val="1"/>
      <w:numFmt w:val="decimal"/>
      <w:lvlText w:val="%9."/>
      <w:lvlJc w:val="left"/>
      <w:pPr>
        <w:tabs>
          <w:tab w:val="num" w:pos="6480"/>
        </w:tabs>
        <w:ind w:left="6480" w:hanging="360"/>
      </w:pPr>
    </w:lvl>
  </w:abstractNum>
  <w:abstractNum w:abstractNumId="8" w15:restartNumberingAfterBreak="0">
    <w:nsid w:val="0BEB5A4C"/>
    <w:multiLevelType w:val="hybridMultilevel"/>
    <w:tmpl w:val="40F44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DCF5F3C"/>
    <w:multiLevelType w:val="multilevel"/>
    <w:tmpl w:val="5E5C7FE0"/>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0E503B60"/>
    <w:multiLevelType w:val="hybridMultilevel"/>
    <w:tmpl w:val="9EB40938"/>
    <w:lvl w:ilvl="0" w:tplc="04A0BFA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4A04AB"/>
    <w:multiLevelType w:val="hybridMultilevel"/>
    <w:tmpl w:val="9648E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0E77D6"/>
    <w:multiLevelType w:val="hybridMultilevel"/>
    <w:tmpl w:val="258A7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7E2473"/>
    <w:multiLevelType w:val="hybridMultilevel"/>
    <w:tmpl w:val="452E7D68"/>
    <w:lvl w:ilvl="0" w:tplc="79B81C9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AE59AD"/>
    <w:multiLevelType w:val="hybridMultilevel"/>
    <w:tmpl w:val="DC3EE8B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15:restartNumberingAfterBreak="0">
    <w:nsid w:val="250F629C"/>
    <w:multiLevelType w:val="hybridMultilevel"/>
    <w:tmpl w:val="66EE1B28"/>
    <w:lvl w:ilvl="0" w:tplc="559EE420">
      <w:start w:val="1"/>
      <w:numFmt w:val="bullet"/>
      <w:lvlText w:val=""/>
      <w:lvlJc w:val="left"/>
      <w:pPr>
        <w:ind w:left="720" w:hanging="360"/>
      </w:pPr>
      <w:rPr>
        <w:rFonts w:ascii="Symbol" w:hAnsi="Symbol"/>
      </w:rPr>
    </w:lvl>
    <w:lvl w:ilvl="1" w:tplc="26C8167E">
      <w:start w:val="1"/>
      <w:numFmt w:val="bullet"/>
      <w:lvlText w:val=""/>
      <w:lvlJc w:val="left"/>
      <w:pPr>
        <w:ind w:left="720" w:hanging="360"/>
      </w:pPr>
      <w:rPr>
        <w:rFonts w:ascii="Symbol" w:hAnsi="Symbol"/>
      </w:rPr>
    </w:lvl>
    <w:lvl w:ilvl="2" w:tplc="2F680DAC">
      <w:start w:val="1"/>
      <w:numFmt w:val="bullet"/>
      <w:lvlText w:val=""/>
      <w:lvlJc w:val="left"/>
      <w:pPr>
        <w:ind w:left="720" w:hanging="360"/>
      </w:pPr>
      <w:rPr>
        <w:rFonts w:ascii="Symbol" w:hAnsi="Symbol"/>
      </w:rPr>
    </w:lvl>
    <w:lvl w:ilvl="3" w:tplc="E61C58E0">
      <w:start w:val="1"/>
      <w:numFmt w:val="bullet"/>
      <w:lvlText w:val=""/>
      <w:lvlJc w:val="left"/>
      <w:pPr>
        <w:ind w:left="720" w:hanging="360"/>
      </w:pPr>
      <w:rPr>
        <w:rFonts w:ascii="Symbol" w:hAnsi="Symbol"/>
      </w:rPr>
    </w:lvl>
    <w:lvl w:ilvl="4" w:tplc="EE7CA27A">
      <w:start w:val="1"/>
      <w:numFmt w:val="bullet"/>
      <w:lvlText w:val=""/>
      <w:lvlJc w:val="left"/>
      <w:pPr>
        <w:ind w:left="720" w:hanging="360"/>
      </w:pPr>
      <w:rPr>
        <w:rFonts w:ascii="Symbol" w:hAnsi="Symbol"/>
      </w:rPr>
    </w:lvl>
    <w:lvl w:ilvl="5" w:tplc="AD8A0048">
      <w:start w:val="1"/>
      <w:numFmt w:val="bullet"/>
      <w:lvlText w:val=""/>
      <w:lvlJc w:val="left"/>
      <w:pPr>
        <w:ind w:left="720" w:hanging="360"/>
      </w:pPr>
      <w:rPr>
        <w:rFonts w:ascii="Symbol" w:hAnsi="Symbol"/>
      </w:rPr>
    </w:lvl>
    <w:lvl w:ilvl="6" w:tplc="44329F52">
      <w:start w:val="1"/>
      <w:numFmt w:val="bullet"/>
      <w:lvlText w:val=""/>
      <w:lvlJc w:val="left"/>
      <w:pPr>
        <w:ind w:left="720" w:hanging="360"/>
      </w:pPr>
      <w:rPr>
        <w:rFonts w:ascii="Symbol" w:hAnsi="Symbol"/>
      </w:rPr>
    </w:lvl>
    <w:lvl w:ilvl="7" w:tplc="ABEAB9EA">
      <w:start w:val="1"/>
      <w:numFmt w:val="bullet"/>
      <w:lvlText w:val=""/>
      <w:lvlJc w:val="left"/>
      <w:pPr>
        <w:ind w:left="720" w:hanging="360"/>
      </w:pPr>
      <w:rPr>
        <w:rFonts w:ascii="Symbol" w:hAnsi="Symbol"/>
      </w:rPr>
    </w:lvl>
    <w:lvl w:ilvl="8" w:tplc="D60E7D64">
      <w:start w:val="1"/>
      <w:numFmt w:val="bullet"/>
      <w:lvlText w:val=""/>
      <w:lvlJc w:val="left"/>
      <w:pPr>
        <w:ind w:left="720" w:hanging="360"/>
      </w:pPr>
      <w:rPr>
        <w:rFonts w:ascii="Symbol" w:hAnsi="Symbol"/>
      </w:rPr>
    </w:lvl>
  </w:abstractNum>
  <w:abstractNum w:abstractNumId="16" w15:restartNumberingAfterBreak="0">
    <w:nsid w:val="26276124"/>
    <w:multiLevelType w:val="hybridMultilevel"/>
    <w:tmpl w:val="F776F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3B48C3"/>
    <w:multiLevelType w:val="hybridMultilevel"/>
    <w:tmpl w:val="047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A7191"/>
    <w:multiLevelType w:val="hybridMultilevel"/>
    <w:tmpl w:val="22F8D9B4"/>
    <w:lvl w:ilvl="0" w:tplc="6D42F1BE">
      <w:start w:val="1"/>
      <w:numFmt w:val="bullet"/>
      <w:lvlText w:val=""/>
      <w:lvlJc w:val="left"/>
      <w:pPr>
        <w:ind w:left="720" w:hanging="360"/>
      </w:pPr>
      <w:rPr>
        <w:rFonts w:ascii="Symbol" w:hAnsi="Symbol"/>
      </w:rPr>
    </w:lvl>
    <w:lvl w:ilvl="1" w:tplc="C0F4F364">
      <w:start w:val="1"/>
      <w:numFmt w:val="bullet"/>
      <w:lvlText w:val=""/>
      <w:lvlJc w:val="left"/>
      <w:pPr>
        <w:ind w:left="720" w:hanging="360"/>
      </w:pPr>
      <w:rPr>
        <w:rFonts w:ascii="Symbol" w:hAnsi="Symbol"/>
      </w:rPr>
    </w:lvl>
    <w:lvl w:ilvl="2" w:tplc="E6829E9E">
      <w:start w:val="1"/>
      <w:numFmt w:val="bullet"/>
      <w:lvlText w:val=""/>
      <w:lvlJc w:val="left"/>
      <w:pPr>
        <w:ind w:left="720" w:hanging="360"/>
      </w:pPr>
      <w:rPr>
        <w:rFonts w:ascii="Symbol" w:hAnsi="Symbol"/>
      </w:rPr>
    </w:lvl>
    <w:lvl w:ilvl="3" w:tplc="A940A4FC">
      <w:start w:val="1"/>
      <w:numFmt w:val="bullet"/>
      <w:lvlText w:val=""/>
      <w:lvlJc w:val="left"/>
      <w:pPr>
        <w:ind w:left="720" w:hanging="360"/>
      </w:pPr>
      <w:rPr>
        <w:rFonts w:ascii="Symbol" w:hAnsi="Symbol"/>
      </w:rPr>
    </w:lvl>
    <w:lvl w:ilvl="4" w:tplc="C6121EB2">
      <w:start w:val="1"/>
      <w:numFmt w:val="bullet"/>
      <w:lvlText w:val=""/>
      <w:lvlJc w:val="left"/>
      <w:pPr>
        <w:ind w:left="720" w:hanging="360"/>
      </w:pPr>
      <w:rPr>
        <w:rFonts w:ascii="Symbol" w:hAnsi="Symbol"/>
      </w:rPr>
    </w:lvl>
    <w:lvl w:ilvl="5" w:tplc="1D70BFA8">
      <w:start w:val="1"/>
      <w:numFmt w:val="bullet"/>
      <w:lvlText w:val=""/>
      <w:lvlJc w:val="left"/>
      <w:pPr>
        <w:ind w:left="720" w:hanging="360"/>
      </w:pPr>
      <w:rPr>
        <w:rFonts w:ascii="Symbol" w:hAnsi="Symbol"/>
      </w:rPr>
    </w:lvl>
    <w:lvl w:ilvl="6" w:tplc="144AD50A">
      <w:start w:val="1"/>
      <w:numFmt w:val="bullet"/>
      <w:lvlText w:val=""/>
      <w:lvlJc w:val="left"/>
      <w:pPr>
        <w:ind w:left="720" w:hanging="360"/>
      </w:pPr>
      <w:rPr>
        <w:rFonts w:ascii="Symbol" w:hAnsi="Symbol"/>
      </w:rPr>
    </w:lvl>
    <w:lvl w:ilvl="7" w:tplc="6182475C">
      <w:start w:val="1"/>
      <w:numFmt w:val="bullet"/>
      <w:lvlText w:val=""/>
      <w:lvlJc w:val="left"/>
      <w:pPr>
        <w:ind w:left="720" w:hanging="360"/>
      </w:pPr>
      <w:rPr>
        <w:rFonts w:ascii="Symbol" w:hAnsi="Symbol"/>
      </w:rPr>
    </w:lvl>
    <w:lvl w:ilvl="8" w:tplc="F93ABBA4">
      <w:start w:val="1"/>
      <w:numFmt w:val="bullet"/>
      <w:lvlText w:val=""/>
      <w:lvlJc w:val="left"/>
      <w:pPr>
        <w:ind w:left="720" w:hanging="360"/>
      </w:pPr>
      <w:rPr>
        <w:rFonts w:ascii="Symbol" w:hAnsi="Symbol"/>
      </w:rPr>
    </w:lvl>
  </w:abstractNum>
  <w:abstractNum w:abstractNumId="19" w15:restartNumberingAfterBreak="0">
    <w:nsid w:val="30B4387E"/>
    <w:multiLevelType w:val="hybridMultilevel"/>
    <w:tmpl w:val="F2C2A23E"/>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0" w15:restartNumberingAfterBreak="0">
    <w:nsid w:val="32162BA3"/>
    <w:multiLevelType w:val="hybridMultilevel"/>
    <w:tmpl w:val="001A2D9A"/>
    <w:lvl w:ilvl="0" w:tplc="42982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6A731C"/>
    <w:multiLevelType w:val="hybridMultilevel"/>
    <w:tmpl w:val="ADB44A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E1CE8"/>
    <w:multiLevelType w:val="hybridMultilevel"/>
    <w:tmpl w:val="6E566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672982"/>
    <w:multiLevelType w:val="hybridMultilevel"/>
    <w:tmpl w:val="5A120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A05EEA"/>
    <w:multiLevelType w:val="hybridMultilevel"/>
    <w:tmpl w:val="C7663718"/>
    <w:lvl w:ilvl="0" w:tplc="DFEACD72">
      <w:start w:val="1"/>
      <w:numFmt w:val="decimal"/>
      <w:lvlText w:val="%1."/>
      <w:lvlJc w:val="left"/>
      <w:pPr>
        <w:ind w:left="720" w:hanging="360"/>
      </w:pPr>
      <w:rPr>
        <w:rFonts w:hint="default"/>
        <w:b/>
        <w:bCs/>
        <w:color w:val="auto"/>
        <w:sz w:val="26"/>
        <w:szCs w:val="2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A48F0"/>
    <w:multiLevelType w:val="hybridMultilevel"/>
    <w:tmpl w:val="C164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35EBE"/>
    <w:multiLevelType w:val="hybridMultilevel"/>
    <w:tmpl w:val="40D0C344"/>
    <w:lvl w:ilvl="0" w:tplc="C192AF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B970A0"/>
    <w:multiLevelType w:val="hybridMultilevel"/>
    <w:tmpl w:val="E3BA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14D92"/>
    <w:multiLevelType w:val="hybridMultilevel"/>
    <w:tmpl w:val="04D48AC8"/>
    <w:lvl w:ilvl="0" w:tplc="8B56DF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BC2691"/>
    <w:multiLevelType w:val="hybridMultilevel"/>
    <w:tmpl w:val="6C4C24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43084"/>
    <w:multiLevelType w:val="hybridMultilevel"/>
    <w:tmpl w:val="D2E08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F82F8B"/>
    <w:multiLevelType w:val="hybridMultilevel"/>
    <w:tmpl w:val="2878FC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B43A70"/>
    <w:multiLevelType w:val="hybridMultilevel"/>
    <w:tmpl w:val="CF6E27E6"/>
    <w:lvl w:ilvl="0" w:tplc="363054F6">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AB0A20"/>
    <w:multiLevelType w:val="hybridMultilevel"/>
    <w:tmpl w:val="037609AA"/>
    <w:lvl w:ilvl="0" w:tplc="1FF07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06589B"/>
    <w:multiLevelType w:val="hybridMultilevel"/>
    <w:tmpl w:val="E418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05967"/>
    <w:multiLevelType w:val="hybridMultilevel"/>
    <w:tmpl w:val="201C5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FB2FD9"/>
    <w:multiLevelType w:val="hybridMultilevel"/>
    <w:tmpl w:val="871C9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D37686"/>
    <w:multiLevelType w:val="hybridMultilevel"/>
    <w:tmpl w:val="809C831E"/>
    <w:lvl w:ilvl="0" w:tplc="B2C60E48">
      <w:start w:val="1"/>
      <w:numFmt w:val="bullet"/>
      <w:lvlText w:val=""/>
      <w:lvlJc w:val="left"/>
      <w:pPr>
        <w:ind w:left="720" w:hanging="360"/>
      </w:pPr>
      <w:rPr>
        <w:rFonts w:ascii="Symbol" w:hAnsi="Symbol"/>
      </w:rPr>
    </w:lvl>
    <w:lvl w:ilvl="1" w:tplc="304C2EC6">
      <w:start w:val="1"/>
      <w:numFmt w:val="bullet"/>
      <w:lvlText w:val=""/>
      <w:lvlJc w:val="left"/>
      <w:pPr>
        <w:ind w:left="720" w:hanging="360"/>
      </w:pPr>
      <w:rPr>
        <w:rFonts w:ascii="Symbol" w:hAnsi="Symbol"/>
      </w:rPr>
    </w:lvl>
    <w:lvl w:ilvl="2" w:tplc="DDF8EF98">
      <w:start w:val="1"/>
      <w:numFmt w:val="bullet"/>
      <w:lvlText w:val=""/>
      <w:lvlJc w:val="left"/>
      <w:pPr>
        <w:ind w:left="720" w:hanging="360"/>
      </w:pPr>
      <w:rPr>
        <w:rFonts w:ascii="Symbol" w:hAnsi="Symbol"/>
      </w:rPr>
    </w:lvl>
    <w:lvl w:ilvl="3" w:tplc="46C689EC">
      <w:start w:val="1"/>
      <w:numFmt w:val="bullet"/>
      <w:lvlText w:val=""/>
      <w:lvlJc w:val="left"/>
      <w:pPr>
        <w:ind w:left="720" w:hanging="360"/>
      </w:pPr>
      <w:rPr>
        <w:rFonts w:ascii="Symbol" w:hAnsi="Symbol"/>
      </w:rPr>
    </w:lvl>
    <w:lvl w:ilvl="4" w:tplc="A712DEA2">
      <w:start w:val="1"/>
      <w:numFmt w:val="bullet"/>
      <w:lvlText w:val=""/>
      <w:lvlJc w:val="left"/>
      <w:pPr>
        <w:ind w:left="720" w:hanging="360"/>
      </w:pPr>
      <w:rPr>
        <w:rFonts w:ascii="Symbol" w:hAnsi="Symbol"/>
      </w:rPr>
    </w:lvl>
    <w:lvl w:ilvl="5" w:tplc="7DC210CA">
      <w:start w:val="1"/>
      <w:numFmt w:val="bullet"/>
      <w:lvlText w:val=""/>
      <w:lvlJc w:val="left"/>
      <w:pPr>
        <w:ind w:left="720" w:hanging="360"/>
      </w:pPr>
      <w:rPr>
        <w:rFonts w:ascii="Symbol" w:hAnsi="Symbol"/>
      </w:rPr>
    </w:lvl>
    <w:lvl w:ilvl="6" w:tplc="66903C0C">
      <w:start w:val="1"/>
      <w:numFmt w:val="bullet"/>
      <w:lvlText w:val=""/>
      <w:lvlJc w:val="left"/>
      <w:pPr>
        <w:ind w:left="720" w:hanging="360"/>
      </w:pPr>
      <w:rPr>
        <w:rFonts w:ascii="Symbol" w:hAnsi="Symbol"/>
      </w:rPr>
    </w:lvl>
    <w:lvl w:ilvl="7" w:tplc="03EA87B2">
      <w:start w:val="1"/>
      <w:numFmt w:val="bullet"/>
      <w:lvlText w:val=""/>
      <w:lvlJc w:val="left"/>
      <w:pPr>
        <w:ind w:left="720" w:hanging="360"/>
      </w:pPr>
      <w:rPr>
        <w:rFonts w:ascii="Symbol" w:hAnsi="Symbol"/>
      </w:rPr>
    </w:lvl>
    <w:lvl w:ilvl="8" w:tplc="2A8ED492">
      <w:start w:val="1"/>
      <w:numFmt w:val="bullet"/>
      <w:lvlText w:val=""/>
      <w:lvlJc w:val="left"/>
      <w:pPr>
        <w:ind w:left="720" w:hanging="360"/>
      </w:pPr>
      <w:rPr>
        <w:rFonts w:ascii="Symbol" w:hAnsi="Symbol"/>
      </w:rPr>
    </w:lvl>
  </w:abstractNum>
  <w:abstractNum w:abstractNumId="38" w15:restartNumberingAfterBreak="0">
    <w:nsid w:val="63370941"/>
    <w:multiLevelType w:val="hybridMultilevel"/>
    <w:tmpl w:val="53380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D479B6"/>
    <w:multiLevelType w:val="hybridMultilevel"/>
    <w:tmpl w:val="2E8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0F45EB"/>
    <w:multiLevelType w:val="multilevel"/>
    <w:tmpl w:val="E66AF39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6DC441F8"/>
    <w:multiLevelType w:val="hybridMultilevel"/>
    <w:tmpl w:val="F02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11220"/>
    <w:multiLevelType w:val="hybridMultilevel"/>
    <w:tmpl w:val="07F224C4"/>
    <w:lvl w:ilvl="0" w:tplc="04090001">
      <w:start w:val="1"/>
      <w:numFmt w:val="bullet"/>
      <w:lvlText w:val=""/>
      <w:lvlJc w:val="left"/>
      <w:pPr>
        <w:ind w:left="2160" w:hanging="360"/>
      </w:pPr>
      <w:rPr>
        <w:rFonts w:ascii="Symbol" w:hAnsi="Symbol" w:hint="default"/>
      </w:rPr>
    </w:lvl>
    <w:lvl w:ilvl="1" w:tplc="DB6437A8">
      <w:start w:val="2"/>
      <w:numFmt w:val="bullet"/>
      <w:lvlText w:val="•"/>
      <w:lvlJc w:val="left"/>
      <w:pPr>
        <w:ind w:left="3240" w:hanging="72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3A84719"/>
    <w:multiLevelType w:val="hybridMultilevel"/>
    <w:tmpl w:val="834A1FEA"/>
    <w:lvl w:ilvl="0" w:tplc="9C76C51E">
      <w:start w:val="1"/>
      <w:numFmt w:val="bullet"/>
      <w:pStyle w:val="ListBullet"/>
      <w:lvlText w:val=""/>
      <w:lvlJc w:val="left"/>
      <w:pPr>
        <w:ind w:left="1080" w:hanging="360"/>
      </w:pPr>
      <w:rPr>
        <w:rFonts w:ascii="Symbol" w:hAnsi="Symbol" w:hint="default"/>
      </w:rPr>
    </w:lvl>
    <w:lvl w:ilvl="1" w:tplc="929C044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EA53C4"/>
    <w:multiLevelType w:val="hybridMultilevel"/>
    <w:tmpl w:val="9FCE0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26E37"/>
    <w:multiLevelType w:val="hybridMultilevel"/>
    <w:tmpl w:val="ECCA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5587"/>
    <w:multiLevelType w:val="hybridMultilevel"/>
    <w:tmpl w:val="07B4E310"/>
    <w:lvl w:ilvl="0" w:tplc="EE9A2CAA">
      <w:start w:val="1"/>
      <w:numFmt w:val="lowerRoman"/>
      <w:lvlText w:val="%1)"/>
      <w:lvlJc w:val="left"/>
      <w:pPr>
        <w:tabs>
          <w:tab w:val="num" w:pos="7920"/>
        </w:tabs>
        <w:ind w:left="7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7A569E"/>
    <w:multiLevelType w:val="hybridMultilevel"/>
    <w:tmpl w:val="4FFE21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9544877">
    <w:abstractNumId w:val="0"/>
  </w:num>
  <w:num w:numId="2" w16cid:durableId="2098355473">
    <w:abstractNumId w:val="46"/>
  </w:num>
  <w:num w:numId="3" w16cid:durableId="1855219426">
    <w:abstractNumId w:val="29"/>
  </w:num>
  <w:num w:numId="4" w16cid:durableId="1189027041">
    <w:abstractNumId w:val="43"/>
  </w:num>
  <w:num w:numId="5" w16cid:durableId="2028287095">
    <w:abstractNumId w:val="32"/>
  </w:num>
  <w:num w:numId="6" w16cid:durableId="95259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736693">
    <w:abstractNumId w:val="27"/>
  </w:num>
  <w:num w:numId="8" w16cid:durableId="803540772">
    <w:abstractNumId w:val="26"/>
  </w:num>
  <w:num w:numId="9" w16cid:durableId="1419710466">
    <w:abstractNumId w:val="28"/>
  </w:num>
  <w:num w:numId="10" w16cid:durableId="2128885281">
    <w:abstractNumId w:val="3"/>
  </w:num>
  <w:num w:numId="11" w16cid:durableId="2116048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4757419">
    <w:abstractNumId w:val="22"/>
  </w:num>
  <w:num w:numId="13" w16cid:durableId="1956935882">
    <w:abstractNumId w:val="35"/>
  </w:num>
  <w:num w:numId="14" w16cid:durableId="1034189604">
    <w:abstractNumId w:val="1"/>
  </w:num>
  <w:num w:numId="15" w16cid:durableId="1655643068">
    <w:abstractNumId w:val="33"/>
  </w:num>
  <w:num w:numId="16" w16cid:durableId="135535355">
    <w:abstractNumId w:val="20"/>
  </w:num>
  <w:num w:numId="17" w16cid:durableId="246812678">
    <w:abstractNumId w:val="24"/>
  </w:num>
  <w:num w:numId="18" w16cid:durableId="348264094">
    <w:abstractNumId w:val="13"/>
  </w:num>
  <w:num w:numId="19" w16cid:durableId="311251370">
    <w:abstractNumId w:val="0"/>
  </w:num>
  <w:num w:numId="20" w16cid:durableId="306669087">
    <w:abstractNumId w:val="5"/>
  </w:num>
  <w:num w:numId="21" w16cid:durableId="881983507">
    <w:abstractNumId w:val="4"/>
  </w:num>
  <w:num w:numId="22" w16cid:durableId="630982579">
    <w:abstractNumId w:val="12"/>
  </w:num>
  <w:num w:numId="23" w16cid:durableId="1762330580">
    <w:abstractNumId w:val="16"/>
  </w:num>
  <w:num w:numId="24" w16cid:durableId="91706368">
    <w:abstractNumId w:val="47"/>
  </w:num>
  <w:num w:numId="25" w16cid:durableId="753892515">
    <w:abstractNumId w:val="30"/>
  </w:num>
  <w:num w:numId="26" w16cid:durableId="1392078835">
    <w:abstractNumId w:val="44"/>
  </w:num>
  <w:num w:numId="27" w16cid:durableId="2064982937">
    <w:abstractNumId w:val="31"/>
  </w:num>
  <w:num w:numId="28" w16cid:durableId="1722246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2038753">
    <w:abstractNumId w:val="21"/>
  </w:num>
  <w:num w:numId="30" w16cid:durableId="1324435847">
    <w:abstractNumId w:val="41"/>
  </w:num>
  <w:num w:numId="31" w16cid:durableId="1857428466">
    <w:abstractNumId w:val="17"/>
  </w:num>
  <w:num w:numId="32" w16cid:durableId="661155813">
    <w:abstractNumId w:val="34"/>
  </w:num>
  <w:num w:numId="33" w16cid:durableId="1667629763">
    <w:abstractNumId w:val="9"/>
  </w:num>
  <w:num w:numId="34" w16cid:durableId="1649245582">
    <w:abstractNumId w:val="23"/>
  </w:num>
  <w:num w:numId="35" w16cid:durableId="1541241022">
    <w:abstractNumId w:val="25"/>
  </w:num>
  <w:num w:numId="36" w16cid:durableId="1167207092">
    <w:abstractNumId w:val="7"/>
  </w:num>
  <w:num w:numId="37" w16cid:durableId="611285088">
    <w:abstractNumId w:val="38"/>
  </w:num>
  <w:num w:numId="38" w16cid:durableId="167529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3191283">
    <w:abstractNumId w:val="19"/>
  </w:num>
  <w:num w:numId="40" w16cid:durableId="1507207859">
    <w:abstractNumId w:val="0"/>
  </w:num>
  <w:num w:numId="41" w16cid:durableId="1823697993">
    <w:abstractNumId w:val="10"/>
  </w:num>
  <w:num w:numId="42" w16cid:durableId="210189221">
    <w:abstractNumId w:val="39"/>
  </w:num>
  <w:num w:numId="43" w16cid:durableId="2146585231">
    <w:abstractNumId w:val="15"/>
  </w:num>
  <w:num w:numId="44" w16cid:durableId="1265189373">
    <w:abstractNumId w:val="37"/>
  </w:num>
  <w:num w:numId="45" w16cid:durableId="1037200494">
    <w:abstractNumId w:val="18"/>
  </w:num>
  <w:num w:numId="46" w16cid:durableId="539437897">
    <w:abstractNumId w:val="2"/>
  </w:num>
  <w:num w:numId="47" w16cid:durableId="971251112">
    <w:abstractNumId w:val="45"/>
  </w:num>
  <w:num w:numId="48" w16cid:durableId="1280451334">
    <w:abstractNumId w:val="6"/>
  </w:num>
  <w:num w:numId="49" w16cid:durableId="1600410848">
    <w:abstractNumId w:val="14"/>
  </w:num>
  <w:num w:numId="50" w16cid:durableId="731998151">
    <w:abstractNumId w:val="11"/>
  </w:num>
  <w:num w:numId="51" w16cid:durableId="432897381">
    <w:abstractNumId w:val="8"/>
  </w:num>
  <w:num w:numId="52" w16cid:durableId="845708153">
    <w:abstractNumId w:val="36"/>
  </w:num>
  <w:num w:numId="53" w16cid:durableId="1523275981">
    <w:abstractNumId w:val="42"/>
  </w:num>
  <w:num w:numId="54" w16cid:durableId="1765876722">
    <w:abstractNumId w:val="0"/>
  </w:num>
  <w:num w:numId="55" w16cid:durableId="135270617">
    <w:abstractNumId w:val="0"/>
  </w:num>
  <w:num w:numId="56" w16cid:durableId="884947015">
    <w:abstractNumId w:val="0"/>
  </w:num>
  <w:num w:numId="57" w16cid:durableId="1621178923">
    <w:abstractNumId w:val="0"/>
  </w:num>
  <w:num w:numId="58" w16cid:durableId="1006326264">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en-US" w:vendorID="64" w:dllVersion="0" w:nlCheck="1" w:checkStyle="0"/>
  <w:activeWritingStyle w:appName="MSWord" w:lang="es-419" w:vendorID="64" w:dllVersion="0" w:nlCheck="1" w:checkStyle="0"/>
  <w:activeWritingStyle w:appName="MSWord" w:lang="en-ZW"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D8"/>
    <w:rsid w:val="00000530"/>
    <w:rsid w:val="000005FB"/>
    <w:rsid w:val="00000B0B"/>
    <w:rsid w:val="00000DEA"/>
    <w:rsid w:val="00000FEC"/>
    <w:rsid w:val="000015F9"/>
    <w:rsid w:val="0000190A"/>
    <w:rsid w:val="00002EE6"/>
    <w:rsid w:val="00003DA1"/>
    <w:rsid w:val="00004DF7"/>
    <w:rsid w:val="000055CF"/>
    <w:rsid w:val="000056E7"/>
    <w:rsid w:val="00005CEB"/>
    <w:rsid w:val="00006257"/>
    <w:rsid w:val="000069BE"/>
    <w:rsid w:val="00007B06"/>
    <w:rsid w:val="0001045A"/>
    <w:rsid w:val="000104D4"/>
    <w:rsid w:val="00011117"/>
    <w:rsid w:val="00012091"/>
    <w:rsid w:val="000123C4"/>
    <w:rsid w:val="00012656"/>
    <w:rsid w:val="00013D98"/>
    <w:rsid w:val="000150BB"/>
    <w:rsid w:val="0001589D"/>
    <w:rsid w:val="00015A1E"/>
    <w:rsid w:val="00016966"/>
    <w:rsid w:val="00016A3A"/>
    <w:rsid w:val="00016E40"/>
    <w:rsid w:val="00017B0B"/>
    <w:rsid w:val="00017F6B"/>
    <w:rsid w:val="00020871"/>
    <w:rsid w:val="00020FC3"/>
    <w:rsid w:val="00022403"/>
    <w:rsid w:val="00022407"/>
    <w:rsid w:val="000227BD"/>
    <w:rsid w:val="0002367D"/>
    <w:rsid w:val="00023A97"/>
    <w:rsid w:val="00024050"/>
    <w:rsid w:val="000247DD"/>
    <w:rsid w:val="000248F7"/>
    <w:rsid w:val="00024B1C"/>
    <w:rsid w:val="00024CBF"/>
    <w:rsid w:val="00024FBF"/>
    <w:rsid w:val="0002510D"/>
    <w:rsid w:val="00025E04"/>
    <w:rsid w:val="00026002"/>
    <w:rsid w:val="00027035"/>
    <w:rsid w:val="0002705C"/>
    <w:rsid w:val="000301A2"/>
    <w:rsid w:val="00030A2E"/>
    <w:rsid w:val="00031029"/>
    <w:rsid w:val="00031E19"/>
    <w:rsid w:val="000322D7"/>
    <w:rsid w:val="00032EC7"/>
    <w:rsid w:val="00033D2F"/>
    <w:rsid w:val="00033DA6"/>
    <w:rsid w:val="00033FC6"/>
    <w:rsid w:val="0003646D"/>
    <w:rsid w:val="0003662A"/>
    <w:rsid w:val="0003749B"/>
    <w:rsid w:val="000374DD"/>
    <w:rsid w:val="000411D4"/>
    <w:rsid w:val="00042292"/>
    <w:rsid w:val="000424E5"/>
    <w:rsid w:val="000433AB"/>
    <w:rsid w:val="00043F7D"/>
    <w:rsid w:val="0004443C"/>
    <w:rsid w:val="00044576"/>
    <w:rsid w:val="00044886"/>
    <w:rsid w:val="00045DA4"/>
    <w:rsid w:val="00045FA5"/>
    <w:rsid w:val="000502E3"/>
    <w:rsid w:val="00050E67"/>
    <w:rsid w:val="00052135"/>
    <w:rsid w:val="00052DCB"/>
    <w:rsid w:val="000531B2"/>
    <w:rsid w:val="00053A1B"/>
    <w:rsid w:val="00053D0D"/>
    <w:rsid w:val="00053D95"/>
    <w:rsid w:val="00053DC0"/>
    <w:rsid w:val="00054000"/>
    <w:rsid w:val="00054016"/>
    <w:rsid w:val="0005406A"/>
    <w:rsid w:val="00054E22"/>
    <w:rsid w:val="00054FC5"/>
    <w:rsid w:val="0005588A"/>
    <w:rsid w:val="00055ADB"/>
    <w:rsid w:val="00056717"/>
    <w:rsid w:val="0005686D"/>
    <w:rsid w:val="00057D5F"/>
    <w:rsid w:val="0006018A"/>
    <w:rsid w:val="000606F3"/>
    <w:rsid w:val="0006078B"/>
    <w:rsid w:val="000608A9"/>
    <w:rsid w:val="00061261"/>
    <w:rsid w:val="00061740"/>
    <w:rsid w:val="00062829"/>
    <w:rsid w:val="000638CA"/>
    <w:rsid w:val="00063AB3"/>
    <w:rsid w:val="00063AC7"/>
    <w:rsid w:val="00063E14"/>
    <w:rsid w:val="00063F6C"/>
    <w:rsid w:val="0006423B"/>
    <w:rsid w:val="00064AC6"/>
    <w:rsid w:val="0006518C"/>
    <w:rsid w:val="000658F3"/>
    <w:rsid w:val="00065F4B"/>
    <w:rsid w:val="00066512"/>
    <w:rsid w:val="00066CD0"/>
    <w:rsid w:val="00066FA3"/>
    <w:rsid w:val="00070AB8"/>
    <w:rsid w:val="00070DB5"/>
    <w:rsid w:val="00070E20"/>
    <w:rsid w:val="00071905"/>
    <w:rsid w:val="00071B73"/>
    <w:rsid w:val="00071D83"/>
    <w:rsid w:val="00073458"/>
    <w:rsid w:val="00075783"/>
    <w:rsid w:val="000757A2"/>
    <w:rsid w:val="00076C4A"/>
    <w:rsid w:val="00076F18"/>
    <w:rsid w:val="000770A0"/>
    <w:rsid w:val="0007740E"/>
    <w:rsid w:val="00077D78"/>
    <w:rsid w:val="000818F4"/>
    <w:rsid w:val="00081AD9"/>
    <w:rsid w:val="00081EBA"/>
    <w:rsid w:val="000833FD"/>
    <w:rsid w:val="00083A25"/>
    <w:rsid w:val="0008476F"/>
    <w:rsid w:val="00084E1A"/>
    <w:rsid w:val="00084E46"/>
    <w:rsid w:val="0008582C"/>
    <w:rsid w:val="00086A00"/>
    <w:rsid w:val="00087418"/>
    <w:rsid w:val="00087882"/>
    <w:rsid w:val="00090E78"/>
    <w:rsid w:val="00091262"/>
    <w:rsid w:val="00091397"/>
    <w:rsid w:val="000913E3"/>
    <w:rsid w:val="000917E7"/>
    <w:rsid w:val="0009194A"/>
    <w:rsid w:val="0009217F"/>
    <w:rsid w:val="000932F7"/>
    <w:rsid w:val="00093859"/>
    <w:rsid w:val="00093896"/>
    <w:rsid w:val="0009568B"/>
    <w:rsid w:val="00095B29"/>
    <w:rsid w:val="00096878"/>
    <w:rsid w:val="00097299"/>
    <w:rsid w:val="00097E22"/>
    <w:rsid w:val="00097E5B"/>
    <w:rsid w:val="000A0964"/>
    <w:rsid w:val="000A0A4E"/>
    <w:rsid w:val="000A0CBE"/>
    <w:rsid w:val="000A0E0E"/>
    <w:rsid w:val="000A0E50"/>
    <w:rsid w:val="000A151C"/>
    <w:rsid w:val="000A1B5B"/>
    <w:rsid w:val="000A205E"/>
    <w:rsid w:val="000A2DEE"/>
    <w:rsid w:val="000A4274"/>
    <w:rsid w:val="000A4E4C"/>
    <w:rsid w:val="000A5084"/>
    <w:rsid w:val="000A5596"/>
    <w:rsid w:val="000A5BE7"/>
    <w:rsid w:val="000A5E65"/>
    <w:rsid w:val="000A6AB9"/>
    <w:rsid w:val="000A7017"/>
    <w:rsid w:val="000A7615"/>
    <w:rsid w:val="000A77D0"/>
    <w:rsid w:val="000A77DA"/>
    <w:rsid w:val="000A7EDE"/>
    <w:rsid w:val="000B0D14"/>
    <w:rsid w:val="000B0D16"/>
    <w:rsid w:val="000B23A1"/>
    <w:rsid w:val="000B244A"/>
    <w:rsid w:val="000B4327"/>
    <w:rsid w:val="000B466D"/>
    <w:rsid w:val="000B56CC"/>
    <w:rsid w:val="000B5D0E"/>
    <w:rsid w:val="000B7378"/>
    <w:rsid w:val="000B798D"/>
    <w:rsid w:val="000C0715"/>
    <w:rsid w:val="000C0C31"/>
    <w:rsid w:val="000C1383"/>
    <w:rsid w:val="000C226F"/>
    <w:rsid w:val="000C3D56"/>
    <w:rsid w:val="000C430C"/>
    <w:rsid w:val="000C4453"/>
    <w:rsid w:val="000C507A"/>
    <w:rsid w:val="000C53DA"/>
    <w:rsid w:val="000C58D0"/>
    <w:rsid w:val="000C682F"/>
    <w:rsid w:val="000C7BBB"/>
    <w:rsid w:val="000D0D60"/>
    <w:rsid w:val="000D0F23"/>
    <w:rsid w:val="000D18F2"/>
    <w:rsid w:val="000D18FB"/>
    <w:rsid w:val="000D191A"/>
    <w:rsid w:val="000D1D86"/>
    <w:rsid w:val="000D289D"/>
    <w:rsid w:val="000D2AD3"/>
    <w:rsid w:val="000D3562"/>
    <w:rsid w:val="000D3C5B"/>
    <w:rsid w:val="000D4317"/>
    <w:rsid w:val="000D5220"/>
    <w:rsid w:val="000D5E78"/>
    <w:rsid w:val="000D6EC8"/>
    <w:rsid w:val="000D74CB"/>
    <w:rsid w:val="000D7B6C"/>
    <w:rsid w:val="000D7C43"/>
    <w:rsid w:val="000E0532"/>
    <w:rsid w:val="000E0838"/>
    <w:rsid w:val="000E14A1"/>
    <w:rsid w:val="000E18E5"/>
    <w:rsid w:val="000E1950"/>
    <w:rsid w:val="000E1A97"/>
    <w:rsid w:val="000E26D4"/>
    <w:rsid w:val="000E440E"/>
    <w:rsid w:val="000E5853"/>
    <w:rsid w:val="000E595C"/>
    <w:rsid w:val="000E7F42"/>
    <w:rsid w:val="000F1964"/>
    <w:rsid w:val="000F25DB"/>
    <w:rsid w:val="000F3015"/>
    <w:rsid w:val="000F49B2"/>
    <w:rsid w:val="000F5611"/>
    <w:rsid w:val="000F6EB3"/>
    <w:rsid w:val="001002A9"/>
    <w:rsid w:val="0010095E"/>
    <w:rsid w:val="00100BE5"/>
    <w:rsid w:val="00100C60"/>
    <w:rsid w:val="00100E59"/>
    <w:rsid w:val="0010123B"/>
    <w:rsid w:val="00101833"/>
    <w:rsid w:val="00101AB1"/>
    <w:rsid w:val="00101BFF"/>
    <w:rsid w:val="001028EC"/>
    <w:rsid w:val="00102EF6"/>
    <w:rsid w:val="0010331A"/>
    <w:rsid w:val="00104638"/>
    <w:rsid w:val="00104A12"/>
    <w:rsid w:val="00105176"/>
    <w:rsid w:val="00105745"/>
    <w:rsid w:val="00106360"/>
    <w:rsid w:val="00106B7D"/>
    <w:rsid w:val="00106E71"/>
    <w:rsid w:val="0011051D"/>
    <w:rsid w:val="0011091F"/>
    <w:rsid w:val="00113200"/>
    <w:rsid w:val="0011398A"/>
    <w:rsid w:val="0011403F"/>
    <w:rsid w:val="001147EA"/>
    <w:rsid w:val="00114B84"/>
    <w:rsid w:val="00114C66"/>
    <w:rsid w:val="00114C6D"/>
    <w:rsid w:val="001153BB"/>
    <w:rsid w:val="0011682A"/>
    <w:rsid w:val="00116EEE"/>
    <w:rsid w:val="00117DB4"/>
    <w:rsid w:val="001211B2"/>
    <w:rsid w:val="001217D4"/>
    <w:rsid w:val="001244D0"/>
    <w:rsid w:val="00124705"/>
    <w:rsid w:val="00124AC2"/>
    <w:rsid w:val="00125110"/>
    <w:rsid w:val="00125190"/>
    <w:rsid w:val="00125216"/>
    <w:rsid w:val="00125A6F"/>
    <w:rsid w:val="00125E6E"/>
    <w:rsid w:val="00127940"/>
    <w:rsid w:val="00127A0D"/>
    <w:rsid w:val="00127A2C"/>
    <w:rsid w:val="00127BEB"/>
    <w:rsid w:val="00130B7A"/>
    <w:rsid w:val="00130BD9"/>
    <w:rsid w:val="0013118D"/>
    <w:rsid w:val="001311E9"/>
    <w:rsid w:val="00132EDB"/>
    <w:rsid w:val="001339FB"/>
    <w:rsid w:val="00134940"/>
    <w:rsid w:val="001349DF"/>
    <w:rsid w:val="00134A4F"/>
    <w:rsid w:val="00135389"/>
    <w:rsid w:val="001358EB"/>
    <w:rsid w:val="00135AA8"/>
    <w:rsid w:val="001366F9"/>
    <w:rsid w:val="001368D7"/>
    <w:rsid w:val="00137317"/>
    <w:rsid w:val="00137503"/>
    <w:rsid w:val="001404A3"/>
    <w:rsid w:val="001405E9"/>
    <w:rsid w:val="00140660"/>
    <w:rsid w:val="00141580"/>
    <w:rsid w:val="0014181E"/>
    <w:rsid w:val="00141FD5"/>
    <w:rsid w:val="00142641"/>
    <w:rsid w:val="00142CD3"/>
    <w:rsid w:val="001437B8"/>
    <w:rsid w:val="0014531B"/>
    <w:rsid w:val="00145637"/>
    <w:rsid w:val="00145766"/>
    <w:rsid w:val="00146116"/>
    <w:rsid w:val="0014652D"/>
    <w:rsid w:val="001466DF"/>
    <w:rsid w:val="00146FBE"/>
    <w:rsid w:val="0014785F"/>
    <w:rsid w:val="0015007F"/>
    <w:rsid w:val="00151822"/>
    <w:rsid w:val="00154301"/>
    <w:rsid w:val="0015465C"/>
    <w:rsid w:val="001565D5"/>
    <w:rsid w:val="0015727D"/>
    <w:rsid w:val="0015745C"/>
    <w:rsid w:val="0015751C"/>
    <w:rsid w:val="00157A43"/>
    <w:rsid w:val="00157D7B"/>
    <w:rsid w:val="00160B6F"/>
    <w:rsid w:val="00160C49"/>
    <w:rsid w:val="001613EB"/>
    <w:rsid w:val="001615C7"/>
    <w:rsid w:val="001617E5"/>
    <w:rsid w:val="001619D3"/>
    <w:rsid w:val="00161A0E"/>
    <w:rsid w:val="00162D27"/>
    <w:rsid w:val="0016300D"/>
    <w:rsid w:val="00164701"/>
    <w:rsid w:val="00164E27"/>
    <w:rsid w:val="001652C6"/>
    <w:rsid w:val="001653DE"/>
    <w:rsid w:val="00166572"/>
    <w:rsid w:val="00166F33"/>
    <w:rsid w:val="00167784"/>
    <w:rsid w:val="00167918"/>
    <w:rsid w:val="00167B08"/>
    <w:rsid w:val="001703CC"/>
    <w:rsid w:val="0017083B"/>
    <w:rsid w:val="001714E8"/>
    <w:rsid w:val="00172CDB"/>
    <w:rsid w:val="00174D53"/>
    <w:rsid w:val="001754CE"/>
    <w:rsid w:val="00175CE2"/>
    <w:rsid w:val="00176604"/>
    <w:rsid w:val="001774BC"/>
    <w:rsid w:val="001775F2"/>
    <w:rsid w:val="00177808"/>
    <w:rsid w:val="00177880"/>
    <w:rsid w:val="00181187"/>
    <w:rsid w:val="00181E14"/>
    <w:rsid w:val="00182607"/>
    <w:rsid w:val="00182F8E"/>
    <w:rsid w:val="00183868"/>
    <w:rsid w:val="00185739"/>
    <w:rsid w:val="00185CF0"/>
    <w:rsid w:val="00185D92"/>
    <w:rsid w:val="00186529"/>
    <w:rsid w:val="00187346"/>
    <w:rsid w:val="00187A37"/>
    <w:rsid w:val="00190860"/>
    <w:rsid w:val="00190C36"/>
    <w:rsid w:val="0019133B"/>
    <w:rsid w:val="00191452"/>
    <w:rsid w:val="00192730"/>
    <w:rsid w:val="00192E33"/>
    <w:rsid w:val="00193D8A"/>
    <w:rsid w:val="00195FCC"/>
    <w:rsid w:val="00196100"/>
    <w:rsid w:val="00196F13"/>
    <w:rsid w:val="00197313"/>
    <w:rsid w:val="00197434"/>
    <w:rsid w:val="00197653"/>
    <w:rsid w:val="00197C5D"/>
    <w:rsid w:val="001A03B7"/>
    <w:rsid w:val="001A0599"/>
    <w:rsid w:val="001A05DA"/>
    <w:rsid w:val="001A246D"/>
    <w:rsid w:val="001A289E"/>
    <w:rsid w:val="001A2C5D"/>
    <w:rsid w:val="001A3767"/>
    <w:rsid w:val="001A44EF"/>
    <w:rsid w:val="001A4F16"/>
    <w:rsid w:val="001A594B"/>
    <w:rsid w:val="001A6877"/>
    <w:rsid w:val="001A75A2"/>
    <w:rsid w:val="001A77E8"/>
    <w:rsid w:val="001A7A53"/>
    <w:rsid w:val="001A7B15"/>
    <w:rsid w:val="001A7DD4"/>
    <w:rsid w:val="001A7E20"/>
    <w:rsid w:val="001B0589"/>
    <w:rsid w:val="001B0802"/>
    <w:rsid w:val="001B08FF"/>
    <w:rsid w:val="001B1046"/>
    <w:rsid w:val="001B2A02"/>
    <w:rsid w:val="001B2A53"/>
    <w:rsid w:val="001B2AB9"/>
    <w:rsid w:val="001B2AEE"/>
    <w:rsid w:val="001B352F"/>
    <w:rsid w:val="001B4064"/>
    <w:rsid w:val="001B5012"/>
    <w:rsid w:val="001B537C"/>
    <w:rsid w:val="001B6134"/>
    <w:rsid w:val="001B61F8"/>
    <w:rsid w:val="001B6B2E"/>
    <w:rsid w:val="001C030B"/>
    <w:rsid w:val="001C1A87"/>
    <w:rsid w:val="001C1E05"/>
    <w:rsid w:val="001C1E5D"/>
    <w:rsid w:val="001C3A19"/>
    <w:rsid w:val="001C3DB9"/>
    <w:rsid w:val="001C3E27"/>
    <w:rsid w:val="001C4704"/>
    <w:rsid w:val="001C4E53"/>
    <w:rsid w:val="001C5AA5"/>
    <w:rsid w:val="001C5DFE"/>
    <w:rsid w:val="001C5E11"/>
    <w:rsid w:val="001C6A07"/>
    <w:rsid w:val="001C748C"/>
    <w:rsid w:val="001D08BF"/>
    <w:rsid w:val="001D24F9"/>
    <w:rsid w:val="001D386E"/>
    <w:rsid w:val="001D42DF"/>
    <w:rsid w:val="001D745A"/>
    <w:rsid w:val="001D7A2A"/>
    <w:rsid w:val="001E0927"/>
    <w:rsid w:val="001E0FF8"/>
    <w:rsid w:val="001E17C5"/>
    <w:rsid w:val="001E1BDA"/>
    <w:rsid w:val="001E21E2"/>
    <w:rsid w:val="001E2771"/>
    <w:rsid w:val="001E28A6"/>
    <w:rsid w:val="001E290E"/>
    <w:rsid w:val="001E2D2C"/>
    <w:rsid w:val="001E2DBD"/>
    <w:rsid w:val="001E4D58"/>
    <w:rsid w:val="001E6259"/>
    <w:rsid w:val="001E65F8"/>
    <w:rsid w:val="001E7087"/>
    <w:rsid w:val="001E7583"/>
    <w:rsid w:val="001E7868"/>
    <w:rsid w:val="001E7ACD"/>
    <w:rsid w:val="001F0034"/>
    <w:rsid w:val="001F0BEE"/>
    <w:rsid w:val="001F1277"/>
    <w:rsid w:val="001F15A5"/>
    <w:rsid w:val="001F20E5"/>
    <w:rsid w:val="001F2774"/>
    <w:rsid w:val="001F28CA"/>
    <w:rsid w:val="001F2FE3"/>
    <w:rsid w:val="001F3325"/>
    <w:rsid w:val="001F41F3"/>
    <w:rsid w:val="001F48E3"/>
    <w:rsid w:val="001F4B79"/>
    <w:rsid w:val="001F4C87"/>
    <w:rsid w:val="001F5EF9"/>
    <w:rsid w:val="001F66F0"/>
    <w:rsid w:val="001F6C9B"/>
    <w:rsid w:val="001F6E8A"/>
    <w:rsid w:val="001F7410"/>
    <w:rsid w:val="001F7F8C"/>
    <w:rsid w:val="00201210"/>
    <w:rsid w:val="00201FFD"/>
    <w:rsid w:val="002026B9"/>
    <w:rsid w:val="00202F24"/>
    <w:rsid w:val="00203E7F"/>
    <w:rsid w:val="002041B1"/>
    <w:rsid w:val="002041EB"/>
    <w:rsid w:val="00204893"/>
    <w:rsid w:val="00204F19"/>
    <w:rsid w:val="0020512E"/>
    <w:rsid w:val="002059BE"/>
    <w:rsid w:val="00205CC8"/>
    <w:rsid w:val="0020697F"/>
    <w:rsid w:val="002079A8"/>
    <w:rsid w:val="00207D3F"/>
    <w:rsid w:val="002100F8"/>
    <w:rsid w:val="00210381"/>
    <w:rsid w:val="002116A2"/>
    <w:rsid w:val="00211AEC"/>
    <w:rsid w:val="00212026"/>
    <w:rsid w:val="00213ADC"/>
    <w:rsid w:val="00213CCE"/>
    <w:rsid w:val="00214515"/>
    <w:rsid w:val="00216EE8"/>
    <w:rsid w:val="00217192"/>
    <w:rsid w:val="00220FC4"/>
    <w:rsid w:val="002224B2"/>
    <w:rsid w:val="00222E34"/>
    <w:rsid w:val="00222F21"/>
    <w:rsid w:val="00223357"/>
    <w:rsid w:val="00223A13"/>
    <w:rsid w:val="00223C06"/>
    <w:rsid w:val="00223C31"/>
    <w:rsid w:val="00225703"/>
    <w:rsid w:val="00226251"/>
    <w:rsid w:val="002269DE"/>
    <w:rsid w:val="00226DF6"/>
    <w:rsid w:val="00227F1C"/>
    <w:rsid w:val="00227F5D"/>
    <w:rsid w:val="0023023C"/>
    <w:rsid w:val="0023086A"/>
    <w:rsid w:val="0023151A"/>
    <w:rsid w:val="0023225B"/>
    <w:rsid w:val="00232C6E"/>
    <w:rsid w:val="00232E52"/>
    <w:rsid w:val="002335A0"/>
    <w:rsid w:val="002355B3"/>
    <w:rsid w:val="00236897"/>
    <w:rsid w:val="00236A1B"/>
    <w:rsid w:val="0023790B"/>
    <w:rsid w:val="00237D54"/>
    <w:rsid w:val="00237DCE"/>
    <w:rsid w:val="002414DE"/>
    <w:rsid w:val="002426CA"/>
    <w:rsid w:val="00242F58"/>
    <w:rsid w:val="00245F12"/>
    <w:rsid w:val="00246894"/>
    <w:rsid w:val="00247E30"/>
    <w:rsid w:val="002502BC"/>
    <w:rsid w:val="00250C20"/>
    <w:rsid w:val="002516BE"/>
    <w:rsid w:val="00251743"/>
    <w:rsid w:val="002523CD"/>
    <w:rsid w:val="0025252B"/>
    <w:rsid w:val="00252BF9"/>
    <w:rsid w:val="00252F68"/>
    <w:rsid w:val="0025449D"/>
    <w:rsid w:val="002546A1"/>
    <w:rsid w:val="00254A03"/>
    <w:rsid w:val="002550D2"/>
    <w:rsid w:val="0025624B"/>
    <w:rsid w:val="00256523"/>
    <w:rsid w:val="00256E56"/>
    <w:rsid w:val="00257BF5"/>
    <w:rsid w:val="00260466"/>
    <w:rsid w:val="00261322"/>
    <w:rsid w:val="00261CA8"/>
    <w:rsid w:val="00261ED8"/>
    <w:rsid w:val="00264B3A"/>
    <w:rsid w:val="00264E6A"/>
    <w:rsid w:val="002653CD"/>
    <w:rsid w:val="002657D6"/>
    <w:rsid w:val="00265BCF"/>
    <w:rsid w:val="00265F4E"/>
    <w:rsid w:val="002664FF"/>
    <w:rsid w:val="00266590"/>
    <w:rsid w:val="00266C69"/>
    <w:rsid w:val="00266C81"/>
    <w:rsid w:val="0026720F"/>
    <w:rsid w:val="00267B51"/>
    <w:rsid w:val="00267E8A"/>
    <w:rsid w:val="00270755"/>
    <w:rsid w:val="00270A0F"/>
    <w:rsid w:val="00270C9C"/>
    <w:rsid w:val="00270E9B"/>
    <w:rsid w:val="00270FCE"/>
    <w:rsid w:val="0027152F"/>
    <w:rsid w:val="002715B4"/>
    <w:rsid w:val="00271A41"/>
    <w:rsid w:val="00271EB8"/>
    <w:rsid w:val="002725B6"/>
    <w:rsid w:val="00272AD6"/>
    <w:rsid w:val="00272DA6"/>
    <w:rsid w:val="002730BF"/>
    <w:rsid w:val="002730ED"/>
    <w:rsid w:val="002731E3"/>
    <w:rsid w:val="002745A2"/>
    <w:rsid w:val="00274ACE"/>
    <w:rsid w:val="00274C45"/>
    <w:rsid w:val="00274D5C"/>
    <w:rsid w:val="0027550B"/>
    <w:rsid w:val="002756CF"/>
    <w:rsid w:val="00275727"/>
    <w:rsid w:val="00275A45"/>
    <w:rsid w:val="002761DD"/>
    <w:rsid w:val="0027686F"/>
    <w:rsid w:val="0027690E"/>
    <w:rsid w:val="00276D49"/>
    <w:rsid w:val="00280196"/>
    <w:rsid w:val="0028025A"/>
    <w:rsid w:val="00280985"/>
    <w:rsid w:val="002810B6"/>
    <w:rsid w:val="00281A23"/>
    <w:rsid w:val="00281EC0"/>
    <w:rsid w:val="00282C76"/>
    <w:rsid w:val="00282E69"/>
    <w:rsid w:val="00283093"/>
    <w:rsid w:val="00283859"/>
    <w:rsid w:val="00283BEB"/>
    <w:rsid w:val="00284DD2"/>
    <w:rsid w:val="0028574A"/>
    <w:rsid w:val="0028578C"/>
    <w:rsid w:val="00285813"/>
    <w:rsid w:val="00285DAF"/>
    <w:rsid w:val="00286009"/>
    <w:rsid w:val="00290705"/>
    <w:rsid w:val="00291164"/>
    <w:rsid w:val="002913EF"/>
    <w:rsid w:val="0029154B"/>
    <w:rsid w:val="002925DC"/>
    <w:rsid w:val="00293168"/>
    <w:rsid w:val="00293890"/>
    <w:rsid w:val="00293AB0"/>
    <w:rsid w:val="00294523"/>
    <w:rsid w:val="0029596E"/>
    <w:rsid w:val="00296227"/>
    <w:rsid w:val="00296569"/>
    <w:rsid w:val="00297ACB"/>
    <w:rsid w:val="002A02AE"/>
    <w:rsid w:val="002A0AB8"/>
    <w:rsid w:val="002A0C40"/>
    <w:rsid w:val="002A1050"/>
    <w:rsid w:val="002A3D10"/>
    <w:rsid w:val="002A3EF5"/>
    <w:rsid w:val="002A4B7C"/>
    <w:rsid w:val="002A6196"/>
    <w:rsid w:val="002A62C7"/>
    <w:rsid w:val="002A6392"/>
    <w:rsid w:val="002A7B55"/>
    <w:rsid w:val="002B08E8"/>
    <w:rsid w:val="002B0DF6"/>
    <w:rsid w:val="002B15BF"/>
    <w:rsid w:val="002B179C"/>
    <w:rsid w:val="002B1982"/>
    <w:rsid w:val="002B1D91"/>
    <w:rsid w:val="002B1EB0"/>
    <w:rsid w:val="002B24E5"/>
    <w:rsid w:val="002B25E5"/>
    <w:rsid w:val="002B2FCF"/>
    <w:rsid w:val="002B37F4"/>
    <w:rsid w:val="002B5296"/>
    <w:rsid w:val="002B52D8"/>
    <w:rsid w:val="002B75B6"/>
    <w:rsid w:val="002B7BF1"/>
    <w:rsid w:val="002B7E5F"/>
    <w:rsid w:val="002C04AD"/>
    <w:rsid w:val="002C1199"/>
    <w:rsid w:val="002C2A8C"/>
    <w:rsid w:val="002C391D"/>
    <w:rsid w:val="002C3F63"/>
    <w:rsid w:val="002C49B6"/>
    <w:rsid w:val="002C4A30"/>
    <w:rsid w:val="002C4ABD"/>
    <w:rsid w:val="002C4BB2"/>
    <w:rsid w:val="002C5854"/>
    <w:rsid w:val="002C5E6A"/>
    <w:rsid w:val="002C5F13"/>
    <w:rsid w:val="002C66A4"/>
    <w:rsid w:val="002C7418"/>
    <w:rsid w:val="002C7703"/>
    <w:rsid w:val="002C7707"/>
    <w:rsid w:val="002C7CD5"/>
    <w:rsid w:val="002D0FF7"/>
    <w:rsid w:val="002D1820"/>
    <w:rsid w:val="002D24C9"/>
    <w:rsid w:val="002D2566"/>
    <w:rsid w:val="002D37B8"/>
    <w:rsid w:val="002D37DC"/>
    <w:rsid w:val="002D3E9F"/>
    <w:rsid w:val="002D5065"/>
    <w:rsid w:val="002D5A32"/>
    <w:rsid w:val="002D6223"/>
    <w:rsid w:val="002D661F"/>
    <w:rsid w:val="002D6782"/>
    <w:rsid w:val="002D6F32"/>
    <w:rsid w:val="002E06ED"/>
    <w:rsid w:val="002E0D65"/>
    <w:rsid w:val="002E30C7"/>
    <w:rsid w:val="002E42DE"/>
    <w:rsid w:val="002E495D"/>
    <w:rsid w:val="002E4C49"/>
    <w:rsid w:val="002E5C74"/>
    <w:rsid w:val="002E78BE"/>
    <w:rsid w:val="002E7943"/>
    <w:rsid w:val="002E7E2A"/>
    <w:rsid w:val="002E7F6E"/>
    <w:rsid w:val="002F13D8"/>
    <w:rsid w:val="002F1517"/>
    <w:rsid w:val="002F1810"/>
    <w:rsid w:val="002F193F"/>
    <w:rsid w:val="002F1B66"/>
    <w:rsid w:val="002F2064"/>
    <w:rsid w:val="002F24B8"/>
    <w:rsid w:val="002F2B1B"/>
    <w:rsid w:val="002F3970"/>
    <w:rsid w:val="002F3CA8"/>
    <w:rsid w:val="002F4606"/>
    <w:rsid w:val="002F48CE"/>
    <w:rsid w:val="002F4D1E"/>
    <w:rsid w:val="002F5071"/>
    <w:rsid w:val="002F5DBD"/>
    <w:rsid w:val="002F6A68"/>
    <w:rsid w:val="002F7181"/>
    <w:rsid w:val="002F7C71"/>
    <w:rsid w:val="0030056C"/>
    <w:rsid w:val="00300E65"/>
    <w:rsid w:val="00301AFC"/>
    <w:rsid w:val="00302F76"/>
    <w:rsid w:val="00303399"/>
    <w:rsid w:val="00304244"/>
    <w:rsid w:val="003057AA"/>
    <w:rsid w:val="0030591C"/>
    <w:rsid w:val="00306016"/>
    <w:rsid w:val="003067E0"/>
    <w:rsid w:val="003073B0"/>
    <w:rsid w:val="0031005E"/>
    <w:rsid w:val="00310475"/>
    <w:rsid w:val="00310701"/>
    <w:rsid w:val="00311800"/>
    <w:rsid w:val="003120C2"/>
    <w:rsid w:val="003127A9"/>
    <w:rsid w:val="00313634"/>
    <w:rsid w:val="00313D91"/>
    <w:rsid w:val="00316ACA"/>
    <w:rsid w:val="00316C40"/>
    <w:rsid w:val="00317D9A"/>
    <w:rsid w:val="003204E5"/>
    <w:rsid w:val="003205D3"/>
    <w:rsid w:val="00321864"/>
    <w:rsid w:val="00321B4E"/>
    <w:rsid w:val="00321E11"/>
    <w:rsid w:val="00322A15"/>
    <w:rsid w:val="00322E79"/>
    <w:rsid w:val="00323959"/>
    <w:rsid w:val="00323AB2"/>
    <w:rsid w:val="003248BE"/>
    <w:rsid w:val="00324E3D"/>
    <w:rsid w:val="00325116"/>
    <w:rsid w:val="0032595F"/>
    <w:rsid w:val="00325E7D"/>
    <w:rsid w:val="00327629"/>
    <w:rsid w:val="003312DE"/>
    <w:rsid w:val="00331FA1"/>
    <w:rsid w:val="00332D1C"/>
    <w:rsid w:val="00332FCE"/>
    <w:rsid w:val="00332FE4"/>
    <w:rsid w:val="003335A2"/>
    <w:rsid w:val="00333BF9"/>
    <w:rsid w:val="00334265"/>
    <w:rsid w:val="003343A5"/>
    <w:rsid w:val="00335CC8"/>
    <w:rsid w:val="003361E1"/>
    <w:rsid w:val="00336D0F"/>
    <w:rsid w:val="00337AAD"/>
    <w:rsid w:val="003402CE"/>
    <w:rsid w:val="003415BC"/>
    <w:rsid w:val="0034165E"/>
    <w:rsid w:val="00341DBA"/>
    <w:rsid w:val="00341F1B"/>
    <w:rsid w:val="00342F02"/>
    <w:rsid w:val="003435BB"/>
    <w:rsid w:val="003436D5"/>
    <w:rsid w:val="00343E21"/>
    <w:rsid w:val="00343F4F"/>
    <w:rsid w:val="00346403"/>
    <w:rsid w:val="003476F2"/>
    <w:rsid w:val="003477C9"/>
    <w:rsid w:val="003477E7"/>
    <w:rsid w:val="00352599"/>
    <w:rsid w:val="00352714"/>
    <w:rsid w:val="00353848"/>
    <w:rsid w:val="003539B7"/>
    <w:rsid w:val="00353E9D"/>
    <w:rsid w:val="00354D3B"/>
    <w:rsid w:val="00355E52"/>
    <w:rsid w:val="0035611D"/>
    <w:rsid w:val="003571E4"/>
    <w:rsid w:val="00360660"/>
    <w:rsid w:val="00360D77"/>
    <w:rsid w:val="00360DEE"/>
    <w:rsid w:val="0036116A"/>
    <w:rsid w:val="0036142B"/>
    <w:rsid w:val="00361554"/>
    <w:rsid w:val="00363422"/>
    <w:rsid w:val="003645EC"/>
    <w:rsid w:val="0036460E"/>
    <w:rsid w:val="00364729"/>
    <w:rsid w:val="00365FD7"/>
    <w:rsid w:val="0036600C"/>
    <w:rsid w:val="00366E76"/>
    <w:rsid w:val="00370791"/>
    <w:rsid w:val="0037171E"/>
    <w:rsid w:val="0037410A"/>
    <w:rsid w:val="0037437D"/>
    <w:rsid w:val="0037486A"/>
    <w:rsid w:val="00374D1A"/>
    <w:rsid w:val="00375142"/>
    <w:rsid w:val="00375F14"/>
    <w:rsid w:val="00376755"/>
    <w:rsid w:val="0037712E"/>
    <w:rsid w:val="003778AF"/>
    <w:rsid w:val="003806B3"/>
    <w:rsid w:val="003807F7"/>
    <w:rsid w:val="003818F3"/>
    <w:rsid w:val="00381C10"/>
    <w:rsid w:val="00382187"/>
    <w:rsid w:val="00382583"/>
    <w:rsid w:val="003825EA"/>
    <w:rsid w:val="00383C17"/>
    <w:rsid w:val="00384052"/>
    <w:rsid w:val="003843E1"/>
    <w:rsid w:val="00384C1D"/>
    <w:rsid w:val="00384DF2"/>
    <w:rsid w:val="0038548B"/>
    <w:rsid w:val="003858A0"/>
    <w:rsid w:val="003860E1"/>
    <w:rsid w:val="00386F5A"/>
    <w:rsid w:val="00387079"/>
    <w:rsid w:val="00390498"/>
    <w:rsid w:val="00390D90"/>
    <w:rsid w:val="00390F48"/>
    <w:rsid w:val="00391972"/>
    <w:rsid w:val="00392AE3"/>
    <w:rsid w:val="00393927"/>
    <w:rsid w:val="00396863"/>
    <w:rsid w:val="00396F59"/>
    <w:rsid w:val="00397341"/>
    <w:rsid w:val="003979C6"/>
    <w:rsid w:val="003A0277"/>
    <w:rsid w:val="003A0745"/>
    <w:rsid w:val="003A18CA"/>
    <w:rsid w:val="003A29D0"/>
    <w:rsid w:val="003A2A19"/>
    <w:rsid w:val="003A3829"/>
    <w:rsid w:val="003A498C"/>
    <w:rsid w:val="003A5308"/>
    <w:rsid w:val="003A5425"/>
    <w:rsid w:val="003A5A27"/>
    <w:rsid w:val="003A6AED"/>
    <w:rsid w:val="003A7DA3"/>
    <w:rsid w:val="003B0648"/>
    <w:rsid w:val="003B1879"/>
    <w:rsid w:val="003B1BAF"/>
    <w:rsid w:val="003B23C2"/>
    <w:rsid w:val="003B2E3B"/>
    <w:rsid w:val="003B3DA3"/>
    <w:rsid w:val="003B3EE2"/>
    <w:rsid w:val="003B550B"/>
    <w:rsid w:val="003B557C"/>
    <w:rsid w:val="003B56F3"/>
    <w:rsid w:val="003B5959"/>
    <w:rsid w:val="003B5D3A"/>
    <w:rsid w:val="003B68BA"/>
    <w:rsid w:val="003B6C62"/>
    <w:rsid w:val="003C1B6B"/>
    <w:rsid w:val="003C1FC7"/>
    <w:rsid w:val="003C2C6F"/>
    <w:rsid w:val="003C35B9"/>
    <w:rsid w:val="003C3DA9"/>
    <w:rsid w:val="003C4361"/>
    <w:rsid w:val="003C4470"/>
    <w:rsid w:val="003C4C06"/>
    <w:rsid w:val="003C63F6"/>
    <w:rsid w:val="003C7055"/>
    <w:rsid w:val="003D07B6"/>
    <w:rsid w:val="003D0BF1"/>
    <w:rsid w:val="003D3048"/>
    <w:rsid w:val="003D3A25"/>
    <w:rsid w:val="003D4888"/>
    <w:rsid w:val="003D4A07"/>
    <w:rsid w:val="003D4E1B"/>
    <w:rsid w:val="003D4EA6"/>
    <w:rsid w:val="003D5182"/>
    <w:rsid w:val="003D55CB"/>
    <w:rsid w:val="003D60AD"/>
    <w:rsid w:val="003E07A4"/>
    <w:rsid w:val="003E11B8"/>
    <w:rsid w:val="003E1294"/>
    <w:rsid w:val="003E17D5"/>
    <w:rsid w:val="003E1E34"/>
    <w:rsid w:val="003E2024"/>
    <w:rsid w:val="003E275A"/>
    <w:rsid w:val="003E2E01"/>
    <w:rsid w:val="003E2F6F"/>
    <w:rsid w:val="003E4060"/>
    <w:rsid w:val="003E5317"/>
    <w:rsid w:val="003E545C"/>
    <w:rsid w:val="003E59F5"/>
    <w:rsid w:val="003E6747"/>
    <w:rsid w:val="003E68F8"/>
    <w:rsid w:val="003E6E43"/>
    <w:rsid w:val="003E7A03"/>
    <w:rsid w:val="003E7C58"/>
    <w:rsid w:val="003E7FD1"/>
    <w:rsid w:val="003F0457"/>
    <w:rsid w:val="003F13B0"/>
    <w:rsid w:val="003F163D"/>
    <w:rsid w:val="003F1D07"/>
    <w:rsid w:val="003F1F44"/>
    <w:rsid w:val="003F22AC"/>
    <w:rsid w:val="003F27B2"/>
    <w:rsid w:val="003F2FC3"/>
    <w:rsid w:val="003F31CC"/>
    <w:rsid w:val="003F354D"/>
    <w:rsid w:val="003F4F4B"/>
    <w:rsid w:val="003F6023"/>
    <w:rsid w:val="003F7630"/>
    <w:rsid w:val="00400327"/>
    <w:rsid w:val="0040151A"/>
    <w:rsid w:val="00401BBC"/>
    <w:rsid w:val="0040288C"/>
    <w:rsid w:val="00402D7D"/>
    <w:rsid w:val="00403276"/>
    <w:rsid w:val="00403947"/>
    <w:rsid w:val="00404589"/>
    <w:rsid w:val="00404779"/>
    <w:rsid w:val="0040528E"/>
    <w:rsid w:val="00405D0D"/>
    <w:rsid w:val="00407200"/>
    <w:rsid w:val="0040774B"/>
    <w:rsid w:val="00410BE7"/>
    <w:rsid w:val="004123CE"/>
    <w:rsid w:val="004125FC"/>
    <w:rsid w:val="004137EA"/>
    <w:rsid w:val="004140FC"/>
    <w:rsid w:val="004141A9"/>
    <w:rsid w:val="004143BB"/>
    <w:rsid w:val="00414712"/>
    <w:rsid w:val="00415297"/>
    <w:rsid w:val="004162DB"/>
    <w:rsid w:val="00416561"/>
    <w:rsid w:val="00416E94"/>
    <w:rsid w:val="0041711D"/>
    <w:rsid w:val="00417E77"/>
    <w:rsid w:val="00421E57"/>
    <w:rsid w:val="00421F4D"/>
    <w:rsid w:val="00422586"/>
    <w:rsid w:val="00422EFD"/>
    <w:rsid w:val="004248C3"/>
    <w:rsid w:val="00425196"/>
    <w:rsid w:val="00425ED4"/>
    <w:rsid w:val="004260BD"/>
    <w:rsid w:val="00426516"/>
    <w:rsid w:val="0042730A"/>
    <w:rsid w:val="00430247"/>
    <w:rsid w:val="00430303"/>
    <w:rsid w:val="004313BB"/>
    <w:rsid w:val="00432067"/>
    <w:rsid w:val="00432AAD"/>
    <w:rsid w:val="0043401E"/>
    <w:rsid w:val="00434A92"/>
    <w:rsid w:val="00437923"/>
    <w:rsid w:val="00440103"/>
    <w:rsid w:val="00440978"/>
    <w:rsid w:val="00440B86"/>
    <w:rsid w:val="0044176E"/>
    <w:rsid w:val="00441AA4"/>
    <w:rsid w:val="00442212"/>
    <w:rsid w:val="00443157"/>
    <w:rsid w:val="00443C33"/>
    <w:rsid w:val="00444237"/>
    <w:rsid w:val="00444558"/>
    <w:rsid w:val="00444CD1"/>
    <w:rsid w:val="004458F5"/>
    <w:rsid w:val="00446045"/>
    <w:rsid w:val="00446757"/>
    <w:rsid w:val="004471D9"/>
    <w:rsid w:val="00450907"/>
    <w:rsid w:val="004511FB"/>
    <w:rsid w:val="00451552"/>
    <w:rsid w:val="004519BD"/>
    <w:rsid w:val="00451A47"/>
    <w:rsid w:val="00451C84"/>
    <w:rsid w:val="0045365C"/>
    <w:rsid w:val="00453B7B"/>
    <w:rsid w:val="004549A9"/>
    <w:rsid w:val="00454E53"/>
    <w:rsid w:val="00454F6C"/>
    <w:rsid w:val="00455C51"/>
    <w:rsid w:val="004561E2"/>
    <w:rsid w:val="00457F08"/>
    <w:rsid w:val="00462179"/>
    <w:rsid w:val="004632A5"/>
    <w:rsid w:val="00463741"/>
    <w:rsid w:val="004642FA"/>
    <w:rsid w:val="004648EC"/>
    <w:rsid w:val="00465ED7"/>
    <w:rsid w:val="004662C1"/>
    <w:rsid w:val="004664C4"/>
    <w:rsid w:val="00466D14"/>
    <w:rsid w:val="004674C2"/>
    <w:rsid w:val="00467D4C"/>
    <w:rsid w:val="0047047D"/>
    <w:rsid w:val="00471F6A"/>
    <w:rsid w:val="00471FDC"/>
    <w:rsid w:val="0047237C"/>
    <w:rsid w:val="0047295C"/>
    <w:rsid w:val="00473117"/>
    <w:rsid w:val="00473243"/>
    <w:rsid w:val="0047465A"/>
    <w:rsid w:val="00474760"/>
    <w:rsid w:val="00474B19"/>
    <w:rsid w:val="00475DBD"/>
    <w:rsid w:val="00477460"/>
    <w:rsid w:val="0047770C"/>
    <w:rsid w:val="00480348"/>
    <w:rsid w:val="004806B7"/>
    <w:rsid w:val="0048175B"/>
    <w:rsid w:val="00481C54"/>
    <w:rsid w:val="00482741"/>
    <w:rsid w:val="00482EE3"/>
    <w:rsid w:val="004837DF"/>
    <w:rsid w:val="00484E16"/>
    <w:rsid w:val="00485A9D"/>
    <w:rsid w:val="00486E68"/>
    <w:rsid w:val="00487A22"/>
    <w:rsid w:val="004904A3"/>
    <w:rsid w:val="004908EB"/>
    <w:rsid w:val="00490C64"/>
    <w:rsid w:val="004917B9"/>
    <w:rsid w:val="00492F47"/>
    <w:rsid w:val="00494375"/>
    <w:rsid w:val="004947DF"/>
    <w:rsid w:val="0049565E"/>
    <w:rsid w:val="004957F0"/>
    <w:rsid w:val="004957F8"/>
    <w:rsid w:val="00496963"/>
    <w:rsid w:val="004A0413"/>
    <w:rsid w:val="004A06D6"/>
    <w:rsid w:val="004A0F61"/>
    <w:rsid w:val="004A0FF8"/>
    <w:rsid w:val="004A13D9"/>
    <w:rsid w:val="004A1CA0"/>
    <w:rsid w:val="004A3F7D"/>
    <w:rsid w:val="004A46C1"/>
    <w:rsid w:val="004A60BD"/>
    <w:rsid w:val="004A64C1"/>
    <w:rsid w:val="004A6B18"/>
    <w:rsid w:val="004A7498"/>
    <w:rsid w:val="004A7BF7"/>
    <w:rsid w:val="004B0D56"/>
    <w:rsid w:val="004B1128"/>
    <w:rsid w:val="004B1E0F"/>
    <w:rsid w:val="004B33FB"/>
    <w:rsid w:val="004B386E"/>
    <w:rsid w:val="004B3A24"/>
    <w:rsid w:val="004B4145"/>
    <w:rsid w:val="004B4DC5"/>
    <w:rsid w:val="004B52FD"/>
    <w:rsid w:val="004B5A1E"/>
    <w:rsid w:val="004B5F1C"/>
    <w:rsid w:val="004B6DEE"/>
    <w:rsid w:val="004B6E5D"/>
    <w:rsid w:val="004B70AA"/>
    <w:rsid w:val="004B7220"/>
    <w:rsid w:val="004C0667"/>
    <w:rsid w:val="004C0E9A"/>
    <w:rsid w:val="004C0FED"/>
    <w:rsid w:val="004C123F"/>
    <w:rsid w:val="004C1425"/>
    <w:rsid w:val="004C19AA"/>
    <w:rsid w:val="004C1E44"/>
    <w:rsid w:val="004C4082"/>
    <w:rsid w:val="004C4F66"/>
    <w:rsid w:val="004C685B"/>
    <w:rsid w:val="004C6E0E"/>
    <w:rsid w:val="004C6E77"/>
    <w:rsid w:val="004C7137"/>
    <w:rsid w:val="004C71E3"/>
    <w:rsid w:val="004C7370"/>
    <w:rsid w:val="004C740C"/>
    <w:rsid w:val="004C79AB"/>
    <w:rsid w:val="004C7EB8"/>
    <w:rsid w:val="004D0091"/>
    <w:rsid w:val="004D05A2"/>
    <w:rsid w:val="004D0D57"/>
    <w:rsid w:val="004D0F81"/>
    <w:rsid w:val="004D10E0"/>
    <w:rsid w:val="004D1150"/>
    <w:rsid w:val="004D2B1C"/>
    <w:rsid w:val="004D377B"/>
    <w:rsid w:val="004D3D44"/>
    <w:rsid w:val="004D3FCF"/>
    <w:rsid w:val="004D44BF"/>
    <w:rsid w:val="004D4B1B"/>
    <w:rsid w:val="004D4CBD"/>
    <w:rsid w:val="004D4D30"/>
    <w:rsid w:val="004D5135"/>
    <w:rsid w:val="004D51E5"/>
    <w:rsid w:val="004D5C13"/>
    <w:rsid w:val="004D5F4B"/>
    <w:rsid w:val="004D63C5"/>
    <w:rsid w:val="004D7173"/>
    <w:rsid w:val="004E0134"/>
    <w:rsid w:val="004E09C5"/>
    <w:rsid w:val="004E1467"/>
    <w:rsid w:val="004E1F08"/>
    <w:rsid w:val="004E20CC"/>
    <w:rsid w:val="004E2239"/>
    <w:rsid w:val="004E24A0"/>
    <w:rsid w:val="004E2A73"/>
    <w:rsid w:val="004E385B"/>
    <w:rsid w:val="004E3B28"/>
    <w:rsid w:val="004E4B5F"/>
    <w:rsid w:val="004E6C86"/>
    <w:rsid w:val="004E7002"/>
    <w:rsid w:val="004E778D"/>
    <w:rsid w:val="004F0262"/>
    <w:rsid w:val="004F0562"/>
    <w:rsid w:val="004F0778"/>
    <w:rsid w:val="004F0D55"/>
    <w:rsid w:val="004F16A1"/>
    <w:rsid w:val="004F1861"/>
    <w:rsid w:val="004F2BE4"/>
    <w:rsid w:val="004F3B92"/>
    <w:rsid w:val="004F551C"/>
    <w:rsid w:val="004F56EA"/>
    <w:rsid w:val="004F6B94"/>
    <w:rsid w:val="004F7197"/>
    <w:rsid w:val="004F778E"/>
    <w:rsid w:val="00501838"/>
    <w:rsid w:val="00502431"/>
    <w:rsid w:val="005028D3"/>
    <w:rsid w:val="005030E9"/>
    <w:rsid w:val="005031D3"/>
    <w:rsid w:val="00503352"/>
    <w:rsid w:val="00504D8A"/>
    <w:rsid w:val="00505032"/>
    <w:rsid w:val="005069DB"/>
    <w:rsid w:val="005073CC"/>
    <w:rsid w:val="0051145B"/>
    <w:rsid w:val="0051199E"/>
    <w:rsid w:val="00512613"/>
    <w:rsid w:val="00512EEC"/>
    <w:rsid w:val="00513CB3"/>
    <w:rsid w:val="00513F1F"/>
    <w:rsid w:val="005149C6"/>
    <w:rsid w:val="00514C98"/>
    <w:rsid w:val="00515814"/>
    <w:rsid w:val="00515879"/>
    <w:rsid w:val="00516B50"/>
    <w:rsid w:val="00517267"/>
    <w:rsid w:val="0051752F"/>
    <w:rsid w:val="00517A5E"/>
    <w:rsid w:val="00517C97"/>
    <w:rsid w:val="00517DC4"/>
    <w:rsid w:val="0052048F"/>
    <w:rsid w:val="00521577"/>
    <w:rsid w:val="005219B9"/>
    <w:rsid w:val="005222C8"/>
    <w:rsid w:val="00522BB2"/>
    <w:rsid w:val="00523D18"/>
    <w:rsid w:val="005240A1"/>
    <w:rsid w:val="00524111"/>
    <w:rsid w:val="0052493D"/>
    <w:rsid w:val="00524BCC"/>
    <w:rsid w:val="00524EFF"/>
    <w:rsid w:val="00525327"/>
    <w:rsid w:val="005267E9"/>
    <w:rsid w:val="0052695D"/>
    <w:rsid w:val="00526E3A"/>
    <w:rsid w:val="00527139"/>
    <w:rsid w:val="0053060E"/>
    <w:rsid w:val="005316C5"/>
    <w:rsid w:val="00531DE5"/>
    <w:rsid w:val="005324DA"/>
    <w:rsid w:val="00532BAF"/>
    <w:rsid w:val="00532D32"/>
    <w:rsid w:val="00533FB3"/>
    <w:rsid w:val="005343E4"/>
    <w:rsid w:val="00534651"/>
    <w:rsid w:val="00534C65"/>
    <w:rsid w:val="005354FE"/>
    <w:rsid w:val="00536365"/>
    <w:rsid w:val="00536687"/>
    <w:rsid w:val="005367CC"/>
    <w:rsid w:val="00536AF9"/>
    <w:rsid w:val="00536B1E"/>
    <w:rsid w:val="00537624"/>
    <w:rsid w:val="005378BE"/>
    <w:rsid w:val="0054074C"/>
    <w:rsid w:val="005408C0"/>
    <w:rsid w:val="005418F7"/>
    <w:rsid w:val="00541CA0"/>
    <w:rsid w:val="00542EC8"/>
    <w:rsid w:val="00543060"/>
    <w:rsid w:val="0054313E"/>
    <w:rsid w:val="005435D0"/>
    <w:rsid w:val="00543729"/>
    <w:rsid w:val="00543C80"/>
    <w:rsid w:val="00543EFB"/>
    <w:rsid w:val="005443A0"/>
    <w:rsid w:val="005462E8"/>
    <w:rsid w:val="005467EE"/>
    <w:rsid w:val="00546D81"/>
    <w:rsid w:val="00550187"/>
    <w:rsid w:val="00551025"/>
    <w:rsid w:val="00551D18"/>
    <w:rsid w:val="005524A6"/>
    <w:rsid w:val="00553057"/>
    <w:rsid w:val="00553E85"/>
    <w:rsid w:val="005540CF"/>
    <w:rsid w:val="00554255"/>
    <w:rsid w:val="00554333"/>
    <w:rsid w:val="0055487C"/>
    <w:rsid w:val="0055555B"/>
    <w:rsid w:val="005561F7"/>
    <w:rsid w:val="0055718B"/>
    <w:rsid w:val="005575ED"/>
    <w:rsid w:val="005578A0"/>
    <w:rsid w:val="00557AC3"/>
    <w:rsid w:val="00560B61"/>
    <w:rsid w:val="00560EE3"/>
    <w:rsid w:val="00561F14"/>
    <w:rsid w:val="005624C0"/>
    <w:rsid w:val="00563D63"/>
    <w:rsid w:val="005644B1"/>
    <w:rsid w:val="00564D37"/>
    <w:rsid w:val="00564E7A"/>
    <w:rsid w:val="00565DFA"/>
    <w:rsid w:val="00567CCE"/>
    <w:rsid w:val="00570659"/>
    <w:rsid w:val="00570756"/>
    <w:rsid w:val="00570BF7"/>
    <w:rsid w:val="00570CAD"/>
    <w:rsid w:val="00571452"/>
    <w:rsid w:val="00572CDA"/>
    <w:rsid w:val="005731AF"/>
    <w:rsid w:val="0057431F"/>
    <w:rsid w:val="00574BAB"/>
    <w:rsid w:val="005766AD"/>
    <w:rsid w:val="00576CDB"/>
    <w:rsid w:val="005775DB"/>
    <w:rsid w:val="00577D8E"/>
    <w:rsid w:val="00577EE9"/>
    <w:rsid w:val="005803D8"/>
    <w:rsid w:val="0058070E"/>
    <w:rsid w:val="00580736"/>
    <w:rsid w:val="00580AFF"/>
    <w:rsid w:val="00580BA6"/>
    <w:rsid w:val="00582321"/>
    <w:rsid w:val="00582990"/>
    <w:rsid w:val="00583107"/>
    <w:rsid w:val="0058345E"/>
    <w:rsid w:val="00583565"/>
    <w:rsid w:val="0058399B"/>
    <w:rsid w:val="005840EB"/>
    <w:rsid w:val="005846D1"/>
    <w:rsid w:val="00584CD8"/>
    <w:rsid w:val="00586A7E"/>
    <w:rsid w:val="00586B0A"/>
    <w:rsid w:val="00590A0B"/>
    <w:rsid w:val="00590E51"/>
    <w:rsid w:val="005912AE"/>
    <w:rsid w:val="005923B5"/>
    <w:rsid w:val="00592B45"/>
    <w:rsid w:val="00592C4B"/>
    <w:rsid w:val="00592C75"/>
    <w:rsid w:val="00593608"/>
    <w:rsid w:val="00593764"/>
    <w:rsid w:val="0059396E"/>
    <w:rsid w:val="0059433F"/>
    <w:rsid w:val="005958F0"/>
    <w:rsid w:val="00596065"/>
    <w:rsid w:val="005969E8"/>
    <w:rsid w:val="00596BA5"/>
    <w:rsid w:val="00596C35"/>
    <w:rsid w:val="00597098"/>
    <w:rsid w:val="005978CD"/>
    <w:rsid w:val="005A03A2"/>
    <w:rsid w:val="005A2233"/>
    <w:rsid w:val="005A249F"/>
    <w:rsid w:val="005A29D8"/>
    <w:rsid w:val="005A2D33"/>
    <w:rsid w:val="005A314A"/>
    <w:rsid w:val="005A4188"/>
    <w:rsid w:val="005A4A0C"/>
    <w:rsid w:val="005A4D6E"/>
    <w:rsid w:val="005A4ED8"/>
    <w:rsid w:val="005A52BE"/>
    <w:rsid w:val="005A5948"/>
    <w:rsid w:val="005A59B3"/>
    <w:rsid w:val="005A5A50"/>
    <w:rsid w:val="005A682A"/>
    <w:rsid w:val="005A68F3"/>
    <w:rsid w:val="005A732D"/>
    <w:rsid w:val="005A7867"/>
    <w:rsid w:val="005A7FC1"/>
    <w:rsid w:val="005B00F2"/>
    <w:rsid w:val="005B019F"/>
    <w:rsid w:val="005B047E"/>
    <w:rsid w:val="005B1050"/>
    <w:rsid w:val="005B161C"/>
    <w:rsid w:val="005B2049"/>
    <w:rsid w:val="005B24A7"/>
    <w:rsid w:val="005B3CE9"/>
    <w:rsid w:val="005B46B6"/>
    <w:rsid w:val="005B476F"/>
    <w:rsid w:val="005B5707"/>
    <w:rsid w:val="005C00AA"/>
    <w:rsid w:val="005C0962"/>
    <w:rsid w:val="005C1E19"/>
    <w:rsid w:val="005C1EC3"/>
    <w:rsid w:val="005C26CE"/>
    <w:rsid w:val="005C2D17"/>
    <w:rsid w:val="005C30A3"/>
    <w:rsid w:val="005C373B"/>
    <w:rsid w:val="005C4900"/>
    <w:rsid w:val="005C4953"/>
    <w:rsid w:val="005C54E2"/>
    <w:rsid w:val="005C66CF"/>
    <w:rsid w:val="005C6ADF"/>
    <w:rsid w:val="005C6B50"/>
    <w:rsid w:val="005C78B6"/>
    <w:rsid w:val="005D0902"/>
    <w:rsid w:val="005D0D7F"/>
    <w:rsid w:val="005D1055"/>
    <w:rsid w:val="005D1D0F"/>
    <w:rsid w:val="005D312F"/>
    <w:rsid w:val="005D40D3"/>
    <w:rsid w:val="005D4859"/>
    <w:rsid w:val="005D4A2D"/>
    <w:rsid w:val="005D4D2B"/>
    <w:rsid w:val="005D6300"/>
    <w:rsid w:val="005D634D"/>
    <w:rsid w:val="005D6E77"/>
    <w:rsid w:val="005D758E"/>
    <w:rsid w:val="005D7AD5"/>
    <w:rsid w:val="005D7E07"/>
    <w:rsid w:val="005E0291"/>
    <w:rsid w:val="005E04C0"/>
    <w:rsid w:val="005E0819"/>
    <w:rsid w:val="005E0C99"/>
    <w:rsid w:val="005E122C"/>
    <w:rsid w:val="005E1CC1"/>
    <w:rsid w:val="005E2828"/>
    <w:rsid w:val="005E2C21"/>
    <w:rsid w:val="005E43C8"/>
    <w:rsid w:val="005E5460"/>
    <w:rsid w:val="005E62FC"/>
    <w:rsid w:val="005E6AA5"/>
    <w:rsid w:val="005E7089"/>
    <w:rsid w:val="005E7265"/>
    <w:rsid w:val="005E7F72"/>
    <w:rsid w:val="005F12A4"/>
    <w:rsid w:val="005F147E"/>
    <w:rsid w:val="005F1B74"/>
    <w:rsid w:val="005F1B75"/>
    <w:rsid w:val="005F2621"/>
    <w:rsid w:val="005F2BE4"/>
    <w:rsid w:val="005F3177"/>
    <w:rsid w:val="005F352A"/>
    <w:rsid w:val="005F46F4"/>
    <w:rsid w:val="005F4C67"/>
    <w:rsid w:val="005F4C85"/>
    <w:rsid w:val="005F4E90"/>
    <w:rsid w:val="005F5106"/>
    <w:rsid w:val="005F7B0B"/>
    <w:rsid w:val="00600A69"/>
    <w:rsid w:val="006020E0"/>
    <w:rsid w:val="006035FF"/>
    <w:rsid w:val="006036BE"/>
    <w:rsid w:val="006037CB"/>
    <w:rsid w:val="00603913"/>
    <w:rsid w:val="006055BC"/>
    <w:rsid w:val="00605AE0"/>
    <w:rsid w:val="0060710D"/>
    <w:rsid w:val="0061131A"/>
    <w:rsid w:val="00611382"/>
    <w:rsid w:val="00611547"/>
    <w:rsid w:val="006116F0"/>
    <w:rsid w:val="00611784"/>
    <w:rsid w:val="00612592"/>
    <w:rsid w:val="00613596"/>
    <w:rsid w:val="006136FE"/>
    <w:rsid w:val="006137F7"/>
    <w:rsid w:val="00614051"/>
    <w:rsid w:val="00614248"/>
    <w:rsid w:val="00614B89"/>
    <w:rsid w:val="00615C70"/>
    <w:rsid w:val="00616629"/>
    <w:rsid w:val="006168AF"/>
    <w:rsid w:val="00616AFB"/>
    <w:rsid w:val="00617C50"/>
    <w:rsid w:val="00617F6A"/>
    <w:rsid w:val="006213F8"/>
    <w:rsid w:val="0062167A"/>
    <w:rsid w:val="00621C89"/>
    <w:rsid w:val="00621C91"/>
    <w:rsid w:val="00622E7B"/>
    <w:rsid w:val="00623091"/>
    <w:rsid w:val="00624468"/>
    <w:rsid w:val="006244D5"/>
    <w:rsid w:val="00624745"/>
    <w:rsid w:val="00624EFE"/>
    <w:rsid w:val="00626597"/>
    <w:rsid w:val="00626A70"/>
    <w:rsid w:val="00627876"/>
    <w:rsid w:val="0063113A"/>
    <w:rsid w:val="006312C8"/>
    <w:rsid w:val="00631E31"/>
    <w:rsid w:val="00631FD5"/>
    <w:rsid w:val="00632FA5"/>
    <w:rsid w:val="00633109"/>
    <w:rsid w:val="006335E5"/>
    <w:rsid w:val="00633D3B"/>
    <w:rsid w:val="00633D76"/>
    <w:rsid w:val="00633E27"/>
    <w:rsid w:val="00634464"/>
    <w:rsid w:val="0063463A"/>
    <w:rsid w:val="006358DD"/>
    <w:rsid w:val="00635A36"/>
    <w:rsid w:val="006362C8"/>
    <w:rsid w:val="00636EAD"/>
    <w:rsid w:val="0063736A"/>
    <w:rsid w:val="00637768"/>
    <w:rsid w:val="00637CD2"/>
    <w:rsid w:val="006406D8"/>
    <w:rsid w:val="00640EBA"/>
    <w:rsid w:val="00641414"/>
    <w:rsid w:val="0064156A"/>
    <w:rsid w:val="00641B58"/>
    <w:rsid w:val="00641F0D"/>
    <w:rsid w:val="006425FE"/>
    <w:rsid w:val="00642A96"/>
    <w:rsid w:val="00642F17"/>
    <w:rsid w:val="006435D8"/>
    <w:rsid w:val="00643BD0"/>
    <w:rsid w:val="00643C71"/>
    <w:rsid w:val="006447C5"/>
    <w:rsid w:val="0064487D"/>
    <w:rsid w:val="006448BD"/>
    <w:rsid w:val="00644D10"/>
    <w:rsid w:val="00644E3B"/>
    <w:rsid w:val="006456DF"/>
    <w:rsid w:val="00645B90"/>
    <w:rsid w:val="00646C8A"/>
    <w:rsid w:val="00646EAB"/>
    <w:rsid w:val="006504E9"/>
    <w:rsid w:val="00650E33"/>
    <w:rsid w:val="00650F0D"/>
    <w:rsid w:val="00651108"/>
    <w:rsid w:val="00651450"/>
    <w:rsid w:val="0065187E"/>
    <w:rsid w:val="00651C0B"/>
    <w:rsid w:val="00651C9E"/>
    <w:rsid w:val="00651D88"/>
    <w:rsid w:val="006522DF"/>
    <w:rsid w:val="00652BAE"/>
    <w:rsid w:val="006532D8"/>
    <w:rsid w:val="006535C4"/>
    <w:rsid w:val="0065398C"/>
    <w:rsid w:val="00653FB5"/>
    <w:rsid w:val="0065437D"/>
    <w:rsid w:val="00654EB6"/>
    <w:rsid w:val="0065511D"/>
    <w:rsid w:val="00655EB3"/>
    <w:rsid w:val="00657B1C"/>
    <w:rsid w:val="00661941"/>
    <w:rsid w:val="00661BDA"/>
    <w:rsid w:val="00663D77"/>
    <w:rsid w:val="006646E9"/>
    <w:rsid w:val="00665EB2"/>
    <w:rsid w:val="00666A2D"/>
    <w:rsid w:val="00667703"/>
    <w:rsid w:val="00667937"/>
    <w:rsid w:val="00667CBA"/>
    <w:rsid w:val="0067042A"/>
    <w:rsid w:val="00671659"/>
    <w:rsid w:val="00671BDE"/>
    <w:rsid w:val="00671F81"/>
    <w:rsid w:val="00672503"/>
    <w:rsid w:val="00672517"/>
    <w:rsid w:val="00673646"/>
    <w:rsid w:val="00673691"/>
    <w:rsid w:val="00673A46"/>
    <w:rsid w:val="00673B1E"/>
    <w:rsid w:val="00674B61"/>
    <w:rsid w:val="00675D67"/>
    <w:rsid w:val="006761E5"/>
    <w:rsid w:val="00676A13"/>
    <w:rsid w:val="00676A33"/>
    <w:rsid w:val="00677BB1"/>
    <w:rsid w:val="00680D2A"/>
    <w:rsid w:val="00681CF4"/>
    <w:rsid w:val="00682E8B"/>
    <w:rsid w:val="0068399D"/>
    <w:rsid w:val="00685A08"/>
    <w:rsid w:val="00685AA0"/>
    <w:rsid w:val="00685CF4"/>
    <w:rsid w:val="00685F97"/>
    <w:rsid w:val="00686167"/>
    <w:rsid w:val="00686173"/>
    <w:rsid w:val="006869EF"/>
    <w:rsid w:val="00690591"/>
    <w:rsid w:val="00690C72"/>
    <w:rsid w:val="006918AF"/>
    <w:rsid w:val="00691950"/>
    <w:rsid w:val="00691A1A"/>
    <w:rsid w:val="00692340"/>
    <w:rsid w:val="00693306"/>
    <w:rsid w:val="00693325"/>
    <w:rsid w:val="0069406C"/>
    <w:rsid w:val="00695976"/>
    <w:rsid w:val="00696567"/>
    <w:rsid w:val="006969B0"/>
    <w:rsid w:val="006969E0"/>
    <w:rsid w:val="00696B02"/>
    <w:rsid w:val="00696CED"/>
    <w:rsid w:val="00697B8B"/>
    <w:rsid w:val="006A09FE"/>
    <w:rsid w:val="006A0D7D"/>
    <w:rsid w:val="006A0EE7"/>
    <w:rsid w:val="006A0F61"/>
    <w:rsid w:val="006A119D"/>
    <w:rsid w:val="006A1731"/>
    <w:rsid w:val="006A184C"/>
    <w:rsid w:val="006A2640"/>
    <w:rsid w:val="006A29CC"/>
    <w:rsid w:val="006A458D"/>
    <w:rsid w:val="006A47BD"/>
    <w:rsid w:val="006A4EA0"/>
    <w:rsid w:val="006A5518"/>
    <w:rsid w:val="006A6093"/>
    <w:rsid w:val="006A7756"/>
    <w:rsid w:val="006B07C3"/>
    <w:rsid w:val="006B0A1A"/>
    <w:rsid w:val="006B0EA3"/>
    <w:rsid w:val="006B12BB"/>
    <w:rsid w:val="006B1A77"/>
    <w:rsid w:val="006B1B1C"/>
    <w:rsid w:val="006B291A"/>
    <w:rsid w:val="006B2AA8"/>
    <w:rsid w:val="006B348B"/>
    <w:rsid w:val="006B3BEB"/>
    <w:rsid w:val="006B3D4A"/>
    <w:rsid w:val="006B4B11"/>
    <w:rsid w:val="006B4F9B"/>
    <w:rsid w:val="006B5529"/>
    <w:rsid w:val="006B663D"/>
    <w:rsid w:val="006B6A09"/>
    <w:rsid w:val="006B6E3A"/>
    <w:rsid w:val="006B7890"/>
    <w:rsid w:val="006C03D0"/>
    <w:rsid w:val="006C0C27"/>
    <w:rsid w:val="006C1E58"/>
    <w:rsid w:val="006C1FA7"/>
    <w:rsid w:val="006C2293"/>
    <w:rsid w:val="006C275A"/>
    <w:rsid w:val="006C2B11"/>
    <w:rsid w:val="006C3298"/>
    <w:rsid w:val="006C3334"/>
    <w:rsid w:val="006C3E8D"/>
    <w:rsid w:val="006C42D5"/>
    <w:rsid w:val="006C468B"/>
    <w:rsid w:val="006C62BC"/>
    <w:rsid w:val="006C6C8D"/>
    <w:rsid w:val="006C7B36"/>
    <w:rsid w:val="006D15AC"/>
    <w:rsid w:val="006D2266"/>
    <w:rsid w:val="006D3025"/>
    <w:rsid w:val="006D3820"/>
    <w:rsid w:val="006D3A81"/>
    <w:rsid w:val="006D3B45"/>
    <w:rsid w:val="006D4D2D"/>
    <w:rsid w:val="006D4F0E"/>
    <w:rsid w:val="006D5314"/>
    <w:rsid w:val="006D542B"/>
    <w:rsid w:val="006D56C7"/>
    <w:rsid w:val="006D5977"/>
    <w:rsid w:val="006D66A6"/>
    <w:rsid w:val="006D6A8F"/>
    <w:rsid w:val="006D6D00"/>
    <w:rsid w:val="006E0C2B"/>
    <w:rsid w:val="006E1575"/>
    <w:rsid w:val="006E1F98"/>
    <w:rsid w:val="006E2C3A"/>
    <w:rsid w:val="006E32EE"/>
    <w:rsid w:val="006E45FA"/>
    <w:rsid w:val="006E540A"/>
    <w:rsid w:val="006E5F2C"/>
    <w:rsid w:val="006E5F7A"/>
    <w:rsid w:val="006E69E7"/>
    <w:rsid w:val="006E721C"/>
    <w:rsid w:val="006E7666"/>
    <w:rsid w:val="006F0D7C"/>
    <w:rsid w:val="006F0FC8"/>
    <w:rsid w:val="006F1014"/>
    <w:rsid w:val="006F222E"/>
    <w:rsid w:val="006F2756"/>
    <w:rsid w:val="006F2C63"/>
    <w:rsid w:val="006F372D"/>
    <w:rsid w:val="006F38AD"/>
    <w:rsid w:val="006F402B"/>
    <w:rsid w:val="006F4417"/>
    <w:rsid w:val="006F5195"/>
    <w:rsid w:val="006F51D1"/>
    <w:rsid w:val="006F58A4"/>
    <w:rsid w:val="006F622E"/>
    <w:rsid w:val="006F6711"/>
    <w:rsid w:val="006F6A1F"/>
    <w:rsid w:val="006F6B18"/>
    <w:rsid w:val="006F7D22"/>
    <w:rsid w:val="007006CD"/>
    <w:rsid w:val="0070073F"/>
    <w:rsid w:val="0070156E"/>
    <w:rsid w:val="007017F6"/>
    <w:rsid w:val="00701E2D"/>
    <w:rsid w:val="007026CF"/>
    <w:rsid w:val="0070314B"/>
    <w:rsid w:val="007033C9"/>
    <w:rsid w:val="0070618B"/>
    <w:rsid w:val="00706A19"/>
    <w:rsid w:val="00706BFC"/>
    <w:rsid w:val="0070746A"/>
    <w:rsid w:val="00707470"/>
    <w:rsid w:val="00707D6A"/>
    <w:rsid w:val="00707F43"/>
    <w:rsid w:val="0071007A"/>
    <w:rsid w:val="00712589"/>
    <w:rsid w:val="007132CE"/>
    <w:rsid w:val="00713567"/>
    <w:rsid w:val="0071387E"/>
    <w:rsid w:val="007149AB"/>
    <w:rsid w:val="00715550"/>
    <w:rsid w:val="007160E6"/>
    <w:rsid w:val="007164C7"/>
    <w:rsid w:val="007200CD"/>
    <w:rsid w:val="007209A8"/>
    <w:rsid w:val="00720D53"/>
    <w:rsid w:val="0072165D"/>
    <w:rsid w:val="007236BB"/>
    <w:rsid w:val="00723FD3"/>
    <w:rsid w:val="007240F9"/>
    <w:rsid w:val="007249FF"/>
    <w:rsid w:val="00724C7D"/>
    <w:rsid w:val="00725349"/>
    <w:rsid w:val="00725543"/>
    <w:rsid w:val="007279C5"/>
    <w:rsid w:val="007300A3"/>
    <w:rsid w:val="007317C6"/>
    <w:rsid w:val="007319B1"/>
    <w:rsid w:val="00731BCA"/>
    <w:rsid w:val="00732A2A"/>
    <w:rsid w:val="00732EE3"/>
    <w:rsid w:val="007330F1"/>
    <w:rsid w:val="00733631"/>
    <w:rsid w:val="00733B40"/>
    <w:rsid w:val="0073546B"/>
    <w:rsid w:val="00735772"/>
    <w:rsid w:val="00735A3B"/>
    <w:rsid w:val="00736038"/>
    <w:rsid w:val="00736F7C"/>
    <w:rsid w:val="0073732C"/>
    <w:rsid w:val="0073742F"/>
    <w:rsid w:val="00740623"/>
    <w:rsid w:val="00741050"/>
    <w:rsid w:val="007413DE"/>
    <w:rsid w:val="00741558"/>
    <w:rsid w:val="007417F0"/>
    <w:rsid w:val="00741BAC"/>
    <w:rsid w:val="00742534"/>
    <w:rsid w:val="00742D6B"/>
    <w:rsid w:val="00742E86"/>
    <w:rsid w:val="00743CB2"/>
    <w:rsid w:val="00743E2A"/>
    <w:rsid w:val="00744667"/>
    <w:rsid w:val="0074640A"/>
    <w:rsid w:val="00746DAC"/>
    <w:rsid w:val="007471FB"/>
    <w:rsid w:val="007472BE"/>
    <w:rsid w:val="00747943"/>
    <w:rsid w:val="007502EC"/>
    <w:rsid w:val="007508AE"/>
    <w:rsid w:val="007509DD"/>
    <w:rsid w:val="00751922"/>
    <w:rsid w:val="00751CB0"/>
    <w:rsid w:val="00752B96"/>
    <w:rsid w:val="00752CB9"/>
    <w:rsid w:val="00753309"/>
    <w:rsid w:val="00753345"/>
    <w:rsid w:val="00754847"/>
    <w:rsid w:val="00754F7D"/>
    <w:rsid w:val="00756269"/>
    <w:rsid w:val="00757049"/>
    <w:rsid w:val="0075785D"/>
    <w:rsid w:val="00760CBC"/>
    <w:rsid w:val="00760E54"/>
    <w:rsid w:val="007612BF"/>
    <w:rsid w:val="007621D0"/>
    <w:rsid w:val="00764D75"/>
    <w:rsid w:val="00764F0C"/>
    <w:rsid w:val="00765CD4"/>
    <w:rsid w:val="007660DE"/>
    <w:rsid w:val="00766B1E"/>
    <w:rsid w:val="0076721F"/>
    <w:rsid w:val="007678F4"/>
    <w:rsid w:val="00767F2F"/>
    <w:rsid w:val="00773107"/>
    <w:rsid w:val="007736C9"/>
    <w:rsid w:val="007746B1"/>
    <w:rsid w:val="00774C8C"/>
    <w:rsid w:val="00774EEC"/>
    <w:rsid w:val="00775638"/>
    <w:rsid w:val="007760B6"/>
    <w:rsid w:val="0077638C"/>
    <w:rsid w:val="007763C3"/>
    <w:rsid w:val="0077681C"/>
    <w:rsid w:val="00777124"/>
    <w:rsid w:val="00777188"/>
    <w:rsid w:val="007803F2"/>
    <w:rsid w:val="00780998"/>
    <w:rsid w:val="0078183D"/>
    <w:rsid w:val="00781927"/>
    <w:rsid w:val="00781B6C"/>
    <w:rsid w:val="00781C30"/>
    <w:rsid w:val="007832EA"/>
    <w:rsid w:val="00783528"/>
    <w:rsid w:val="007846AC"/>
    <w:rsid w:val="00784ED6"/>
    <w:rsid w:val="007852BA"/>
    <w:rsid w:val="007866D7"/>
    <w:rsid w:val="007870F4"/>
    <w:rsid w:val="00790211"/>
    <w:rsid w:val="00791643"/>
    <w:rsid w:val="007917DC"/>
    <w:rsid w:val="0079188C"/>
    <w:rsid w:val="00791B63"/>
    <w:rsid w:val="00791C2C"/>
    <w:rsid w:val="00792773"/>
    <w:rsid w:val="00792970"/>
    <w:rsid w:val="00792BB7"/>
    <w:rsid w:val="00793487"/>
    <w:rsid w:val="0079394B"/>
    <w:rsid w:val="00794687"/>
    <w:rsid w:val="00794CDB"/>
    <w:rsid w:val="00794E70"/>
    <w:rsid w:val="00795D0F"/>
    <w:rsid w:val="007961E8"/>
    <w:rsid w:val="00796587"/>
    <w:rsid w:val="00796E4A"/>
    <w:rsid w:val="0079750E"/>
    <w:rsid w:val="00797518"/>
    <w:rsid w:val="00797ADC"/>
    <w:rsid w:val="007A1302"/>
    <w:rsid w:val="007A1396"/>
    <w:rsid w:val="007A1F2F"/>
    <w:rsid w:val="007A1F37"/>
    <w:rsid w:val="007A2270"/>
    <w:rsid w:val="007A3BFB"/>
    <w:rsid w:val="007A3C32"/>
    <w:rsid w:val="007A3EA7"/>
    <w:rsid w:val="007A4278"/>
    <w:rsid w:val="007A44E1"/>
    <w:rsid w:val="007A564D"/>
    <w:rsid w:val="007A5ACB"/>
    <w:rsid w:val="007A5C47"/>
    <w:rsid w:val="007A5F44"/>
    <w:rsid w:val="007A5FB7"/>
    <w:rsid w:val="007A6213"/>
    <w:rsid w:val="007A6607"/>
    <w:rsid w:val="007A6A63"/>
    <w:rsid w:val="007A6DC4"/>
    <w:rsid w:val="007A7455"/>
    <w:rsid w:val="007A78CC"/>
    <w:rsid w:val="007A79F6"/>
    <w:rsid w:val="007A7BF5"/>
    <w:rsid w:val="007B061E"/>
    <w:rsid w:val="007B06A5"/>
    <w:rsid w:val="007B19C7"/>
    <w:rsid w:val="007B4357"/>
    <w:rsid w:val="007B54A6"/>
    <w:rsid w:val="007B6167"/>
    <w:rsid w:val="007B675C"/>
    <w:rsid w:val="007B68FD"/>
    <w:rsid w:val="007B7B91"/>
    <w:rsid w:val="007C14F3"/>
    <w:rsid w:val="007C18F8"/>
    <w:rsid w:val="007C267D"/>
    <w:rsid w:val="007C26A8"/>
    <w:rsid w:val="007C2970"/>
    <w:rsid w:val="007C2FCC"/>
    <w:rsid w:val="007C30DB"/>
    <w:rsid w:val="007C3273"/>
    <w:rsid w:val="007C39D1"/>
    <w:rsid w:val="007C54B7"/>
    <w:rsid w:val="007C622F"/>
    <w:rsid w:val="007C62E0"/>
    <w:rsid w:val="007C6482"/>
    <w:rsid w:val="007C6762"/>
    <w:rsid w:val="007C6CE8"/>
    <w:rsid w:val="007D190A"/>
    <w:rsid w:val="007D3386"/>
    <w:rsid w:val="007D4BA2"/>
    <w:rsid w:val="007D51F7"/>
    <w:rsid w:val="007D5AB0"/>
    <w:rsid w:val="007D5C94"/>
    <w:rsid w:val="007D77FC"/>
    <w:rsid w:val="007D7D85"/>
    <w:rsid w:val="007E04D1"/>
    <w:rsid w:val="007E0776"/>
    <w:rsid w:val="007E09D5"/>
    <w:rsid w:val="007E180C"/>
    <w:rsid w:val="007E199F"/>
    <w:rsid w:val="007E2150"/>
    <w:rsid w:val="007E2F27"/>
    <w:rsid w:val="007E32A0"/>
    <w:rsid w:val="007E3461"/>
    <w:rsid w:val="007E5C33"/>
    <w:rsid w:val="007E60DB"/>
    <w:rsid w:val="007E689B"/>
    <w:rsid w:val="007E6C9C"/>
    <w:rsid w:val="007E770A"/>
    <w:rsid w:val="007E7FF1"/>
    <w:rsid w:val="007F095D"/>
    <w:rsid w:val="007F1DA6"/>
    <w:rsid w:val="007F1E31"/>
    <w:rsid w:val="007F232D"/>
    <w:rsid w:val="007F2665"/>
    <w:rsid w:val="007F27B9"/>
    <w:rsid w:val="007F286B"/>
    <w:rsid w:val="007F2878"/>
    <w:rsid w:val="007F3728"/>
    <w:rsid w:val="007F3F52"/>
    <w:rsid w:val="007F459B"/>
    <w:rsid w:val="007F4A00"/>
    <w:rsid w:val="007F6024"/>
    <w:rsid w:val="007F625B"/>
    <w:rsid w:val="007F6642"/>
    <w:rsid w:val="007F721A"/>
    <w:rsid w:val="008002EA"/>
    <w:rsid w:val="00801DA1"/>
    <w:rsid w:val="00801F34"/>
    <w:rsid w:val="00802027"/>
    <w:rsid w:val="00803490"/>
    <w:rsid w:val="008039AB"/>
    <w:rsid w:val="00803BED"/>
    <w:rsid w:val="008042BE"/>
    <w:rsid w:val="00804A9E"/>
    <w:rsid w:val="0080564E"/>
    <w:rsid w:val="00805A0D"/>
    <w:rsid w:val="00805CC0"/>
    <w:rsid w:val="00807CC1"/>
    <w:rsid w:val="008106D5"/>
    <w:rsid w:val="00810AB0"/>
    <w:rsid w:val="00810B65"/>
    <w:rsid w:val="00811D7D"/>
    <w:rsid w:val="008128D6"/>
    <w:rsid w:val="00812964"/>
    <w:rsid w:val="00812E6B"/>
    <w:rsid w:val="00812FF9"/>
    <w:rsid w:val="008135B1"/>
    <w:rsid w:val="00813690"/>
    <w:rsid w:val="00813751"/>
    <w:rsid w:val="00814E27"/>
    <w:rsid w:val="00815159"/>
    <w:rsid w:val="00815329"/>
    <w:rsid w:val="00815996"/>
    <w:rsid w:val="008164EA"/>
    <w:rsid w:val="008166B8"/>
    <w:rsid w:val="00816B9B"/>
    <w:rsid w:val="008171DB"/>
    <w:rsid w:val="00817203"/>
    <w:rsid w:val="0081763D"/>
    <w:rsid w:val="0082051F"/>
    <w:rsid w:val="00820551"/>
    <w:rsid w:val="00820AA5"/>
    <w:rsid w:val="008216A7"/>
    <w:rsid w:val="0082179D"/>
    <w:rsid w:val="00821DBD"/>
    <w:rsid w:val="00821E99"/>
    <w:rsid w:val="00822B71"/>
    <w:rsid w:val="0082360B"/>
    <w:rsid w:val="008238F4"/>
    <w:rsid w:val="008239E6"/>
    <w:rsid w:val="00823A72"/>
    <w:rsid w:val="00823C78"/>
    <w:rsid w:val="00824C65"/>
    <w:rsid w:val="00825447"/>
    <w:rsid w:val="008255CC"/>
    <w:rsid w:val="008255E2"/>
    <w:rsid w:val="0082567B"/>
    <w:rsid w:val="00825925"/>
    <w:rsid w:val="008265E7"/>
    <w:rsid w:val="00826630"/>
    <w:rsid w:val="008268EA"/>
    <w:rsid w:val="00827D51"/>
    <w:rsid w:val="00827D63"/>
    <w:rsid w:val="00827ECA"/>
    <w:rsid w:val="0083094D"/>
    <w:rsid w:val="00831B15"/>
    <w:rsid w:val="008321E9"/>
    <w:rsid w:val="008334D2"/>
    <w:rsid w:val="00833E8D"/>
    <w:rsid w:val="00834419"/>
    <w:rsid w:val="008346F9"/>
    <w:rsid w:val="00834A78"/>
    <w:rsid w:val="00835152"/>
    <w:rsid w:val="0083598F"/>
    <w:rsid w:val="00835D6B"/>
    <w:rsid w:val="00836288"/>
    <w:rsid w:val="008363B7"/>
    <w:rsid w:val="008367E9"/>
    <w:rsid w:val="008368D2"/>
    <w:rsid w:val="008400ED"/>
    <w:rsid w:val="00840B1D"/>
    <w:rsid w:val="00840D0A"/>
    <w:rsid w:val="00841735"/>
    <w:rsid w:val="00841908"/>
    <w:rsid w:val="00841F61"/>
    <w:rsid w:val="00842C38"/>
    <w:rsid w:val="008430CE"/>
    <w:rsid w:val="008431ED"/>
    <w:rsid w:val="008439AE"/>
    <w:rsid w:val="00843E29"/>
    <w:rsid w:val="00843E89"/>
    <w:rsid w:val="008447C2"/>
    <w:rsid w:val="00844B83"/>
    <w:rsid w:val="0084637A"/>
    <w:rsid w:val="0084663B"/>
    <w:rsid w:val="00846F58"/>
    <w:rsid w:val="00850207"/>
    <w:rsid w:val="008507DD"/>
    <w:rsid w:val="00850F0E"/>
    <w:rsid w:val="00851063"/>
    <w:rsid w:val="0085124E"/>
    <w:rsid w:val="008513DE"/>
    <w:rsid w:val="008519E2"/>
    <w:rsid w:val="00852FDE"/>
    <w:rsid w:val="00853285"/>
    <w:rsid w:val="008534B6"/>
    <w:rsid w:val="008536B7"/>
    <w:rsid w:val="00853F77"/>
    <w:rsid w:val="00854AF4"/>
    <w:rsid w:val="00855FC0"/>
    <w:rsid w:val="00856719"/>
    <w:rsid w:val="008572FC"/>
    <w:rsid w:val="00857F17"/>
    <w:rsid w:val="00860C7A"/>
    <w:rsid w:val="008613B7"/>
    <w:rsid w:val="00861540"/>
    <w:rsid w:val="00862AA2"/>
    <w:rsid w:val="00862D98"/>
    <w:rsid w:val="00863BBB"/>
    <w:rsid w:val="00864E63"/>
    <w:rsid w:val="008653EA"/>
    <w:rsid w:val="0086666A"/>
    <w:rsid w:val="00866973"/>
    <w:rsid w:val="00867331"/>
    <w:rsid w:val="00867F2B"/>
    <w:rsid w:val="0087017C"/>
    <w:rsid w:val="008706F8"/>
    <w:rsid w:val="00870861"/>
    <w:rsid w:val="008723FC"/>
    <w:rsid w:val="00873D0B"/>
    <w:rsid w:val="0087452D"/>
    <w:rsid w:val="0087454D"/>
    <w:rsid w:val="008751EC"/>
    <w:rsid w:val="00875485"/>
    <w:rsid w:val="00875F68"/>
    <w:rsid w:val="0087610F"/>
    <w:rsid w:val="008765C1"/>
    <w:rsid w:val="00877501"/>
    <w:rsid w:val="00877AB3"/>
    <w:rsid w:val="0088055E"/>
    <w:rsid w:val="008807CF"/>
    <w:rsid w:val="008817B2"/>
    <w:rsid w:val="00881ABA"/>
    <w:rsid w:val="00882087"/>
    <w:rsid w:val="00882D7D"/>
    <w:rsid w:val="008832DB"/>
    <w:rsid w:val="00883928"/>
    <w:rsid w:val="00884434"/>
    <w:rsid w:val="00884517"/>
    <w:rsid w:val="0088464D"/>
    <w:rsid w:val="008848BB"/>
    <w:rsid w:val="00884F09"/>
    <w:rsid w:val="00885503"/>
    <w:rsid w:val="0088561E"/>
    <w:rsid w:val="00885AD2"/>
    <w:rsid w:val="00886226"/>
    <w:rsid w:val="00886BCB"/>
    <w:rsid w:val="00886D12"/>
    <w:rsid w:val="008873F1"/>
    <w:rsid w:val="008900D7"/>
    <w:rsid w:val="0089077E"/>
    <w:rsid w:val="008907F5"/>
    <w:rsid w:val="00891430"/>
    <w:rsid w:val="0089199B"/>
    <w:rsid w:val="008919A6"/>
    <w:rsid w:val="00892C6E"/>
    <w:rsid w:val="00893558"/>
    <w:rsid w:val="00893C2A"/>
    <w:rsid w:val="00893DE1"/>
    <w:rsid w:val="00894AE3"/>
    <w:rsid w:val="008951F3"/>
    <w:rsid w:val="00895A7D"/>
    <w:rsid w:val="00895BEC"/>
    <w:rsid w:val="00895F35"/>
    <w:rsid w:val="00896AA2"/>
    <w:rsid w:val="00896B19"/>
    <w:rsid w:val="008974DA"/>
    <w:rsid w:val="008978BA"/>
    <w:rsid w:val="008A0F59"/>
    <w:rsid w:val="008A1DE8"/>
    <w:rsid w:val="008A2EBC"/>
    <w:rsid w:val="008A3AC0"/>
    <w:rsid w:val="008A4040"/>
    <w:rsid w:val="008A4196"/>
    <w:rsid w:val="008A576C"/>
    <w:rsid w:val="008A581A"/>
    <w:rsid w:val="008A5B4E"/>
    <w:rsid w:val="008A5CF4"/>
    <w:rsid w:val="008A6930"/>
    <w:rsid w:val="008A7A53"/>
    <w:rsid w:val="008A7D0F"/>
    <w:rsid w:val="008B056A"/>
    <w:rsid w:val="008B0C7D"/>
    <w:rsid w:val="008B1422"/>
    <w:rsid w:val="008B22BD"/>
    <w:rsid w:val="008B2905"/>
    <w:rsid w:val="008B3BE9"/>
    <w:rsid w:val="008B3C6A"/>
    <w:rsid w:val="008B68CA"/>
    <w:rsid w:val="008B6A1C"/>
    <w:rsid w:val="008B6CF0"/>
    <w:rsid w:val="008B7AD7"/>
    <w:rsid w:val="008B7DD3"/>
    <w:rsid w:val="008C0456"/>
    <w:rsid w:val="008C0898"/>
    <w:rsid w:val="008C08D9"/>
    <w:rsid w:val="008C08E9"/>
    <w:rsid w:val="008C0939"/>
    <w:rsid w:val="008C0AC3"/>
    <w:rsid w:val="008C1191"/>
    <w:rsid w:val="008C19AF"/>
    <w:rsid w:val="008C45BE"/>
    <w:rsid w:val="008C495E"/>
    <w:rsid w:val="008C4EEB"/>
    <w:rsid w:val="008C5005"/>
    <w:rsid w:val="008C6A0D"/>
    <w:rsid w:val="008C6F7D"/>
    <w:rsid w:val="008C7933"/>
    <w:rsid w:val="008D0EB6"/>
    <w:rsid w:val="008D130A"/>
    <w:rsid w:val="008D2E3F"/>
    <w:rsid w:val="008D2F09"/>
    <w:rsid w:val="008D317B"/>
    <w:rsid w:val="008D3291"/>
    <w:rsid w:val="008D37D1"/>
    <w:rsid w:val="008D3A1A"/>
    <w:rsid w:val="008D3C56"/>
    <w:rsid w:val="008D42C1"/>
    <w:rsid w:val="008D4927"/>
    <w:rsid w:val="008D4AEF"/>
    <w:rsid w:val="008D4CCA"/>
    <w:rsid w:val="008D5DC0"/>
    <w:rsid w:val="008D5FB3"/>
    <w:rsid w:val="008D69CE"/>
    <w:rsid w:val="008D6BC3"/>
    <w:rsid w:val="008D6C81"/>
    <w:rsid w:val="008D77C7"/>
    <w:rsid w:val="008D7F06"/>
    <w:rsid w:val="008E01A7"/>
    <w:rsid w:val="008E0703"/>
    <w:rsid w:val="008E09AA"/>
    <w:rsid w:val="008E1333"/>
    <w:rsid w:val="008E164B"/>
    <w:rsid w:val="008E2425"/>
    <w:rsid w:val="008E331A"/>
    <w:rsid w:val="008E3355"/>
    <w:rsid w:val="008E57E5"/>
    <w:rsid w:val="008E65A7"/>
    <w:rsid w:val="008E6A29"/>
    <w:rsid w:val="008E7038"/>
    <w:rsid w:val="008F0570"/>
    <w:rsid w:val="008F0ED2"/>
    <w:rsid w:val="008F0F4D"/>
    <w:rsid w:val="008F12C7"/>
    <w:rsid w:val="008F15F1"/>
    <w:rsid w:val="008F1F46"/>
    <w:rsid w:val="008F20D4"/>
    <w:rsid w:val="008F2A0E"/>
    <w:rsid w:val="008F3002"/>
    <w:rsid w:val="008F31E6"/>
    <w:rsid w:val="008F3F36"/>
    <w:rsid w:val="008F418B"/>
    <w:rsid w:val="008F498C"/>
    <w:rsid w:val="008F4DAF"/>
    <w:rsid w:val="008F5808"/>
    <w:rsid w:val="008F5D0B"/>
    <w:rsid w:val="008F5F95"/>
    <w:rsid w:val="008F64C2"/>
    <w:rsid w:val="008F67EE"/>
    <w:rsid w:val="008F72A2"/>
    <w:rsid w:val="008F7D06"/>
    <w:rsid w:val="00900001"/>
    <w:rsid w:val="0090019E"/>
    <w:rsid w:val="00900AE5"/>
    <w:rsid w:val="00900EAB"/>
    <w:rsid w:val="00901F03"/>
    <w:rsid w:val="0090286E"/>
    <w:rsid w:val="00902EEC"/>
    <w:rsid w:val="0090359C"/>
    <w:rsid w:val="00903CC7"/>
    <w:rsid w:val="00905277"/>
    <w:rsid w:val="0090627D"/>
    <w:rsid w:val="009078F7"/>
    <w:rsid w:val="0091035E"/>
    <w:rsid w:val="009104BF"/>
    <w:rsid w:val="00910B83"/>
    <w:rsid w:val="00912B93"/>
    <w:rsid w:val="009131D9"/>
    <w:rsid w:val="00913339"/>
    <w:rsid w:val="009137D5"/>
    <w:rsid w:val="00913975"/>
    <w:rsid w:val="0091405A"/>
    <w:rsid w:val="0091510B"/>
    <w:rsid w:val="00915264"/>
    <w:rsid w:val="009152EE"/>
    <w:rsid w:val="00915C16"/>
    <w:rsid w:val="00915CE6"/>
    <w:rsid w:val="00916547"/>
    <w:rsid w:val="00916EFB"/>
    <w:rsid w:val="00916F60"/>
    <w:rsid w:val="00917291"/>
    <w:rsid w:val="00921320"/>
    <w:rsid w:val="00921B39"/>
    <w:rsid w:val="00923479"/>
    <w:rsid w:val="009235DC"/>
    <w:rsid w:val="00923767"/>
    <w:rsid w:val="00923D06"/>
    <w:rsid w:val="00924370"/>
    <w:rsid w:val="0092487B"/>
    <w:rsid w:val="009255F9"/>
    <w:rsid w:val="00925977"/>
    <w:rsid w:val="00925DAF"/>
    <w:rsid w:val="00926756"/>
    <w:rsid w:val="00926AF9"/>
    <w:rsid w:val="00926EB7"/>
    <w:rsid w:val="0092785F"/>
    <w:rsid w:val="00927CB3"/>
    <w:rsid w:val="00930084"/>
    <w:rsid w:val="00930419"/>
    <w:rsid w:val="00930448"/>
    <w:rsid w:val="00930D8F"/>
    <w:rsid w:val="0093101F"/>
    <w:rsid w:val="009318B7"/>
    <w:rsid w:val="00931FEA"/>
    <w:rsid w:val="009320DA"/>
    <w:rsid w:val="009329C5"/>
    <w:rsid w:val="009331D1"/>
    <w:rsid w:val="009335BA"/>
    <w:rsid w:val="00933E20"/>
    <w:rsid w:val="009344B1"/>
    <w:rsid w:val="009348AB"/>
    <w:rsid w:val="00934D67"/>
    <w:rsid w:val="00935297"/>
    <w:rsid w:val="00935373"/>
    <w:rsid w:val="00935DCC"/>
    <w:rsid w:val="00935FD4"/>
    <w:rsid w:val="009368CE"/>
    <w:rsid w:val="00936ADB"/>
    <w:rsid w:val="00936FFD"/>
    <w:rsid w:val="00937151"/>
    <w:rsid w:val="00937CE3"/>
    <w:rsid w:val="009407ED"/>
    <w:rsid w:val="00940B3A"/>
    <w:rsid w:val="009410D0"/>
    <w:rsid w:val="009432E5"/>
    <w:rsid w:val="00943B45"/>
    <w:rsid w:val="009465B5"/>
    <w:rsid w:val="0094686E"/>
    <w:rsid w:val="00946F37"/>
    <w:rsid w:val="00947708"/>
    <w:rsid w:val="00947B04"/>
    <w:rsid w:val="00947D84"/>
    <w:rsid w:val="00950979"/>
    <w:rsid w:val="00952C61"/>
    <w:rsid w:val="00952D5D"/>
    <w:rsid w:val="009534BD"/>
    <w:rsid w:val="00953BC5"/>
    <w:rsid w:val="00953D02"/>
    <w:rsid w:val="00955635"/>
    <w:rsid w:val="00956E2E"/>
    <w:rsid w:val="009576D9"/>
    <w:rsid w:val="00957895"/>
    <w:rsid w:val="009602FF"/>
    <w:rsid w:val="00960602"/>
    <w:rsid w:val="0096086C"/>
    <w:rsid w:val="00960A31"/>
    <w:rsid w:val="0096126E"/>
    <w:rsid w:val="00961C0A"/>
    <w:rsid w:val="00962010"/>
    <w:rsid w:val="0096292E"/>
    <w:rsid w:val="00962AED"/>
    <w:rsid w:val="00964322"/>
    <w:rsid w:val="00966042"/>
    <w:rsid w:val="00966167"/>
    <w:rsid w:val="009663A3"/>
    <w:rsid w:val="0096681E"/>
    <w:rsid w:val="00967977"/>
    <w:rsid w:val="0096797F"/>
    <w:rsid w:val="00970060"/>
    <w:rsid w:val="0097007E"/>
    <w:rsid w:val="0097062F"/>
    <w:rsid w:val="0097074A"/>
    <w:rsid w:val="00970D9A"/>
    <w:rsid w:val="00970E35"/>
    <w:rsid w:val="00970FBD"/>
    <w:rsid w:val="0097131F"/>
    <w:rsid w:val="009724D5"/>
    <w:rsid w:val="0097382D"/>
    <w:rsid w:val="009743B8"/>
    <w:rsid w:val="009745ED"/>
    <w:rsid w:val="0097479A"/>
    <w:rsid w:val="00975B5A"/>
    <w:rsid w:val="00975C67"/>
    <w:rsid w:val="00975F85"/>
    <w:rsid w:val="0097631A"/>
    <w:rsid w:val="00976B16"/>
    <w:rsid w:val="00976CEE"/>
    <w:rsid w:val="009770F9"/>
    <w:rsid w:val="009776B5"/>
    <w:rsid w:val="00977ACA"/>
    <w:rsid w:val="0098077C"/>
    <w:rsid w:val="009810CF"/>
    <w:rsid w:val="0098362C"/>
    <w:rsid w:val="009836F7"/>
    <w:rsid w:val="00984674"/>
    <w:rsid w:val="0098632A"/>
    <w:rsid w:val="00986C1C"/>
    <w:rsid w:val="00986DAF"/>
    <w:rsid w:val="00987407"/>
    <w:rsid w:val="00990C2E"/>
    <w:rsid w:val="0099218B"/>
    <w:rsid w:val="009921FC"/>
    <w:rsid w:val="00992ADE"/>
    <w:rsid w:val="00992C4B"/>
    <w:rsid w:val="00992FF7"/>
    <w:rsid w:val="00993291"/>
    <w:rsid w:val="009933EC"/>
    <w:rsid w:val="00993E27"/>
    <w:rsid w:val="00994B2B"/>
    <w:rsid w:val="00995969"/>
    <w:rsid w:val="00996965"/>
    <w:rsid w:val="00997053"/>
    <w:rsid w:val="009A1EA6"/>
    <w:rsid w:val="009A22FC"/>
    <w:rsid w:val="009A3131"/>
    <w:rsid w:val="009A3AC3"/>
    <w:rsid w:val="009A41F2"/>
    <w:rsid w:val="009A4612"/>
    <w:rsid w:val="009A58AB"/>
    <w:rsid w:val="009A69F9"/>
    <w:rsid w:val="009A6BFF"/>
    <w:rsid w:val="009A7DC8"/>
    <w:rsid w:val="009A7F85"/>
    <w:rsid w:val="009B03BE"/>
    <w:rsid w:val="009B0B15"/>
    <w:rsid w:val="009B10C3"/>
    <w:rsid w:val="009B1700"/>
    <w:rsid w:val="009B1A85"/>
    <w:rsid w:val="009B1AEA"/>
    <w:rsid w:val="009B274C"/>
    <w:rsid w:val="009B32F4"/>
    <w:rsid w:val="009B38BC"/>
    <w:rsid w:val="009B3BEA"/>
    <w:rsid w:val="009B4084"/>
    <w:rsid w:val="009B43C3"/>
    <w:rsid w:val="009B51B6"/>
    <w:rsid w:val="009B5705"/>
    <w:rsid w:val="009B62B2"/>
    <w:rsid w:val="009B683A"/>
    <w:rsid w:val="009B6A36"/>
    <w:rsid w:val="009B7B81"/>
    <w:rsid w:val="009C0E4E"/>
    <w:rsid w:val="009C1896"/>
    <w:rsid w:val="009C18C4"/>
    <w:rsid w:val="009C3A8B"/>
    <w:rsid w:val="009C3FFF"/>
    <w:rsid w:val="009C5A95"/>
    <w:rsid w:val="009C6133"/>
    <w:rsid w:val="009C6788"/>
    <w:rsid w:val="009D03BC"/>
    <w:rsid w:val="009D0693"/>
    <w:rsid w:val="009D0A63"/>
    <w:rsid w:val="009D0BD8"/>
    <w:rsid w:val="009D0FEF"/>
    <w:rsid w:val="009D16CC"/>
    <w:rsid w:val="009D3C03"/>
    <w:rsid w:val="009D424B"/>
    <w:rsid w:val="009D4323"/>
    <w:rsid w:val="009D4882"/>
    <w:rsid w:val="009D4C85"/>
    <w:rsid w:val="009D4E45"/>
    <w:rsid w:val="009D5615"/>
    <w:rsid w:val="009D59FA"/>
    <w:rsid w:val="009D5BBA"/>
    <w:rsid w:val="009D637B"/>
    <w:rsid w:val="009D64FD"/>
    <w:rsid w:val="009D6727"/>
    <w:rsid w:val="009D6773"/>
    <w:rsid w:val="009D6D41"/>
    <w:rsid w:val="009D715C"/>
    <w:rsid w:val="009D76E0"/>
    <w:rsid w:val="009D789E"/>
    <w:rsid w:val="009D7A68"/>
    <w:rsid w:val="009D7CF1"/>
    <w:rsid w:val="009E04BA"/>
    <w:rsid w:val="009E13DA"/>
    <w:rsid w:val="009E1BEA"/>
    <w:rsid w:val="009E26F2"/>
    <w:rsid w:val="009E3108"/>
    <w:rsid w:val="009E3276"/>
    <w:rsid w:val="009E367E"/>
    <w:rsid w:val="009E3E78"/>
    <w:rsid w:val="009E45D0"/>
    <w:rsid w:val="009E4C7E"/>
    <w:rsid w:val="009E6C20"/>
    <w:rsid w:val="009F0222"/>
    <w:rsid w:val="009F1105"/>
    <w:rsid w:val="009F14EC"/>
    <w:rsid w:val="009F195C"/>
    <w:rsid w:val="009F2A46"/>
    <w:rsid w:val="009F2ABF"/>
    <w:rsid w:val="009F378E"/>
    <w:rsid w:val="009F41A2"/>
    <w:rsid w:val="009F5155"/>
    <w:rsid w:val="009F5758"/>
    <w:rsid w:val="009F5952"/>
    <w:rsid w:val="009F5DD3"/>
    <w:rsid w:val="009F5EA9"/>
    <w:rsid w:val="009F610F"/>
    <w:rsid w:val="009F631C"/>
    <w:rsid w:val="009F64F5"/>
    <w:rsid w:val="009F65AA"/>
    <w:rsid w:val="009F75FF"/>
    <w:rsid w:val="009F7A60"/>
    <w:rsid w:val="00A0121E"/>
    <w:rsid w:val="00A029AB"/>
    <w:rsid w:val="00A0301A"/>
    <w:rsid w:val="00A036AB"/>
    <w:rsid w:val="00A043F0"/>
    <w:rsid w:val="00A04E1E"/>
    <w:rsid w:val="00A04F82"/>
    <w:rsid w:val="00A051B9"/>
    <w:rsid w:val="00A052E4"/>
    <w:rsid w:val="00A053E6"/>
    <w:rsid w:val="00A053FE"/>
    <w:rsid w:val="00A05E82"/>
    <w:rsid w:val="00A05F14"/>
    <w:rsid w:val="00A06AD1"/>
    <w:rsid w:val="00A06B95"/>
    <w:rsid w:val="00A07CAC"/>
    <w:rsid w:val="00A1058D"/>
    <w:rsid w:val="00A10CB5"/>
    <w:rsid w:val="00A11436"/>
    <w:rsid w:val="00A11D12"/>
    <w:rsid w:val="00A12C23"/>
    <w:rsid w:val="00A13CF1"/>
    <w:rsid w:val="00A13DA1"/>
    <w:rsid w:val="00A141AD"/>
    <w:rsid w:val="00A14B0D"/>
    <w:rsid w:val="00A15202"/>
    <w:rsid w:val="00A152F8"/>
    <w:rsid w:val="00A159AD"/>
    <w:rsid w:val="00A15B3E"/>
    <w:rsid w:val="00A17171"/>
    <w:rsid w:val="00A173CD"/>
    <w:rsid w:val="00A17E3E"/>
    <w:rsid w:val="00A2083E"/>
    <w:rsid w:val="00A221A0"/>
    <w:rsid w:val="00A22AAD"/>
    <w:rsid w:val="00A23914"/>
    <w:rsid w:val="00A23C71"/>
    <w:rsid w:val="00A24866"/>
    <w:rsid w:val="00A251E6"/>
    <w:rsid w:val="00A2576B"/>
    <w:rsid w:val="00A25DC4"/>
    <w:rsid w:val="00A2602C"/>
    <w:rsid w:val="00A2626F"/>
    <w:rsid w:val="00A27290"/>
    <w:rsid w:val="00A27363"/>
    <w:rsid w:val="00A27717"/>
    <w:rsid w:val="00A27A1A"/>
    <w:rsid w:val="00A27B91"/>
    <w:rsid w:val="00A27ECE"/>
    <w:rsid w:val="00A27F7C"/>
    <w:rsid w:val="00A309D8"/>
    <w:rsid w:val="00A30F5E"/>
    <w:rsid w:val="00A316DE"/>
    <w:rsid w:val="00A31D1E"/>
    <w:rsid w:val="00A3269B"/>
    <w:rsid w:val="00A32896"/>
    <w:rsid w:val="00A32F93"/>
    <w:rsid w:val="00A33977"/>
    <w:rsid w:val="00A3435C"/>
    <w:rsid w:val="00A36762"/>
    <w:rsid w:val="00A37632"/>
    <w:rsid w:val="00A37750"/>
    <w:rsid w:val="00A4031C"/>
    <w:rsid w:val="00A40E11"/>
    <w:rsid w:val="00A4119D"/>
    <w:rsid w:val="00A411B6"/>
    <w:rsid w:val="00A41936"/>
    <w:rsid w:val="00A42192"/>
    <w:rsid w:val="00A422CC"/>
    <w:rsid w:val="00A4253E"/>
    <w:rsid w:val="00A42855"/>
    <w:rsid w:val="00A42BF3"/>
    <w:rsid w:val="00A43037"/>
    <w:rsid w:val="00A442B3"/>
    <w:rsid w:val="00A4436F"/>
    <w:rsid w:val="00A44644"/>
    <w:rsid w:val="00A45A2F"/>
    <w:rsid w:val="00A46D65"/>
    <w:rsid w:val="00A479A5"/>
    <w:rsid w:val="00A50D38"/>
    <w:rsid w:val="00A50EA4"/>
    <w:rsid w:val="00A5203E"/>
    <w:rsid w:val="00A520AC"/>
    <w:rsid w:val="00A53C2C"/>
    <w:rsid w:val="00A542FB"/>
    <w:rsid w:val="00A5474D"/>
    <w:rsid w:val="00A5495B"/>
    <w:rsid w:val="00A54ACE"/>
    <w:rsid w:val="00A55020"/>
    <w:rsid w:val="00A5503E"/>
    <w:rsid w:val="00A55829"/>
    <w:rsid w:val="00A5589E"/>
    <w:rsid w:val="00A55D86"/>
    <w:rsid w:val="00A5669C"/>
    <w:rsid w:val="00A56839"/>
    <w:rsid w:val="00A57401"/>
    <w:rsid w:val="00A60F7E"/>
    <w:rsid w:val="00A61DA7"/>
    <w:rsid w:val="00A61EE8"/>
    <w:rsid w:val="00A626D1"/>
    <w:rsid w:val="00A643C9"/>
    <w:rsid w:val="00A64FD8"/>
    <w:rsid w:val="00A65C61"/>
    <w:rsid w:val="00A65D25"/>
    <w:rsid w:val="00A65FDD"/>
    <w:rsid w:val="00A66F7D"/>
    <w:rsid w:val="00A704D7"/>
    <w:rsid w:val="00A71517"/>
    <w:rsid w:val="00A71BE9"/>
    <w:rsid w:val="00A71EF9"/>
    <w:rsid w:val="00A726FB"/>
    <w:rsid w:val="00A7278E"/>
    <w:rsid w:val="00A72E97"/>
    <w:rsid w:val="00A7350A"/>
    <w:rsid w:val="00A735A9"/>
    <w:rsid w:val="00A73671"/>
    <w:rsid w:val="00A7380D"/>
    <w:rsid w:val="00A73DAE"/>
    <w:rsid w:val="00A740DB"/>
    <w:rsid w:val="00A746BF"/>
    <w:rsid w:val="00A75D89"/>
    <w:rsid w:val="00A76473"/>
    <w:rsid w:val="00A769A6"/>
    <w:rsid w:val="00A76C2B"/>
    <w:rsid w:val="00A770D7"/>
    <w:rsid w:val="00A801BA"/>
    <w:rsid w:val="00A81159"/>
    <w:rsid w:val="00A81545"/>
    <w:rsid w:val="00A822AF"/>
    <w:rsid w:val="00A854F4"/>
    <w:rsid w:val="00A857AB"/>
    <w:rsid w:val="00A859D3"/>
    <w:rsid w:val="00A85CDD"/>
    <w:rsid w:val="00A86DA7"/>
    <w:rsid w:val="00A8701F"/>
    <w:rsid w:val="00A8721D"/>
    <w:rsid w:val="00A8732C"/>
    <w:rsid w:val="00A8779F"/>
    <w:rsid w:val="00A87A46"/>
    <w:rsid w:val="00A90468"/>
    <w:rsid w:val="00A90526"/>
    <w:rsid w:val="00A921CE"/>
    <w:rsid w:val="00A9246E"/>
    <w:rsid w:val="00A93235"/>
    <w:rsid w:val="00A9385A"/>
    <w:rsid w:val="00A94284"/>
    <w:rsid w:val="00A94D5C"/>
    <w:rsid w:val="00A95E23"/>
    <w:rsid w:val="00A9642D"/>
    <w:rsid w:val="00A96F83"/>
    <w:rsid w:val="00A97561"/>
    <w:rsid w:val="00AA01C0"/>
    <w:rsid w:val="00AA0700"/>
    <w:rsid w:val="00AA0FDC"/>
    <w:rsid w:val="00AA112B"/>
    <w:rsid w:val="00AA210B"/>
    <w:rsid w:val="00AA373D"/>
    <w:rsid w:val="00AA41A2"/>
    <w:rsid w:val="00AA4312"/>
    <w:rsid w:val="00AA4BB2"/>
    <w:rsid w:val="00AA5A84"/>
    <w:rsid w:val="00AA6A01"/>
    <w:rsid w:val="00AA6B1E"/>
    <w:rsid w:val="00AA6D0D"/>
    <w:rsid w:val="00AA6FC2"/>
    <w:rsid w:val="00AA70A9"/>
    <w:rsid w:val="00AA7F97"/>
    <w:rsid w:val="00AB025A"/>
    <w:rsid w:val="00AB0716"/>
    <w:rsid w:val="00AB0BB4"/>
    <w:rsid w:val="00AB1003"/>
    <w:rsid w:val="00AB2775"/>
    <w:rsid w:val="00AB3E08"/>
    <w:rsid w:val="00AB3E11"/>
    <w:rsid w:val="00AB42F5"/>
    <w:rsid w:val="00AB462D"/>
    <w:rsid w:val="00AB57A1"/>
    <w:rsid w:val="00AB5F04"/>
    <w:rsid w:val="00AB6246"/>
    <w:rsid w:val="00AB6D33"/>
    <w:rsid w:val="00AB7051"/>
    <w:rsid w:val="00AB7263"/>
    <w:rsid w:val="00AB7943"/>
    <w:rsid w:val="00AB7C5E"/>
    <w:rsid w:val="00AB7CC0"/>
    <w:rsid w:val="00AC1101"/>
    <w:rsid w:val="00AC14E0"/>
    <w:rsid w:val="00AC1F94"/>
    <w:rsid w:val="00AC2065"/>
    <w:rsid w:val="00AC243B"/>
    <w:rsid w:val="00AC3E33"/>
    <w:rsid w:val="00AC4504"/>
    <w:rsid w:val="00AC60BE"/>
    <w:rsid w:val="00AC646B"/>
    <w:rsid w:val="00AC6D59"/>
    <w:rsid w:val="00AC6F9A"/>
    <w:rsid w:val="00AC74F6"/>
    <w:rsid w:val="00AC7706"/>
    <w:rsid w:val="00AC77C5"/>
    <w:rsid w:val="00AC7AAA"/>
    <w:rsid w:val="00AD033F"/>
    <w:rsid w:val="00AD2025"/>
    <w:rsid w:val="00AD228F"/>
    <w:rsid w:val="00AD3D0C"/>
    <w:rsid w:val="00AD4159"/>
    <w:rsid w:val="00AD415F"/>
    <w:rsid w:val="00AD5106"/>
    <w:rsid w:val="00AD53CC"/>
    <w:rsid w:val="00AD6332"/>
    <w:rsid w:val="00AD6615"/>
    <w:rsid w:val="00AD6657"/>
    <w:rsid w:val="00AD7FDA"/>
    <w:rsid w:val="00AE0789"/>
    <w:rsid w:val="00AE07FD"/>
    <w:rsid w:val="00AE09D3"/>
    <w:rsid w:val="00AE167D"/>
    <w:rsid w:val="00AE1E4E"/>
    <w:rsid w:val="00AE214F"/>
    <w:rsid w:val="00AE2D36"/>
    <w:rsid w:val="00AE2DBE"/>
    <w:rsid w:val="00AE2F5B"/>
    <w:rsid w:val="00AE345C"/>
    <w:rsid w:val="00AE34BE"/>
    <w:rsid w:val="00AE35FF"/>
    <w:rsid w:val="00AE562C"/>
    <w:rsid w:val="00AE576E"/>
    <w:rsid w:val="00AE7433"/>
    <w:rsid w:val="00AE7B2E"/>
    <w:rsid w:val="00AF022A"/>
    <w:rsid w:val="00AF0D2E"/>
    <w:rsid w:val="00AF1124"/>
    <w:rsid w:val="00AF2C54"/>
    <w:rsid w:val="00AF2F11"/>
    <w:rsid w:val="00AF3154"/>
    <w:rsid w:val="00AF3723"/>
    <w:rsid w:val="00AF3D7F"/>
    <w:rsid w:val="00AF4698"/>
    <w:rsid w:val="00AF46F1"/>
    <w:rsid w:val="00AF499D"/>
    <w:rsid w:val="00AF501D"/>
    <w:rsid w:val="00AF573A"/>
    <w:rsid w:val="00AF5D57"/>
    <w:rsid w:val="00AF727D"/>
    <w:rsid w:val="00AF731F"/>
    <w:rsid w:val="00B001D1"/>
    <w:rsid w:val="00B00EB6"/>
    <w:rsid w:val="00B00FF7"/>
    <w:rsid w:val="00B01358"/>
    <w:rsid w:val="00B02092"/>
    <w:rsid w:val="00B0223C"/>
    <w:rsid w:val="00B039FA"/>
    <w:rsid w:val="00B040FF"/>
    <w:rsid w:val="00B0419A"/>
    <w:rsid w:val="00B04994"/>
    <w:rsid w:val="00B055CA"/>
    <w:rsid w:val="00B0630F"/>
    <w:rsid w:val="00B068CE"/>
    <w:rsid w:val="00B06F09"/>
    <w:rsid w:val="00B074EA"/>
    <w:rsid w:val="00B074ED"/>
    <w:rsid w:val="00B0755B"/>
    <w:rsid w:val="00B07BAF"/>
    <w:rsid w:val="00B1044B"/>
    <w:rsid w:val="00B11531"/>
    <w:rsid w:val="00B1211B"/>
    <w:rsid w:val="00B1244E"/>
    <w:rsid w:val="00B130AA"/>
    <w:rsid w:val="00B131A6"/>
    <w:rsid w:val="00B1320A"/>
    <w:rsid w:val="00B13AA7"/>
    <w:rsid w:val="00B13B87"/>
    <w:rsid w:val="00B15BEE"/>
    <w:rsid w:val="00B16316"/>
    <w:rsid w:val="00B16510"/>
    <w:rsid w:val="00B1661B"/>
    <w:rsid w:val="00B16B96"/>
    <w:rsid w:val="00B179C1"/>
    <w:rsid w:val="00B207D2"/>
    <w:rsid w:val="00B20C83"/>
    <w:rsid w:val="00B21CDF"/>
    <w:rsid w:val="00B2245F"/>
    <w:rsid w:val="00B2384D"/>
    <w:rsid w:val="00B23E82"/>
    <w:rsid w:val="00B23EE1"/>
    <w:rsid w:val="00B24BCC"/>
    <w:rsid w:val="00B24D09"/>
    <w:rsid w:val="00B25DA5"/>
    <w:rsid w:val="00B264A0"/>
    <w:rsid w:val="00B26637"/>
    <w:rsid w:val="00B26E23"/>
    <w:rsid w:val="00B26E35"/>
    <w:rsid w:val="00B27307"/>
    <w:rsid w:val="00B31502"/>
    <w:rsid w:val="00B316F7"/>
    <w:rsid w:val="00B31ABA"/>
    <w:rsid w:val="00B323EA"/>
    <w:rsid w:val="00B32BEB"/>
    <w:rsid w:val="00B33B34"/>
    <w:rsid w:val="00B33DAD"/>
    <w:rsid w:val="00B33F6B"/>
    <w:rsid w:val="00B352F8"/>
    <w:rsid w:val="00B4083D"/>
    <w:rsid w:val="00B40937"/>
    <w:rsid w:val="00B40BE0"/>
    <w:rsid w:val="00B41132"/>
    <w:rsid w:val="00B4142B"/>
    <w:rsid w:val="00B42C6D"/>
    <w:rsid w:val="00B436F6"/>
    <w:rsid w:val="00B45512"/>
    <w:rsid w:val="00B45932"/>
    <w:rsid w:val="00B4743E"/>
    <w:rsid w:val="00B47704"/>
    <w:rsid w:val="00B47BF4"/>
    <w:rsid w:val="00B50748"/>
    <w:rsid w:val="00B510F5"/>
    <w:rsid w:val="00B51393"/>
    <w:rsid w:val="00B5189D"/>
    <w:rsid w:val="00B5204E"/>
    <w:rsid w:val="00B52198"/>
    <w:rsid w:val="00B52507"/>
    <w:rsid w:val="00B5262E"/>
    <w:rsid w:val="00B53606"/>
    <w:rsid w:val="00B54D86"/>
    <w:rsid w:val="00B55142"/>
    <w:rsid w:val="00B55A71"/>
    <w:rsid w:val="00B56826"/>
    <w:rsid w:val="00B57E57"/>
    <w:rsid w:val="00B60293"/>
    <w:rsid w:val="00B604CE"/>
    <w:rsid w:val="00B60FDF"/>
    <w:rsid w:val="00B6139C"/>
    <w:rsid w:val="00B61FFB"/>
    <w:rsid w:val="00B62C7C"/>
    <w:rsid w:val="00B63574"/>
    <w:rsid w:val="00B6367B"/>
    <w:rsid w:val="00B64142"/>
    <w:rsid w:val="00B644C0"/>
    <w:rsid w:val="00B653DC"/>
    <w:rsid w:val="00B6587C"/>
    <w:rsid w:val="00B6594C"/>
    <w:rsid w:val="00B66436"/>
    <w:rsid w:val="00B6645F"/>
    <w:rsid w:val="00B66816"/>
    <w:rsid w:val="00B67172"/>
    <w:rsid w:val="00B67546"/>
    <w:rsid w:val="00B71471"/>
    <w:rsid w:val="00B739E5"/>
    <w:rsid w:val="00B73C4E"/>
    <w:rsid w:val="00B74682"/>
    <w:rsid w:val="00B74C99"/>
    <w:rsid w:val="00B7586C"/>
    <w:rsid w:val="00B76C93"/>
    <w:rsid w:val="00B80DA6"/>
    <w:rsid w:val="00B81C86"/>
    <w:rsid w:val="00B8232A"/>
    <w:rsid w:val="00B825CE"/>
    <w:rsid w:val="00B828DB"/>
    <w:rsid w:val="00B82DE4"/>
    <w:rsid w:val="00B82F18"/>
    <w:rsid w:val="00B83E14"/>
    <w:rsid w:val="00B84546"/>
    <w:rsid w:val="00B84C24"/>
    <w:rsid w:val="00B86D6B"/>
    <w:rsid w:val="00B8760F"/>
    <w:rsid w:val="00B87B8E"/>
    <w:rsid w:val="00B9033B"/>
    <w:rsid w:val="00B908BF"/>
    <w:rsid w:val="00B9121F"/>
    <w:rsid w:val="00B91883"/>
    <w:rsid w:val="00B91F36"/>
    <w:rsid w:val="00B94520"/>
    <w:rsid w:val="00B9519E"/>
    <w:rsid w:val="00B9687E"/>
    <w:rsid w:val="00B96E31"/>
    <w:rsid w:val="00B9718D"/>
    <w:rsid w:val="00B97C43"/>
    <w:rsid w:val="00B97E55"/>
    <w:rsid w:val="00BA0870"/>
    <w:rsid w:val="00BA0E07"/>
    <w:rsid w:val="00BA0FC8"/>
    <w:rsid w:val="00BA132E"/>
    <w:rsid w:val="00BA1621"/>
    <w:rsid w:val="00BA284C"/>
    <w:rsid w:val="00BA3103"/>
    <w:rsid w:val="00BA5013"/>
    <w:rsid w:val="00BA5576"/>
    <w:rsid w:val="00BA56AD"/>
    <w:rsid w:val="00BA588A"/>
    <w:rsid w:val="00BA5B9D"/>
    <w:rsid w:val="00BA6D3F"/>
    <w:rsid w:val="00BA6EDF"/>
    <w:rsid w:val="00BA7535"/>
    <w:rsid w:val="00BA784A"/>
    <w:rsid w:val="00BA7D23"/>
    <w:rsid w:val="00BB0B05"/>
    <w:rsid w:val="00BB18A6"/>
    <w:rsid w:val="00BB1A36"/>
    <w:rsid w:val="00BB1DF3"/>
    <w:rsid w:val="00BB2309"/>
    <w:rsid w:val="00BB230D"/>
    <w:rsid w:val="00BB29E6"/>
    <w:rsid w:val="00BB3CA9"/>
    <w:rsid w:val="00BB56B1"/>
    <w:rsid w:val="00BB5A09"/>
    <w:rsid w:val="00BB5F19"/>
    <w:rsid w:val="00BB650E"/>
    <w:rsid w:val="00BB6D53"/>
    <w:rsid w:val="00BC0029"/>
    <w:rsid w:val="00BC076D"/>
    <w:rsid w:val="00BC0CD0"/>
    <w:rsid w:val="00BC1611"/>
    <w:rsid w:val="00BC1794"/>
    <w:rsid w:val="00BC2306"/>
    <w:rsid w:val="00BC2F69"/>
    <w:rsid w:val="00BC3143"/>
    <w:rsid w:val="00BC4055"/>
    <w:rsid w:val="00BC58A1"/>
    <w:rsid w:val="00BC6684"/>
    <w:rsid w:val="00BC6B5C"/>
    <w:rsid w:val="00BC7AAA"/>
    <w:rsid w:val="00BC7C09"/>
    <w:rsid w:val="00BC7CED"/>
    <w:rsid w:val="00BD0820"/>
    <w:rsid w:val="00BD103F"/>
    <w:rsid w:val="00BD119B"/>
    <w:rsid w:val="00BD120A"/>
    <w:rsid w:val="00BD12A4"/>
    <w:rsid w:val="00BD253D"/>
    <w:rsid w:val="00BD363F"/>
    <w:rsid w:val="00BD3C2F"/>
    <w:rsid w:val="00BD40F8"/>
    <w:rsid w:val="00BD5F27"/>
    <w:rsid w:val="00BD6A4E"/>
    <w:rsid w:val="00BD7B8A"/>
    <w:rsid w:val="00BD7ECE"/>
    <w:rsid w:val="00BE1663"/>
    <w:rsid w:val="00BE2CDA"/>
    <w:rsid w:val="00BE4772"/>
    <w:rsid w:val="00BE4DE0"/>
    <w:rsid w:val="00BE5BFD"/>
    <w:rsid w:val="00BE652E"/>
    <w:rsid w:val="00BE65C7"/>
    <w:rsid w:val="00BE6D4C"/>
    <w:rsid w:val="00BE7DCF"/>
    <w:rsid w:val="00BF0830"/>
    <w:rsid w:val="00BF1057"/>
    <w:rsid w:val="00BF12F5"/>
    <w:rsid w:val="00BF1A6E"/>
    <w:rsid w:val="00BF1CB0"/>
    <w:rsid w:val="00BF1E83"/>
    <w:rsid w:val="00BF2B72"/>
    <w:rsid w:val="00BF2E20"/>
    <w:rsid w:val="00BF2EA7"/>
    <w:rsid w:val="00BF3ADC"/>
    <w:rsid w:val="00BF3B06"/>
    <w:rsid w:val="00BF5916"/>
    <w:rsid w:val="00BF6679"/>
    <w:rsid w:val="00BF6C98"/>
    <w:rsid w:val="00BF7618"/>
    <w:rsid w:val="00BF7B95"/>
    <w:rsid w:val="00C00498"/>
    <w:rsid w:val="00C004FF"/>
    <w:rsid w:val="00C0057E"/>
    <w:rsid w:val="00C0067A"/>
    <w:rsid w:val="00C012AB"/>
    <w:rsid w:val="00C01B6A"/>
    <w:rsid w:val="00C01F06"/>
    <w:rsid w:val="00C03393"/>
    <w:rsid w:val="00C034B1"/>
    <w:rsid w:val="00C05584"/>
    <w:rsid w:val="00C05731"/>
    <w:rsid w:val="00C05984"/>
    <w:rsid w:val="00C05D99"/>
    <w:rsid w:val="00C06A2E"/>
    <w:rsid w:val="00C07251"/>
    <w:rsid w:val="00C077C8"/>
    <w:rsid w:val="00C07F1E"/>
    <w:rsid w:val="00C10BF7"/>
    <w:rsid w:val="00C11E44"/>
    <w:rsid w:val="00C125AC"/>
    <w:rsid w:val="00C125C8"/>
    <w:rsid w:val="00C12F86"/>
    <w:rsid w:val="00C131C6"/>
    <w:rsid w:val="00C1344A"/>
    <w:rsid w:val="00C13599"/>
    <w:rsid w:val="00C1365E"/>
    <w:rsid w:val="00C13753"/>
    <w:rsid w:val="00C1432C"/>
    <w:rsid w:val="00C1452E"/>
    <w:rsid w:val="00C14D6E"/>
    <w:rsid w:val="00C14DBE"/>
    <w:rsid w:val="00C15654"/>
    <w:rsid w:val="00C15DAF"/>
    <w:rsid w:val="00C162B4"/>
    <w:rsid w:val="00C16ABB"/>
    <w:rsid w:val="00C1789B"/>
    <w:rsid w:val="00C17DDA"/>
    <w:rsid w:val="00C200E2"/>
    <w:rsid w:val="00C202ED"/>
    <w:rsid w:val="00C21097"/>
    <w:rsid w:val="00C22D61"/>
    <w:rsid w:val="00C236B3"/>
    <w:rsid w:val="00C244DC"/>
    <w:rsid w:val="00C25682"/>
    <w:rsid w:val="00C258F1"/>
    <w:rsid w:val="00C258F3"/>
    <w:rsid w:val="00C26C93"/>
    <w:rsid w:val="00C26E5D"/>
    <w:rsid w:val="00C30194"/>
    <w:rsid w:val="00C31135"/>
    <w:rsid w:val="00C31AEA"/>
    <w:rsid w:val="00C32205"/>
    <w:rsid w:val="00C3238D"/>
    <w:rsid w:val="00C32962"/>
    <w:rsid w:val="00C333BD"/>
    <w:rsid w:val="00C34064"/>
    <w:rsid w:val="00C35F1F"/>
    <w:rsid w:val="00C36963"/>
    <w:rsid w:val="00C36C96"/>
    <w:rsid w:val="00C373F7"/>
    <w:rsid w:val="00C37B79"/>
    <w:rsid w:val="00C37F20"/>
    <w:rsid w:val="00C40480"/>
    <w:rsid w:val="00C40917"/>
    <w:rsid w:val="00C40A5E"/>
    <w:rsid w:val="00C40E22"/>
    <w:rsid w:val="00C40F5D"/>
    <w:rsid w:val="00C42F09"/>
    <w:rsid w:val="00C437DD"/>
    <w:rsid w:val="00C43CD7"/>
    <w:rsid w:val="00C466A0"/>
    <w:rsid w:val="00C46A76"/>
    <w:rsid w:val="00C46D60"/>
    <w:rsid w:val="00C475B2"/>
    <w:rsid w:val="00C47D61"/>
    <w:rsid w:val="00C47D8C"/>
    <w:rsid w:val="00C508F6"/>
    <w:rsid w:val="00C539EA"/>
    <w:rsid w:val="00C546D8"/>
    <w:rsid w:val="00C5509F"/>
    <w:rsid w:val="00C55736"/>
    <w:rsid w:val="00C56556"/>
    <w:rsid w:val="00C56C5C"/>
    <w:rsid w:val="00C57B7E"/>
    <w:rsid w:val="00C57DD8"/>
    <w:rsid w:val="00C60CB3"/>
    <w:rsid w:val="00C61129"/>
    <w:rsid w:val="00C61A04"/>
    <w:rsid w:val="00C61E24"/>
    <w:rsid w:val="00C622F9"/>
    <w:rsid w:val="00C626AE"/>
    <w:rsid w:val="00C63458"/>
    <w:rsid w:val="00C63961"/>
    <w:rsid w:val="00C63BBF"/>
    <w:rsid w:val="00C63DAD"/>
    <w:rsid w:val="00C64B6D"/>
    <w:rsid w:val="00C65574"/>
    <w:rsid w:val="00C65892"/>
    <w:rsid w:val="00C67212"/>
    <w:rsid w:val="00C677E0"/>
    <w:rsid w:val="00C67B6A"/>
    <w:rsid w:val="00C70A68"/>
    <w:rsid w:val="00C70CEA"/>
    <w:rsid w:val="00C72178"/>
    <w:rsid w:val="00C72B38"/>
    <w:rsid w:val="00C732B4"/>
    <w:rsid w:val="00C73A2B"/>
    <w:rsid w:val="00C73A80"/>
    <w:rsid w:val="00C74547"/>
    <w:rsid w:val="00C7532E"/>
    <w:rsid w:val="00C753B0"/>
    <w:rsid w:val="00C755EA"/>
    <w:rsid w:val="00C76082"/>
    <w:rsid w:val="00C767CF"/>
    <w:rsid w:val="00C80CCB"/>
    <w:rsid w:val="00C81832"/>
    <w:rsid w:val="00C822B0"/>
    <w:rsid w:val="00C82A06"/>
    <w:rsid w:val="00C82EFA"/>
    <w:rsid w:val="00C83539"/>
    <w:rsid w:val="00C842E4"/>
    <w:rsid w:val="00C84A2C"/>
    <w:rsid w:val="00C84F49"/>
    <w:rsid w:val="00C85D73"/>
    <w:rsid w:val="00C85FA3"/>
    <w:rsid w:val="00C87363"/>
    <w:rsid w:val="00C87482"/>
    <w:rsid w:val="00C87908"/>
    <w:rsid w:val="00C9054C"/>
    <w:rsid w:val="00C9091E"/>
    <w:rsid w:val="00C91F14"/>
    <w:rsid w:val="00C922F1"/>
    <w:rsid w:val="00C92FB7"/>
    <w:rsid w:val="00C93069"/>
    <w:rsid w:val="00C93F54"/>
    <w:rsid w:val="00C94226"/>
    <w:rsid w:val="00C9434B"/>
    <w:rsid w:val="00C94C42"/>
    <w:rsid w:val="00C94D47"/>
    <w:rsid w:val="00C94E0C"/>
    <w:rsid w:val="00C96524"/>
    <w:rsid w:val="00C97044"/>
    <w:rsid w:val="00C972E1"/>
    <w:rsid w:val="00CA24A0"/>
    <w:rsid w:val="00CA3635"/>
    <w:rsid w:val="00CA37BE"/>
    <w:rsid w:val="00CA3FFB"/>
    <w:rsid w:val="00CA4960"/>
    <w:rsid w:val="00CA4B4F"/>
    <w:rsid w:val="00CA50FB"/>
    <w:rsid w:val="00CA6470"/>
    <w:rsid w:val="00CA74FD"/>
    <w:rsid w:val="00CB0663"/>
    <w:rsid w:val="00CB0D94"/>
    <w:rsid w:val="00CB114B"/>
    <w:rsid w:val="00CB1B48"/>
    <w:rsid w:val="00CB1EB4"/>
    <w:rsid w:val="00CB21A7"/>
    <w:rsid w:val="00CB26C4"/>
    <w:rsid w:val="00CB2835"/>
    <w:rsid w:val="00CB326E"/>
    <w:rsid w:val="00CB32A1"/>
    <w:rsid w:val="00CB394E"/>
    <w:rsid w:val="00CB45BB"/>
    <w:rsid w:val="00CB4E6F"/>
    <w:rsid w:val="00CB67EB"/>
    <w:rsid w:val="00CB6DF3"/>
    <w:rsid w:val="00CB7136"/>
    <w:rsid w:val="00CB7148"/>
    <w:rsid w:val="00CC012E"/>
    <w:rsid w:val="00CC111A"/>
    <w:rsid w:val="00CC1633"/>
    <w:rsid w:val="00CC19C2"/>
    <w:rsid w:val="00CC1ACA"/>
    <w:rsid w:val="00CC2182"/>
    <w:rsid w:val="00CC246E"/>
    <w:rsid w:val="00CC294F"/>
    <w:rsid w:val="00CC2C65"/>
    <w:rsid w:val="00CC34FE"/>
    <w:rsid w:val="00CC38D2"/>
    <w:rsid w:val="00CC3A53"/>
    <w:rsid w:val="00CC3B2C"/>
    <w:rsid w:val="00CC3CAD"/>
    <w:rsid w:val="00CC49D9"/>
    <w:rsid w:val="00CC4B5D"/>
    <w:rsid w:val="00CC4FA6"/>
    <w:rsid w:val="00CC5AD3"/>
    <w:rsid w:val="00CC6EF4"/>
    <w:rsid w:val="00CC7854"/>
    <w:rsid w:val="00CC7A52"/>
    <w:rsid w:val="00CD0D3C"/>
    <w:rsid w:val="00CD17CE"/>
    <w:rsid w:val="00CD1D3F"/>
    <w:rsid w:val="00CD2310"/>
    <w:rsid w:val="00CD23BD"/>
    <w:rsid w:val="00CD287F"/>
    <w:rsid w:val="00CD3883"/>
    <w:rsid w:val="00CD3C6E"/>
    <w:rsid w:val="00CD4900"/>
    <w:rsid w:val="00CD4E4E"/>
    <w:rsid w:val="00CD522E"/>
    <w:rsid w:val="00CD5C5B"/>
    <w:rsid w:val="00CD5E4C"/>
    <w:rsid w:val="00CD5FA9"/>
    <w:rsid w:val="00CD6579"/>
    <w:rsid w:val="00CD6854"/>
    <w:rsid w:val="00CD6FBB"/>
    <w:rsid w:val="00CD71C9"/>
    <w:rsid w:val="00CD7858"/>
    <w:rsid w:val="00CE0013"/>
    <w:rsid w:val="00CE1611"/>
    <w:rsid w:val="00CE3599"/>
    <w:rsid w:val="00CE3DA5"/>
    <w:rsid w:val="00CE47E6"/>
    <w:rsid w:val="00CE4E20"/>
    <w:rsid w:val="00CE5475"/>
    <w:rsid w:val="00CE672C"/>
    <w:rsid w:val="00CE68D8"/>
    <w:rsid w:val="00CE7C06"/>
    <w:rsid w:val="00CF0982"/>
    <w:rsid w:val="00CF0E79"/>
    <w:rsid w:val="00CF1A0C"/>
    <w:rsid w:val="00CF217F"/>
    <w:rsid w:val="00CF241A"/>
    <w:rsid w:val="00CF3471"/>
    <w:rsid w:val="00CF3962"/>
    <w:rsid w:val="00CF4B70"/>
    <w:rsid w:val="00CF5BD5"/>
    <w:rsid w:val="00CF7B10"/>
    <w:rsid w:val="00D00159"/>
    <w:rsid w:val="00D02BC7"/>
    <w:rsid w:val="00D03688"/>
    <w:rsid w:val="00D03B26"/>
    <w:rsid w:val="00D03BD1"/>
    <w:rsid w:val="00D04681"/>
    <w:rsid w:val="00D04BA6"/>
    <w:rsid w:val="00D051A0"/>
    <w:rsid w:val="00D05761"/>
    <w:rsid w:val="00D05B87"/>
    <w:rsid w:val="00D062E3"/>
    <w:rsid w:val="00D078C6"/>
    <w:rsid w:val="00D07FEC"/>
    <w:rsid w:val="00D10A18"/>
    <w:rsid w:val="00D10B3F"/>
    <w:rsid w:val="00D14117"/>
    <w:rsid w:val="00D15227"/>
    <w:rsid w:val="00D1577A"/>
    <w:rsid w:val="00D15ED7"/>
    <w:rsid w:val="00D16208"/>
    <w:rsid w:val="00D164A7"/>
    <w:rsid w:val="00D1674B"/>
    <w:rsid w:val="00D1793B"/>
    <w:rsid w:val="00D20F7D"/>
    <w:rsid w:val="00D21AA2"/>
    <w:rsid w:val="00D2303B"/>
    <w:rsid w:val="00D25A9B"/>
    <w:rsid w:val="00D25B17"/>
    <w:rsid w:val="00D25E50"/>
    <w:rsid w:val="00D26355"/>
    <w:rsid w:val="00D26C3E"/>
    <w:rsid w:val="00D318E3"/>
    <w:rsid w:val="00D31B5A"/>
    <w:rsid w:val="00D31C54"/>
    <w:rsid w:val="00D31EFB"/>
    <w:rsid w:val="00D31F6F"/>
    <w:rsid w:val="00D33A7C"/>
    <w:rsid w:val="00D33B45"/>
    <w:rsid w:val="00D33DDF"/>
    <w:rsid w:val="00D34902"/>
    <w:rsid w:val="00D37004"/>
    <w:rsid w:val="00D379DE"/>
    <w:rsid w:val="00D4006E"/>
    <w:rsid w:val="00D40820"/>
    <w:rsid w:val="00D40D52"/>
    <w:rsid w:val="00D42082"/>
    <w:rsid w:val="00D420C8"/>
    <w:rsid w:val="00D431EC"/>
    <w:rsid w:val="00D4381B"/>
    <w:rsid w:val="00D43EEE"/>
    <w:rsid w:val="00D442D2"/>
    <w:rsid w:val="00D44318"/>
    <w:rsid w:val="00D4460C"/>
    <w:rsid w:val="00D448D5"/>
    <w:rsid w:val="00D44BC8"/>
    <w:rsid w:val="00D45004"/>
    <w:rsid w:val="00D452D3"/>
    <w:rsid w:val="00D463C4"/>
    <w:rsid w:val="00D46C15"/>
    <w:rsid w:val="00D470A6"/>
    <w:rsid w:val="00D473B6"/>
    <w:rsid w:val="00D50069"/>
    <w:rsid w:val="00D50645"/>
    <w:rsid w:val="00D5074F"/>
    <w:rsid w:val="00D510DF"/>
    <w:rsid w:val="00D5191C"/>
    <w:rsid w:val="00D5262A"/>
    <w:rsid w:val="00D535FF"/>
    <w:rsid w:val="00D53FBE"/>
    <w:rsid w:val="00D5444C"/>
    <w:rsid w:val="00D54987"/>
    <w:rsid w:val="00D54A72"/>
    <w:rsid w:val="00D55442"/>
    <w:rsid w:val="00D561CD"/>
    <w:rsid w:val="00D5634A"/>
    <w:rsid w:val="00D57EA0"/>
    <w:rsid w:val="00D6209D"/>
    <w:rsid w:val="00D6248B"/>
    <w:rsid w:val="00D627E9"/>
    <w:rsid w:val="00D63782"/>
    <w:rsid w:val="00D64B32"/>
    <w:rsid w:val="00D64D65"/>
    <w:rsid w:val="00D64E41"/>
    <w:rsid w:val="00D650A0"/>
    <w:rsid w:val="00D6624C"/>
    <w:rsid w:val="00D669FA"/>
    <w:rsid w:val="00D66B1A"/>
    <w:rsid w:val="00D66CC7"/>
    <w:rsid w:val="00D66E39"/>
    <w:rsid w:val="00D70131"/>
    <w:rsid w:val="00D70FCA"/>
    <w:rsid w:val="00D71182"/>
    <w:rsid w:val="00D71DB2"/>
    <w:rsid w:val="00D72CEB"/>
    <w:rsid w:val="00D749AA"/>
    <w:rsid w:val="00D767E3"/>
    <w:rsid w:val="00D768BD"/>
    <w:rsid w:val="00D77224"/>
    <w:rsid w:val="00D774DE"/>
    <w:rsid w:val="00D77948"/>
    <w:rsid w:val="00D77F09"/>
    <w:rsid w:val="00D77F2F"/>
    <w:rsid w:val="00D80268"/>
    <w:rsid w:val="00D805EB"/>
    <w:rsid w:val="00D80690"/>
    <w:rsid w:val="00D80A26"/>
    <w:rsid w:val="00D80AF6"/>
    <w:rsid w:val="00D81144"/>
    <w:rsid w:val="00D8211D"/>
    <w:rsid w:val="00D82477"/>
    <w:rsid w:val="00D825D8"/>
    <w:rsid w:val="00D82B4B"/>
    <w:rsid w:val="00D84103"/>
    <w:rsid w:val="00D844DC"/>
    <w:rsid w:val="00D84876"/>
    <w:rsid w:val="00D8501B"/>
    <w:rsid w:val="00D862C3"/>
    <w:rsid w:val="00D8678D"/>
    <w:rsid w:val="00D8724C"/>
    <w:rsid w:val="00D90099"/>
    <w:rsid w:val="00D90B72"/>
    <w:rsid w:val="00D90CCE"/>
    <w:rsid w:val="00D9149D"/>
    <w:rsid w:val="00D91A8C"/>
    <w:rsid w:val="00D91CD3"/>
    <w:rsid w:val="00D91EB8"/>
    <w:rsid w:val="00D92182"/>
    <w:rsid w:val="00D93304"/>
    <w:rsid w:val="00D937F6"/>
    <w:rsid w:val="00D93F5D"/>
    <w:rsid w:val="00D94399"/>
    <w:rsid w:val="00D94413"/>
    <w:rsid w:val="00D94630"/>
    <w:rsid w:val="00D94AA0"/>
    <w:rsid w:val="00D94AE0"/>
    <w:rsid w:val="00D954B3"/>
    <w:rsid w:val="00D9675E"/>
    <w:rsid w:val="00D96AB1"/>
    <w:rsid w:val="00D96C97"/>
    <w:rsid w:val="00D97298"/>
    <w:rsid w:val="00D976AF"/>
    <w:rsid w:val="00DA06B7"/>
    <w:rsid w:val="00DA1945"/>
    <w:rsid w:val="00DA1D14"/>
    <w:rsid w:val="00DA1E83"/>
    <w:rsid w:val="00DA29C0"/>
    <w:rsid w:val="00DA2E20"/>
    <w:rsid w:val="00DA31AD"/>
    <w:rsid w:val="00DA38D6"/>
    <w:rsid w:val="00DA3ADE"/>
    <w:rsid w:val="00DA6135"/>
    <w:rsid w:val="00DA7B8F"/>
    <w:rsid w:val="00DB05F6"/>
    <w:rsid w:val="00DB062F"/>
    <w:rsid w:val="00DB075B"/>
    <w:rsid w:val="00DB0B68"/>
    <w:rsid w:val="00DB0D35"/>
    <w:rsid w:val="00DB1189"/>
    <w:rsid w:val="00DB1CB5"/>
    <w:rsid w:val="00DB251B"/>
    <w:rsid w:val="00DB2E2E"/>
    <w:rsid w:val="00DB4001"/>
    <w:rsid w:val="00DB4901"/>
    <w:rsid w:val="00DB499C"/>
    <w:rsid w:val="00DB4F2F"/>
    <w:rsid w:val="00DB5873"/>
    <w:rsid w:val="00DB5CE0"/>
    <w:rsid w:val="00DB5DE2"/>
    <w:rsid w:val="00DB610B"/>
    <w:rsid w:val="00DB658B"/>
    <w:rsid w:val="00DB7C3D"/>
    <w:rsid w:val="00DC0D4C"/>
    <w:rsid w:val="00DC1671"/>
    <w:rsid w:val="00DC1A4C"/>
    <w:rsid w:val="00DC2ED4"/>
    <w:rsid w:val="00DC3D3F"/>
    <w:rsid w:val="00DC4046"/>
    <w:rsid w:val="00DC4484"/>
    <w:rsid w:val="00DC4712"/>
    <w:rsid w:val="00DC51DA"/>
    <w:rsid w:val="00DC57E8"/>
    <w:rsid w:val="00DC59D2"/>
    <w:rsid w:val="00DC607E"/>
    <w:rsid w:val="00DC6150"/>
    <w:rsid w:val="00DC7466"/>
    <w:rsid w:val="00DC7A25"/>
    <w:rsid w:val="00DC7D5D"/>
    <w:rsid w:val="00DD0923"/>
    <w:rsid w:val="00DD0D9B"/>
    <w:rsid w:val="00DD13D6"/>
    <w:rsid w:val="00DD1892"/>
    <w:rsid w:val="00DD1BC6"/>
    <w:rsid w:val="00DD3518"/>
    <w:rsid w:val="00DD412E"/>
    <w:rsid w:val="00DD445C"/>
    <w:rsid w:val="00DD46E8"/>
    <w:rsid w:val="00DD5E0B"/>
    <w:rsid w:val="00DD73B7"/>
    <w:rsid w:val="00DD7C61"/>
    <w:rsid w:val="00DD7D0E"/>
    <w:rsid w:val="00DE080D"/>
    <w:rsid w:val="00DE2CE2"/>
    <w:rsid w:val="00DE3988"/>
    <w:rsid w:val="00DE4278"/>
    <w:rsid w:val="00DE45DA"/>
    <w:rsid w:val="00DE47E3"/>
    <w:rsid w:val="00DE6D46"/>
    <w:rsid w:val="00DE742C"/>
    <w:rsid w:val="00DF00E6"/>
    <w:rsid w:val="00DF05D5"/>
    <w:rsid w:val="00DF1430"/>
    <w:rsid w:val="00DF1A3E"/>
    <w:rsid w:val="00DF36BE"/>
    <w:rsid w:val="00DF3860"/>
    <w:rsid w:val="00DF399D"/>
    <w:rsid w:val="00DF3EF2"/>
    <w:rsid w:val="00DF40AF"/>
    <w:rsid w:val="00DF489E"/>
    <w:rsid w:val="00DF52C0"/>
    <w:rsid w:val="00DF7C89"/>
    <w:rsid w:val="00E01CE2"/>
    <w:rsid w:val="00E025E8"/>
    <w:rsid w:val="00E02B8E"/>
    <w:rsid w:val="00E03A94"/>
    <w:rsid w:val="00E03C33"/>
    <w:rsid w:val="00E0437E"/>
    <w:rsid w:val="00E0488C"/>
    <w:rsid w:val="00E06011"/>
    <w:rsid w:val="00E0623A"/>
    <w:rsid w:val="00E067FA"/>
    <w:rsid w:val="00E06F6E"/>
    <w:rsid w:val="00E1070E"/>
    <w:rsid w:val="00E107F2"/>
    <w:rsid w:val="00E10A0C"/>
    <w:rsid w:val="00E10A79"/>
    <w:rsid w:val="00E119EF"/>
    <w:rsid w:val="00E11B5E"/>
    <w:rsid w:val="00E1229E"/>
    <w:rsid w:val="00E12845"/>
    <w:rsid w:val="00E14C88"/>
    <w:rsid w:val="00E153A8"/>
    <w:rsid w:val="00E1555B"/>
    <w:rsid w:val="00E156B0"/>
    <w:rsid w:val="00E15845"/>
    <w:rsid w:val="00E15877"/>
    <w:rsid w:val="00E16FE1"/>
    <w:rsid w:val="00E17873"/>
    <w:rsid w:val="00E20594"/>
    <w:rsid w:val="00E20608"/>
    <w:rsid w:val="00E20650"/>
    <w:rsid w:val="00E21F36"/>
    <w:rsid w:val="00E221CA"/>
    <w:rsid w:val="00E229FA"/>
    <w:rsid w:val="00E24269"/>
    <w:rsid w:val="00E246DF"/>
    <w:rsid w:val="00E24E1B"/>
    <w:rsid w:val="00E25B64"/>
    <w:rsid w:val="00E266CD"/>
    <w:rsid w:val="00E267D5"/>
    <w:rsid w:val="00E271B1"/>
    <w:rsid w:val="00E27303"/>
    <w:rsid w:val="00E27B24"/>
    <w:rsid w:val="00E30283"/>
    <w:rsid w:val="00E3048F"/>
    <w:rsid w:val="00E30748"/>
    <w:rsid w:val="00E316D1"/>
    <w:rsid w:val="00E31A86"/>
    <w:rsid w:val="00E3292B"/>
    <w:rsid w:val="00E34C04"/>
    <w:rsid w:val="00E36292"/>
    <w:rsid w:val="00E365CE"/>
    <w:rsid w:val="00E40848"/>
    <w:rsid w:val="00E411BD"/>
    <w:rsid w:val="00E41E79"/>
    <w:rsid w:val="00E41EC1"/>
    <w:rsid w:val="00E42821"/>
    <w:rsid w:val="00E4308C"/>
    <w:rsid w:val="00E43FDE"/>
    <w:rsid w:val="00E440B1"/>
    <w:rsid w:val="00E44B0E"/>
    <w:rsid w:val="00E45ACE"/>
    <w:rsid w:val="00E46A3A"/>
    <w:rsid w:val="00E4737F"/>
    <w:rsid w:val="00E47428"/>
    <w:rsid w:val="00E4750C"/>
    <w:rsid w:val="00E47723"/>
    <w:rsid w:val="00E47909"/>
    <w:rsid w:val="00E509D3"/>
    <w:rsid w:val="00E5112D"/>
    <w:rsid w:val="00E5246A"/>
    <w:rsid w:val="00E528D0"/>
    <w:rsid w:val="00E52FB5"/>
    <w:rsid w:val="00E53549"/>
    <w:rsid w:val="00E538B2"/>
    <w:rsid w:val="00E53EF9"/>
    <w:rsid w:val="00E53FF4"/>
    <w:rsid w:val="00E54357"/>
    <w:rsid w:val="00E54C19"/>
    <w:rsid w:val="00E54FEE"/>
    <w:rsid w:val="00E55132"/>
    <w:rsid w:val="00E554DE"/>
    <w:rsid w:val="00E557AD"/>
    <w:rsid w:val="00E56F26"/>
    <w:rsid w:val="00E56F4C"/>
    <w:rsid w:val="00E57428"/>
    <w:rsid w:val="00E57E02"/>
    <w:rsid w:val="00E600C2"/>
    <w:rsid w:val="00E6114A"/>
    <w:rsid w:val="00E61498"/>
    <w:rsid w:val="00E618CA"/>
    <w:rsid w:val="00E61B15"/>
    <w:rsid w:val="00E61C38"/>
    <w:rsid w:val="00E61F95"/>
    <w:rsid w:val="00E624A4"/>
    <w:rsid w:val="00E64A40"/>
    <w:rsid w:val="00E64B08"/>
    <w:rsid w:val="00E65E2B"/>
    <w:rsid w:val="00E6626E"/>
    <w:rsid w:val="00E66D3D"/>
    <w:rsid w:val="00E67B18"/>
    <w:rsid w:val="00E67B96"/>
    <w:rsid w:val="00E703E0"/>
    <w:rsid w:val="00E70914"/>
    <w:rsid w:val="00E71786"/>
    <w:rsid w:val="00E71C04"/>
    <w:rsid w:val="00E7240E"/>
    <w:rsid w:val="00E724BD"/>
    <w:rsid w:val="00E72593"/>
    <w:rsid w:val="00E731AA"/>
    <w:rsid w:val="00E753D5"/>
    <w:rsid w:val="00E76151"/>
    <w:rsid w:val="00E76BAF"/>
    <w:rsid w:val="00E76DAB"/>
    <w:rsid w:val="00E76DDA"/>
    <w:rsid w:val="00E76E97"/>
    <w:rsid w:val="00E77DE1"/>
    <w:rsid w:val="00E77F91"/>
    <w:rsid w:val="00E80258"/>
    <w:rsid w:val="00E809EB"/>
    <w:rsid w:val="00E8114A"/>
    <w:rsid w:val="00E813E4"/>
    <w:rsid w:val="00E818DC"/>
    <w:rsid w:val="00E83D77"/>
    <w:rsid w:val="00E84080"/>
    <w:rsid w:val="00E842FC"/>
    <w:rsid w:val="00E847C9"/>
    <w:rsid w:val="00E8528D"/>
    <w:rsid w:val="00E85CFF"/>
    <w:rsid w:val="00E86577"/>
    <w:rsid w:val="00E868F3"/>
    <w:rsid w:val="00E86C5D"/>
    <w:rsid w:val="00E872CC"/>
    <w:rsid w:val="00E87CBD"/>
    <w:rsid w:val="00E90369"/>
    <w:rsid w:val="00E90DFD"/>
    <w:rsid w:val="00E917D4"/>
    <w:rsid w:val="00E9220B"/>
    <w:rsid w:val="00E932D7"/>
    <w:rsid w:val="00E940B0"/>
    <w:rsid w:val="00E95389"/>
    <w:rsid w:val="00E95D89"/>
    <w:rsid w:val="00E95FD9"/>
    <w:rsid w:val="00E9702E"/>
    <w:rsid w:val="00E97217"/>
    <w:rsid w:val="00E97594"/>
    <w:rsid w:val="00E976D7"/>
    <w:rsid w:val="00E97EF2"/>
    <w:rsid w:val="00EA0247"/>
    <w:rsid w:val="00EA05B0"/>
    <w:rsid w:val="00EA0817"/>
    <w:rsid w:val="00EA0E95"/>
    <w:rsid w:val="00EA1D2A"/>
    <w:rsid w:val="00EA238C"/>
    <w:rsid w:val="00EA23B9"/>
    <w:rsid w:val="00EA2523"/>
    <w:rsid w:val="00EA26BC"/>
    <w:rsid w:val="00EA2EB3"/>
    <w:rsid w:val="00EA308F"/>
    <w:rsid w:val="00EB0DE4"/>
    <w:rsid w:val="00EB1509"/>
    <w:rsid w:val="00EB1C5A"/>
    <w:rsid w:val="00EB23FD"/>
    <w:rsid w:val="00EB282C"/>
    <w:rsid w:val="00EB2850"/>
    <w:rsid w:val="00EB2C4B"/>
    <w:rsid w:val="00EB3E77"/>
    <w:rsid w:val="00EB3F69"/>
    <w:rsid w:val="00EB3F6C"/>
    <w:rsid w:val="00EB4298"/>
    <w:rsid w:val="00EB42B6"/>
    <w:rsid w:val="00EB4461"/>
    <w:rsid w:val="00EB456D"/>
    <w:rsid w:val="00EB5B82"/>
    <w:rsid w:val="00EB74E2"/>
    <w:rsid w:val="00EB7D83"/>
    <w:rsid w:val="00EC174A"/>
    <w:rsid w:val="00EC1873"/>
    <w:rsid w:val="00EC1BBE"/>
    <w:rsid w:val="00EC2428"/>
    <w:rsid w:val="00EC3E27"/>
    <w:rsid w:val="00EC4173"/>
    <w:rsid w:val="00EC4439"/>
    <w:rsid w:val="00EC6492"/>
    <w:rsid w:val="00EC6A7D"/>
    <w:rsid w:val="00EC6C45"/>
    <w:rsid w:val="00EC71CB"/>
    <w:rsid w:val="00EC71E0"/>
    <w:rsid w:val="00EC782F"/>
    <w:rsid w:val="00ED08E1"/>
    <w:rsid w:val="00ED0D2A"/>
    <w:rsid w:val="00ED0FF3"/>
    <w:rsid w:val="00ED10BA"/>
    <w:rsid w:val="00ED14B2"/>
    <w:rsid w:val="00ED23B9"/>
    <w:rsid w:val="00ED282D"/>
    <w:rsid w:val="00ED332E"/>
    <w:rsid w:val="00ED375D"/>
    <w:rsid w:val="00ED3CDE"/>
    <w:rsid w:val="00ED3DC7"/>
    <w:rsid w:val="00ED423A"/>
    <w:rsid w:val="00ED4498"/>
    <w:rsid w:val="00ED544F"/>
    <w:rsid w:val="00ED5D23"/>
    <w:rsid w:val="00ED5F62"/>
    <w:rsid w:val="00ED60CE"/>
    <w:rsid w:val="00ED7588"/>
    <w:rsid w:val="00EE0198"/>
    <w:rsid w:val="00EE1329"/>
    <w:rsid w:val="00EE28B9"/>
    <w:rsid w:val="00EE2E96"/>
    <w:rsid w:val="00EE3179"/>
    <w:rsid w:val="00EE32C2"/>
    <w:rsid w:val="00EE362F"/>
    <w:rsid w:val="00EE3953"/>
    <w:rsid w:val="00EE3AD7"/>
    <w:rsid w:val="00EE3F49"/>
    <w:rsid w:val="00EE4C1D"/>
    <w:rsid w:val="00EE5940"/>
    <w:rsid w:val="00EE5F92"/>
    <w:rsid w:val="00EE6199"/>
    <w:rsid w:val="00EE6CDF"/>
    <w:rsid w:val="00EE7348"/>
    <w:rsid w:val="00EE73FE"/>
    <w:rsid w:val="00EF1AD4"/>
    <w:rsid w:val="00EF1CA3"/>
    <w:rsid w:val="00EF223D"/>
    <w:rsid w:val="00EF2B18"/>
    <w:rsid w:val="00EF2D1C"/>
    <w:rsid w:val="00EF3433"/>
    <w:rsid w:val="00EF34F8"/>
    <w:rsid w:val="00EF4D1B"/>
    <w:rsid w:val="00EF5182"/>
    <w:rsid w:val="00EF61E2"/>
    <w:rsid w:val="00EF6CB8"/>
    <w:rsid w:val="00EF7958"/>
    <w:rsid w:val="00F00D9C"/>
    <w:rsid w:val="00F018BA"/>
    <w:rsid w:val="00F02AF2"/>
    <w:rsid w:val="00F02B45"/>
    <w:rsid w:val="00F02CE5"/>
    <w:rsid w:val="00F031D4"/>
    <w:rsid w:val="00F0320F"/>
    <w:rsid w:val="00F04F98"/>
    <w:rsid w:val="00F05965"/>
    <w:rsid w:val="00F06218"/>
    <w:rsid w:val="00F063FA"/>
    <w:rsid w:val="00F06B55"/>
    <w:rsid w:val="00F07570"/>
    <w:rsid w:val="00F07BA6"/>
    <w:rsid w:val="00F07BD9"/>
    <w:rsid w:val="00F10583"/>
    <w:rsid w:val="00F10CC7"/>
    <w:rsid w:val="00F10D70"/>
    <w:rsid w:val="00F1130B"/>
    <w:rsid w:val="00F121C8"/>
    <w:rsid w:val="00F12507"/>
    <w:rsid w:val="00F1291D"/>
    <w:rsid w:val="00F12B26"/>
    <w:rsid w:val="00F1366E"/>
    <w:rsid w:val="00F136C6"/>
    <w:rsid w:val="00F137A3"/>
    <w:rsid w:val="00F13CC8"/>
    <w:rsid w:val="00F14841"/>
    <w:rsid w:val="00F14B5E"/>
    <w:rsid w:val="00F169B9"/>
    <w:rsid w:val="00F16A22"/>
    <w:rsid w:val="00F16A4A"/>
    <w:rsid w:val="00F16BA5"/>
    <w:rsid w:val="00F1701B"/>
    <w:rsid w:val="00F17FD6"/>
    <w:rsid w:val="00F20A2B"/>
    <w:rsid w:val="00F20CBB"/>
    <w:rsid w:val="00F21036"/>
    <w:rsid w:val="00F21520"/>
    <w:rsid w:val="00F21527"/>
    <w:rsid w:val="00F215C4"/>
    <w:rsid w:val="00F22437"/>
    <w:rsid w:val="00F226C0"/>
    <w:rsid w:val="00F237E7"/>
    <w:rsid w:val="00F240DB"/>
    <w:rsid w:val="00F24738"/>
    <w:rsid w:val="00F2494C"/>
    <w:rsid w:val="00F24B96"/>
    <w:rsid w:val="00F25789"/>
    <w:rsid w:val="00F25FD1"/>
    <w:rsid w:val="00F262C7"/>
    <w:rsid w:val="00F26395"/>
    <w:rsid w:val="00F26F99"/>
    <w:rsid w:val="00F312C5"/>
    <w:rsid w:val="00F31560"/>
    <w:rsid w:val="00F31826"/>
    <w:rsid w:val="00F32224"/>
    <w:rsid w:val="00F32A2B"/>
    <w:rsid w:val="00F33F4A"/>
    <w:rsid w:val="00F33F94"/>
    <w:rsid w:val="00F34346"/>
    <w:rsid w:val="00F343F7"/>
    <w:rsid w:val="00F356DA"/>
    <w:rsid w:val="00F35B41"/>
    <w:rsid w:val="00F36B0F"/>
    <w:rsid w:val="00F36CCC"/>
    <w:rsid w:val="00F36E90"/>
    <w:rsid w:val="00F401F5"/>
    <w:rsid w:val="00F40CBE"/>
    <w:rsid w:val="00F4102F"/>
    <w:rsid w:val="00F413F8"/>
    <w:rsid w:val="00F414B3"/>
    <w:rsid w:val="00F41F9E"/>
    <w:rsid w:val="00F422DA"/>
    <w:rsid w:val="00F42425"/>
    <w:rsid w:val="00F42A58"/>
    <w:rsid w:val="00F4309E"/>
    <w:rsid w:val="00F44436"/>
    <w:rsid w:val="00F44537"/>
    <w:rsid w:val="00F45343"/>
    <w:rsid w:val="00F45B03"/>
    <w:rsid w:val="00F45BE1"/>
    <w:rsid w:val="00F45D8C"/>
    <w:rsid w:val="00F4603D"/>
    <w:rsid w:val="00F46742"/>
    <w:rsid w:val="00F46F11"/>
    <w:rsid w:val="00F473AA"/>
    <w:rsid w:val="00F477CE"/>
    <w:rsid w:val="00F47CD8"/>
    <w:rsid w:val="00F47F90"/>
    <w:rsid w:val="00F500BD"/>
    <w:rsid w:val="00F50979"/>
    <w:rsid w:val="00F51554"/>
    <w:rsid w:val="00F528E3"/>
    <w:rsid w:val="00F52A8F"/>
    <w:rsid w:val="00F52F0C"/>
    <w:rsid w:val="00F52F76"/>
    <w:rsid w:val="00F533A4"/>
    <w:rsid w:val="00F53999"/>
    <w:rsid w:val="00F53E23"/>
    <w:rsid w:val="00F541AD"/>
    <w:rsid w:val="00F54A70"/>
    <w:rsid w:val="00F54B96"/>
    <w:rsid w:val="00F55048"/>
    <w:rsid w:val="00F556AB"/>
    <w:rsid w:val="00F55EF3"/>
    <w:rsid w:val="00F56D63"/>
    <w:rsid w:val="00F56EB2"/>
    <w:rsid w:val="00F573E7"/>
    <w:rsid w:val="00F61671"/>
    <w:rsid w:val="00F617B0"/>
    <w:rsid w:val="00F61900"/>
    <w:rsid w:val="00F62614"/>
    <w:rsid w:val="00F6310B"/>
    <w:rsid w:val="00F63125"/>
    <w:rsid w:val="00F63549"/>
    <w:rsid w:val="00F6420E"/>
    <w:rsid w:val="00F64394"/>
    <w:rsid w:val="00F64788"/>
    <w:rsid w:val="00F6484C"/>
    <w:rsid w:val="00F6515D"/>
    <w:rsid w:val="00F6559F"/>
    <w:rsid w:val="00F6656D"/>
    <w:rsid w:val="00F6714A"/>
    <w:rsid w:val="00F701DE"/>
    <w:rsid w:val="00F70A7D"/>
    <w:rsid w:val="00F71CC2"/>
    <w:rsid w:val="00F71D24"/>
    <w:rsid w:val="00F71FFB"/>
    <w:rsid w:val="00F72E5E"/>
    <w:rsid w:val="00F72FC6"/>
    <w:rsid w:val="00F72FDC"/>
    <w:rsid w:val="00F73C15"/>
    <w:rsid w:val="00F747AF"/>
    <w:rsid w:val="00F7493B"/>
    <w:rsid w:val="00F74E78"/>
    <w:rsid w:val="00F75B99"/>
    <w:rsid w:val="00F77097"/>
    <w:rsid w:val="00F777AA"/>
    <w:rsid w:val="00F77A89"/>
    <w:rsid w:val="00F77CD7"/>
    <w:rsid w:val="00F80DFE"/>
    <w:rsid w:val="00F81813"/>
    <w:rsid w:val="00F81DFC"/>
    <w:rsid w:val="00F839B6"/>
    <w:rsid w:val="00F84DCB"/>
    <w:rsid w:val="00F85762"/>
    <w:rsid w:val="00F85C10"/>
    <w:rsid w:val="00F86284"/>
    <w:rsid w:val="00F8657D"/>
    <w:rsid w:val="00F86A09"/>
    <w:rsid w:val="00F86B89"/>
    <w:rsid w:val="00F86E51"/>
    <w:rsid w:val="00F87862"/>
    <w:rsid w:val="00F90362"/>
    <w:rsid w:val="00F90A0F"/>
    <w:rsid w:val="00F90BF0"/>
    <w:rsid w:val="00F91173"/>
    <w:rsid w:val="00F91DA2"/>
    <w:rsid w:val="00F929B5"/>
    <w:rsid w:val="00F9322C"/>
    <w:rsid w:val="00F93409"/>
    <w:rsid w:val="00F937F8"/>
    <w:rsid w:val="00F9387B"/>
    <w:rsid w:val="00F9417D"/>
    <w:rsid w:val="00F9433F"/>
    <w:rsid w:val="00F9445F"/>
    <w:rsid w:val="00F947A7"/>
    <w:rsid w:val="00F94BF0"/>
    <w:rsid w:val="00F9527F"/>
    <w:rsid w:val="00F95BB9"/>
    <w:rsid w:val="00F95E29"/>
    <w:rsid w:val="00F97E52"/>
    <w:rsid w:val="00F97EAC"/>
    <w:rsid w:val="00FA1ACF"/>
    <w:rsid w:val="00FA1C50"/>
    <w:rsid w:val="00FA1D68"/>
    <w:rsid w:val="00FA2282"/>
    <w:rsid w:val="00FA301D"/>
    <w:rsid w:val="00FA3766"/>
    <w:rsid w:val="00FA3AA0"/>
    <w:rsid w:val="00FA425B"/>
    <w:rsid w:val="00FA4E85"/>
    <w:rsid w:val="00FA5FE2"/>
    <w:rsid w:val="00FA6C8C"/>
    <w:rsid w:val="00FA6EA5"/>
    <w:rsid w:val="00FA7731"/>
    <w:rsid w:val="00FB0587"/>
    <w:rsid w:val="00FB078E"/>
    <w:rsid w:val="00FB0F22"/>
    <w:rsid w:val="00FB107C"/>
    <w:rsid w:val="00FB1520"/>
    <w:rsid w:val="00FB260E"/>
    <w:rsid w:val="00FB2F49"/>
    <w:rsid w:val="00FB3423"/>
    <w:rsid w:val="00FB35BC"/>
    <w:rsid w:val="00FB451D"/>
    <w:rsid w:val="00FB4FDE"/>
    <w:rsid w:val="00FB523B"/>
    <w:rsid w:val="00FB5528"/>
    <w:rsid w:val="00FB557C"/>
    <w:rsid w:val="00FB5691"/>
    <w:rsid w:val="00FB6514"/>
    <w:rsid w:val="00FB6ABD"/>
    <w:rsid w:val="00FB6FAB"/>
    <w:rsid w:val="00FC1588"/>
    <w:rsid w:val="00FC1661"/>
    <w:rsid w:val="00FC2E58"/>
    <w:rsid w:val="00FC2F2C"/>
    <w:rsid w:val="00FC3B2F"/>
    <w:rsid w:val="00FC3DAA"/>
    <w:rsid w:val="00FC3E44"/>
    <w:rsid w:val="00FC41B1"/>
    <w:rsid w:val="00FC54A2"/>
    <w:rsid w:val="00FC565C"/>
    <w:rsid w:val="00FC6DFD"/>
    <w:rsid w:val="00FC71F0"/>
    <w:rsid w:val="00FC7A59"/>
    <w:rsid w:val="00FD027D"/>
    <w:rsid w:val="00FD04ED"/>
    <w:rsid w:val="00FD0903"/>
    <w:rsid w:val="00FD1959"/>
    <w:rsid w:val="00FD2746"/>
    <w:rsid w:val="00FD2988"/>
    <w:rsid w:val="00FD2A9F"/>
    <w:rsid w:val="00FD2C5D"/>
    <w:rsid w:val="00FD3883"/>
    <w:rsid w:val="00FD3E4C"/>
    <w:rsid w:val="00FD3F3F"/>
    <w:rsid w:val="00FD4107"/>
    <w:rsid w:val="00FD566B"/>
    <w:rsid w:val="00FD585D"/>
    <w:rsid w:val="00FD5FCF"/>
    <w:rsid w:val="00FD6458"/>
    <w:rsid w:val="00FD6860"/>
    <w:rsid w:val="00FD7838"/>
    <w:rsid w:val="00FD7F71"/>
    <w:rsid w:val="00FD7FD4"/>
    <w:rsid w:val="00FE0089"/>
    <w:rsid w:val="00FE052C"/>
    <w:rsid w:val="00FE1531"/>
    <w:rsid w:val="00FE1C39"/>
    <w:rsid w:val="00FE246E"/>
    <w:rsid w:val="00FE2600"/>
    <w:rsid w:val="00FE26B0"/>
    <w:rsid w:val="00FE287F"/>
    <w:rsid w:val="00FE36E3"/>
    <w:rsid w:val="00FE3F47"/>
    <w:rsid w:val="00FE4411"/>
    <w:rsid w:val="00FE441F"/>
    <w:rsid w:val="00FE4F48"/>
    <w:rsid w:val="00FE5564"/>
    <w:rsid w:val="00FE599C"/>
    <w:rsid w:val="00FE5C00"/>
    <w:rsid w:val="00FE621C"/>
    <w:rsid w:val="00FE66DE"/>
    <w:rsid w:val="00FE6CD8"/>
    <w:rsid w:val="00FE7077"/>
    <w:rsid w:val="00FF021F"/>
    <w:rsid w:val="00FF02AD"/>
    <w:rsid w:val="00FF03B9"/>
    <w:rsid w:val="00FF1111"/>
    <w:rsid w:val="00FF1299"/>
    <w:rsid w:val="00FF15CD"/>
    <w:rsid w:val="00FF1B7E"/>
    <w:rsid w:val="00FF1E41"/>
    <w:rsid w:val="00FF1E67"/>
    <w:rsid w:val="00FF29DA"/>
    <w:rsid w:val="00FF4B3F"/>
    <w:rsid w:val="00FF4DB2"/>
    <w:rsid w:val="00FF5048"/>
    <w:rsid w:val="00FF66B0"/>
    <w:rsid w:val="00FF68EF"/>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91481"/>
  <w15:chartTrackingRefBased/>
  <w15:docId w15:val="{D9386A00-C96A-47E3-AD56-28D146BA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lsdException w:name="heading 6" w:locked="1"/>
    <w:lsdException w:name="heading 7" w:locked="1"/>
    <w:lsdException w:name="heading 8" w:locked="1"/>
    <w:lsdException w:name="heading 9" w:locked="1"/>
    <w:lsdException w:name="toc 1" w:locked="1" w:uiPriority="39"/>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annotation text" w:uiPriority="99"/>
    <w:lsdException w:name="footer" w:uiPriority="99"/>
    <w:lsdException w:name="caption" w:locked="1"/>
    <w:lsdException w:name="footnote reference" w:uiPriority="99"/>
    <w:lsdException w:name="annotation reference" w:uiPriority="99"/>
    <w:lsdException w:name="Title" w:locked="1"/>
    <w:lsdException w:name="Default Paragraph Font" w:locked="1"/>
    <w:lsdException w:name="Body Text" w:uiPriority="1" w:qFormat="1"/>
    <w:lsdException w:name="Subtitle" w:locked="1"/>
    <w:lsdException w:name="Hyperlink" w:uiPriority="99"/>
    <w:lsdException w:name="Strong" w:locked="1"/>
    <w:lsdException w:name="Emphasis" w:locked="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A53"/>
    <w:pPr>
      <w:tabs>
        <w:tab w:val="right" w:pos="5040"/>
      </w:tabs>
      <w:overflowPunct w:val="0"/>
      <w:autoSpaceDE w:val="0"/>
      <w:autoSpaceDN w:val="0"/>
      <w:adjustRightInd w:val="0"/>
      <w:textAlignment w:val="baseline"/>
    </w:pPr>
    <w:rPr>
      <w:sz w:val="24"/>
    </w:rPr>
  </w:style>
  <w:style w:type="paragraph" w:styleId="Heading1">
    <w:name w:val="heading 1"/>
    <w:basedOn w:val="BodyText"/>
    <w:next w:val="BodyText"/>
    <w:link w:val="Heading1Char"/>
    <w:autoRedefine/>
    <w:qFormat/>
    <w:rsid w:val="00BE7DCF"/>
    <w:pPr>
      <w:keepNext/>
      <w:keepLines/>
      <w:numPr>
        <w:numId w:val="58"/>
      </w:numPr>
      <w:spacing w:before="120" w:after="120" w:line="240" w:lineRule="auto"/>
      <w:ind w:right="720"/>
      <w:outlineLvl w:val="0"/>
    </w:pPr>
    <w:rPr>
      <w:b/>
      <w:caps/>
      <w:kern w:val="28"/>
    </w:rPr>
  </w:style>
  <w:style w:type="paragraph" w:styleId="Heading2">
    <w:name w:val="heading 2"/>
    <w:basedOn w:val="BodyText"/>
    <w:next w:val="BodyText"/>
    <w:link w:val="Heading2Char"/>
    <w:autoRedefine/>
    <w:qFormat/>
    <w:rsid w:val="00F240DB"/>
    <w:pPr>
      <w:keepNext/>
      <w:numPr>
        <w:ilvl w:val="1"/>
        <w:numId w:val="58"/>
      </w:numPr>
      <w:spacing w:after="120" w:line="240" w:lineRule="auto"/>
      <w:ind w:left="1440" w:right="1440" w:hanging="720"/>
      <w:outlineLvl w:val="1"/>
    </w:pPr>
    <w:rPr>
      <w:b/>
      <w:bCs/>
    </w:rPr>
  </w:style>
  <w:style w:type="paragraph" w:styleId="Heading3">
    <w:name w:val="heading 3"/>
    <w:basedOn w:val="Normal"/>
    <w:next w:val="BodyText"/>
    <w:link w:val="Heading3Char"/>
    <w:autoRedefine/>
    <w:uiPriority w:val="9"/>
    <w:qFormat/>
    <w:rsid w:val="00F240DB"/>
    <w:pPr>
      <w:keepNext/>
      <w:numPr>
        <w:ilvl w:val="2"/>
        <w:numId w:val="58"/>
      </w:numPr>
      <w:tabs>
        <w:tab w:val="clear" w:pos="5040"/>
      </w:tabs>
      <w:spacing w:before="120" w:after="120"/>
      <w:ind w:left="2160" w:right="1440" w:hanging="720"/>
      <w:outlineLvl w:val="2"/>
    </w:pPr>
    <w:rPr>
      <w:b/>
      <w:color w:val="000000" w:themeColor="text1"/>
      <w:szCs w:val="24"/>
    </w:rPr>
  </w:style>
  <w:style w:type="paragraph" w:styleId="Heading4">
    <w:name w:val="heading 4"/>
    <w:basedOn w:val="BodyText"/>
    <w:next w:val="BodyText"/>
    <w:link w:val="Heading4Char"/>
    <w:autoRedefine/>
    <w:qFormat/>
    <w:rsid w:val="007F625B"/>
    <w:pPr>
      <w:keepNext/>
      <w:numPr>
        <w:ilvl w:val="3"/>
        <w:numId w:val="58"/>
      </w:numPr>
      <w:spacing w:before="120" w:after="120" w:line="240" w:lineRule="auto"/>
      <w:ind w:right="1440"/>
      <w:outlineLvl w:val="3"/>
    </w:pPr>
    <w:rPr>
      <w:b/>
    </w:rPr>
  </w:style>
  <w:style w:type="paragraph" w:styleId="Heading5">
    <w:name w:val="heading 5"/>
    <w:basedOn w:val="Normal"/>
    <w:next w:val="Normal"/>
    <w:link w:val="Heading5Char"/>
    <w:autoRedefine/>
    <w:rsid w:val="007F625B"/>
    <w:pPr>
      <w:numPr>
        <w:ilvl w:val="4"/>
        <w:numId w:val="58"/>
      </w:numPr>
      <w:tabs>
        <w:tab w:val="clear" w:pos="5040"/>
      </w:tabs>
      <w:spacing w:before="120" w:after="120"/>
      <w:outlineLvl w:val="4"/>
    </w:pPr>
    <w:rPr>
      <w:b/>
      <w:bCs/>
    </w:rPr>
  </w:style>
  <w:style w:type="paragraph" w:styleId="Heading6">
    <w:name w:val="heading 6"/>
    <w:basedOn w:val="Normal"/>
    <w:next w:val="Normal"/>
    <w:link w:val="Heading6Char"/>
    <w:autoRedefine/>
    <w:rsid w:val="007F625B"/>
    <w:pPr>
      <w:numPr>
        <w:ilvl w:val="5"/>
        <w:numId w:val="58"/>
      </w:numPr>
      <w:spacing w:before="240" w:after="60"/>
      <w:outlineLvl w:val="5"/>
    </w:pPr>
    <w:rPr>
      <w:b/>
    </w:rPr>
  </w:style>
  <w:style w:type="paragraph" w:styleId="Heading7">
    <w:name w:val="heading 7"/>
    <w:basedOn w:val="Normal"/>
    <w:next w:val="Normal"/>
    <w:link w:val="Heading7Char"/>
    <w:autoRedefine/>
    <w:rsid w:val="007F625B"/>
    <w:pPr>
      <w:numPr>
        <w:ilvl w:val="6"/>
        <w:numId w:val="58"/>
      </w:numPr>
      <w:spacing w:before="240" w:after="60"/>
      <w:outlineLvl w:val="6"/>
    </w:pPr>
    <w:rPr>
      <w:b/>
    </w:rPr>
  </w:style>
  <w:style w:type="paragraph" w:styleId="Heading8">
    <w:name w:val="heading 8"/>
    <w:basedOn w:val="Normal"/>
    <w:next w:val="Normal"/>
    <w:link w:val="Heading8Char"/>
    <w:autoRedefine/>
    <w:rsid w:val="007F625B"/>
    <w:pPr>
      <w:numPr>
        <w:ilvl w:val="7"/>
        <w:numId w:val="58"/>
      </w:numPr>
      <w:spacing w:before="240" w:after="60"/>
      <w:outlineLvl w:val="7"/>
    </w:pPr>
    <w:rPr>
      <w:b/>
    </w:rPr>
  </w:style>
  <w:style w:type="paragraph" w:styleId="Heading9">
    <w:name w:val="heading 9"/>
    <w:basedOn w:val="Normal"/>
    <w:next w:val="Normal"/>
    <w:link w:val="Heading9Char"/>
    <w:autoRedefine/>
    <w:rsid w:val="007F625B"/>
    <w:pPr>
      <w:numPr>
        <w:ilvl w:val="8"/>
        <w:numId w:val="58"/>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E7DCF"/>
    <w:rPr>
      <w:b/>
      <w:caps/>
      <w:color w:val="000000" w:themeColor="text1"/>
      <w:kern w:val="28"/>
      <w:sz w:val="24"/>
      <w:szCs w:val="24"/>
    </w:rPr>
  </w:style>
  <w:style w:type="character" w:customStyle="1" w:styleId="Heading2Char">
    <w:name w:val="Heading 2 Char"/>
    <w:link w:val="Heading2"/>
    <w:locked/>
    <w:rsid w:val="00F240DB"/>
    <w:rPr>
      <w:b/>
      <w:bCs/>
      <w:color w:val="000000" w:themeColor="text1"/>
      <w:sz w:val="24"/>
      <w:szCs w:val="24"/>
    </w:rPr>
  </w:style>
  <w:style w:type="character" w:customStyle="1" w:styleId="Heading3Char">
    <w:name w:val="Heading 3 Char"/>
    <w:link w:val="Heading3"/>
    <w:uiPriority w:val="9"/>
    <w:locked/>
    <w:rsid w:val="00F240DB"/>
    <w:rPr>
      <w:b/>
      <w:color w:val="000000" w:themeColor="text1"/>
      <w:sz w:val="24"/>
      <w:szCs w:val="24"/>
    </w:rPr>
  </w:style>
  <w:style w:type="character" w:customStyle="1" w:styleId="Heading4Char">
    <w:name w:val="Heading 4 Char"/>
    <w:link w:val="Heading4"/>
    <w:locked/>
    <w:rPr>
      <w:b/>
      <w:sz w:val="26"/>
    </w:rPr>
  </w:style>
  <w:style w:type="character" w:customStyle="1" w:styleId="Heading5Char">
    <w:name w:val="Heading 5 Char"/>
    <w:link w:val="Heading5"/>
    <w:locked/>
    <w:rPr>
      <w:b/>
      <w:bCs/>
      <w:sz w:val="26"/>
    </w:rPr>
  </w:style>
  <w:style w:type="character" w:customStyle="1" w:styleId="Heading6Char">
    <w:name w:val="Heading 6 Char"/>
    <w:link w:val="Heading6"/>
    <w:locked/>
    <w:rPr>
      <w:b/>
      <w:sz w:val="26"/>
    </w:rPr>
  </w:style>
  <w:style w:type="character" w:customStyle="1" w:styleId="Heading7Char">
    <w:name w:val="Heading 7 Char"/>
    <w:link w:val="Heading7"/>
    <w:locked/>
    <w:rPr>
      <w:b/>
      <w:sz w:val="26"/>
    </w:rPr>
  </w:style>
  <w:style w:type="character" w:customStyle="1" w:styleId="Heading8Char">
    <w:name w:val="Heading 8 Char"/>
    <w:link w:val="Heading8"/>
    <w:locked/>
    <w:rPr>
      <w:b/>
      <w:sz w:val="26"/>
    </w:rPr>
  </w:style>
  <w:style w:type="character" w:customStyle="1" w:styleId="Heading9Char">
    <w:name w:val="Heading 9 Char"/>
    <w:link w:val="Heading9"/>
    <w:locked/>
    <w:rPr>
      <w:b/>
      <w:sz w:val="26"/>
    </w:rPr>
  </w:style>
  <w:style w:type="paragraph" w:styleId="BodyText">
    <w:name w:val="Body Text"/>
    <w:link w:val="BodyTextChar"/>
    <w:uiPriority w:val="1"/>
    <w:qFormat/>
    <w:rsid w:val="00744667"/>
    <w:pPr>
      <w:overflowPunct w:val="0"/>
      <w:autoSpaceDE w:val="0"/>
      <w:autoSpaceDN w:val="0"/>
      <w:adjustRightInd w:val="0"/>
      <w:spacing w:line="360" w:lineRule="auto"/>
      <w:ind w:firstLine="720"/>
      <w:textAlignment w:val="baseline"/>
    </w:pPr>
    <w:rPr>
      <w:color w:val="000000" w:themeColor="text1"/>
      <w:sz w:val="24"/>
      <w:szCs w:val="24"/>
    </w:rPr>
  </w:style>
  <w:style w:type="character" w:customStyle="1" w:styleId="BodyTextChar">
    <w:name w:val="Body Text Char"/>
    <w:link w:val="BodyText"/>
    <w:uiPriority w:val="1"/>
    <w:locked/>
    <w:rsid w:val="00744667"/>
    <w:rPr>
      <w:color w:val="000000" w:themeColor="text1"/>
      <w:sz w:val="24"/>
      <w:szCs w:val="24"/>
    </w:rPr>
  </w:style>
  <w:style w:type="paragraph" w:styleId="Caption">
    <w:name w:val="caption"/>
    <w:basedOn w:val="BodyText"/>
    <w:rsid w:val="007F625B"/>
    <w:pPr>
      <w:tabs>
        <w:tab w:val="left" w:pos="4320"/>
        <w:tab w:val="left" w:pos="5040"/>
      </w:tabs>
      <w:spacing w:line="240" w:lineRule="auto"/>
      <w:ind w:firstLine="0"/>
    </w:pPr>
  </w:style>
  <w:style w:type="paragraph" w:styleId="Header">
    <w:name w:val="header"/>
    <w:basedOn w:val="Normal"/>
    <w:link w:val="HeaderChar"/>
    <w:rsid w:val="007F625B"/>
    <w:pPr>
      <w:tabs>
        <w:tab w:val="clear" w:pos="5040"/>
        <w:tab w:val="center" w:pos="4320"/>
        <w:tab w:val="right" w:pos="8640"/>
      </w:tabs>
    </w:pPr>
  </w:style>
  <w:style w:type="character" w:customStyle="1" w:styleId="HeaderChar">
    <w:name w:val="Header Char"/>
    <w:link w:val="Header"/>
    <w:locked/>
    <w:rPr>
      <w:sz w:val="26"/>
    </w:rPr>
  </w:style>
  <w:style w:type="paragraph" w:styleId="Footer">
    <w:name w:val="footer"/>
    <w:basedOn w:val="Normal"/>
    <w:link w:val="FooterChar"/>
    <w:uiPriority w:val="99"/>
    <w:rsid w:val="007F625B"/>
    <w:pPr>
      <w:tabs>
        <w:tab w:val="center" w:pos="4320"/>
        <w:tab w:val="right" w:pos="8640"/>
      </w:tabs>
    </w:pPr>
  </w:style>
  <w:style w:type="character" w:customStyle="1" w:styleId="FooterChar">
    <w:name w:val="Footer Char"/>
    <w:link w:val="Footer"/>
    <w:uiPriority w:val="99"/>
    <w:locked/>
    <w:rPr>
      <w:sz w:val="26"/>
    </w:rPr>
  </w:style>
  <w:style w:type="character" w:styleId="PageNumber">
    <w:name w:val="page number"/>
    <w:rPr>
      <w:rFonts w:cs="Times New Roman"/>
    </w:rPr>
  </w:style>
  <w:style w:type="paragraph" w:styleId="Title">
    <w:name w:val="Title"/>
    <w:basedOn w:val="Normal"/>
    <w:link w:val="TitleChar"/>
    <w:rsid w:val="007F625B"/>
    <w:pPr>
      <w:widowControl w:val="0"/>
      <w:overflowPunct/>
      <w:autoSpaceDE/>
      <w:autoSpaceDN/>
      <w:adjustRightInd/>
      <w:jc w:val="center"/>
      <w:textAlignment w:val="auto"/>
    </w:pPr>
    <w:rPr>
      <w:snapToGrid w:val="0"/>
    </w:rPr>
  </w:style>
  <w:style w:type="character" w:customStyle="1" w:styleId="TitleChar">
    <w:name w:val="Title Char"/>
    <w:link w:val="Title"/>
    <w:locked/>
    <w:rPr>
      <w:snapToGrid w:val="0"/>
      <w:sz w:val="24"/>
    </w:rPr>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fn,Char Char"/>
    <w:basedOn w:val="Normal"/>
    <w:link w:val="FootnoteTextChar"/>
    <w:uiPriority w:val="99"/>
    <w:rsid w:val="00BF7618"/>
    <w:pPr>
      <w:widowControl w:val="0"/>
      <w:spacing w:after="120" w:line="240" w:lineRule="exact"/>
    </w:pPr>
    <w:rPr>
      <w:sz w:val="22"/>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fn Char,Char Char Char"/>
    <w:link w:val="FootnoteText"/>
    <w:uiPriority w:val="99"/>
    <w:locked/>
    <w:rsid w:val="00BF7618"/>
    <w:rPr>
      <w:sz w:val="22"/>
    </w:rPr>
  </w:style>
  <w:style w:type="character" w:styleId="FootnoteReference">
    <w:name w:val="footnote reference"/>
    <w:aliases w:val="number in body,o,fr,Style 3,o1,o2,o3,o4,o5,o6,o11,o21,o7,o + Times New Roman,Style 58"/>
    <w:basedOn w:val="DefaultParagraphFont"/>
    <w:uiPriority w:val="99"/>
    <w:rsid w:val="00F35B41"/>
    <w:rPr>
      <w:rFonts w:ascii="Times New Roman" w:hAnsi="Times New Roman"/>
      <w:b/>
      <w:color w:val="000000" w:themeColor="text1"/>
      <w:sz w:val="24"/>
      <w:u w:val="single"/>
      <w:vertAlign w:val="superscript"/>
    </w:rPr>
  </w:style>
  <w:style w:type="paragraph" w:styleId="TOC1">
    <w:name w:val="toc 1"/>
    <w:basedOn w:val="Normal"/>
    <w:next w:val="Normal"/>
    <w:autoRedefine/>
    <w:uiPriority w:val="39"/>
    <w:rsid w:val="00AB025A"/>
    <w:pPr>
      <w:keepNext/>
      <w:tabs>
        <w:tab w:val="clear" w:pos="5040"/>
        <w:tab w:val="right" w:leader="dot" w:pos="8640"/>
      </w:tabs>
      <w:suppressAutoHyphens/>
      <w:spacing w:before="120" w:after="120"/>
      <w:ind w:left="720" w:right="1440" w:hanging="720"/>
    </w:pPr>
    <w:rPr>
      <w:caps/>
      <w:noProof/>
    </w:rPr>
  </w:style>
  <w:style w:type="paragraph" w:styleId="TOC2">
    <w:name w:val="toc 2"/>
    <w:basedOn w:val="Normal"/>
    <w:next w:val="Normal"/>
    <w:autoRedefine/>
    <w:uiPriority w:val="39"/>
    <w:qFormat/>
    <w:rsid w:val="00C0067A"/>
    <w:pPr>
      <w:tabs>
        <w:tab w:val="clear" w:pos="5040"/>
        <w:tab w:val="right" w:leader="dot" w:pos="8640"/>
      </w:tabs>
      <w:suppressAutoHyphens/>
      <w:spacing w:after="120"/>
      <w:ind w:left="1440" w:right="1440" w:hanging="720"/>
    </w:pPr>
    <w:rPr>
      <w:rFonts w:eastAsiaTheme="minorEastAsia" w:cstheme="minorBidi"/>
      <w:noProof/>
      <w:kern w:val="2"/>
      <w:szCs w:val="24"/>
      <w14:ligatures w14:val="standardContextual"/>
    </w:rPr>
  </w:style>
  <w:style w:type="paragraph" w:styleId="TOC3">
    <w:name w:val="toc 3"/>
    <w:basedOn w:val="Normal"/>
    <w:next w:val="Normal"/>
    <w:autoRedefine/>
    <w:uiPriority w:val="39"/>
    <w:qFormat/>
    <w:rsid w:val="00C0067A"/>
    <w:pPr>
      <w:tabs>
        <w:tab w:val="clear" w:pos="5040"/>
        <w:tab w:val="right" w:leader="dot" w:pos="8640"/>
      </w:tabs>
      <w:spacing w:after="120"/>
      <w:ind w:left="2160" w:right="1440" w:hanging="695"/>
    </w:pPr>
    <w:rPr>
      <w:noProof/>
    </w:rPr>
  </w:style>
  <w:style w:type="paragraph" w:styleId="TOC4">
    <w:name w:val="toc 4"/>
    <w:basedOn w:val="Normal"/>
    <w:next w:val="Normal"/>
    <w:autoRedefine/>
    <w:uiPriority w:val="39"/>
    <w:rsid w:val="007F625B"/>
    <w:pPr>
      <w:widowControl w:val="0"/>
      <w:tabs>
        <w:tab w:val="clear" w:pos="5040"/>
        <w:tab w:val="right" w:leader="dot" w:pos="8640"/>
      </w:tabs>
      <w:spacing w:after="120"/>
      <w:ind w:left="1627" w:right="1440" w:hanging="360"/>
    </w:pPr>
  </w:style>
  <w:style w:type="paragraph" w:styleId="TOC5">
    <w:name w:val="toc 5"/>
    <w:basedOn w:val="Normal"/>
    <w:next w:val="Normal"/>
    <w:autoRedefine/>
    <w:uiPriority w:val="39"/>
    <w:rsid w:val="007F625B"/>
    <w:pPr>
      <w:tabs>
        <w:tab w:val="clear" w:pos="5040"/>
        <w:tab w:val="right" w:leader="dot" w:pos="8640"/>
      </w:tabs>
      <w:spacing w:after="120"/>
      <w:ind w:left="1980" w:right="1440" w:hanging="360"/>
    </w:pPr>
  </w:style>
  <w:style w:type="paragraph" w:styleId="TOC6">
    <w:name w:val="toc 6"/>
    <w:basedOn w:val="Normal"/>
    <w:next w:val="Normal"/>
    <w:autoRedefine/>
    <w:uiPriority w:val="39"/>
    <w:rsid w:val="007F625B"/>
    <w:pPr>
      <w:tabs>
        <w:tab w:val="clear" w:pos="5040"/>
        <w:tab w:val="right" w:leader="dot" w:pos="8640"/>
      </w:tabs>
      <w:spacing w:after="120"/>
      <w:ind w:left="2333" w:right="1440" w:hanging="331"/>
    </w:pPr>
  </w:style>
  <w:style w:type="paragraph" w:styleId="TOC7">
    <w:name w:val="toc 7"/>
    <w:basedOn w:val="Normal"/>
    <w:next w:val="Normal"/>
    <w:autoRedefine/>
    <w:uiPriority w:val="39"/>
    <w:rsid w:val="007F625B"/>
    <w:pPr>
      <w:tabs>
        <w:tab w:val="clear" w:pos="5040"/>
        <w:tab w:val="right" w:leader="dot" w:pos="8640"/>
      </w:tabs>
      <w:spacing w:after="120"/>
      <w:ind w:left="2707" w:right="1440" w:hanging="360"/>
    </w:pPr>
  </w:style>
  <w:style w:type="paragraph" w:styleId="TOC8">
    <w:name w:val="toc 8"/>
    <w:basedOn w:val="Normal"/>
    <w:next w:val="Normal"/>
    <w:autoRedefine/>
    <w:uiPriority w:val="39"/>
    <w:rsid w:val="007F625B"/>
    <w:pPr>
      <w:tabs>
        <w:tab w:val="clear" w:pos="5040"/>
        <w:tab w:val="right" w:leader="dot" w:pos="8640"/>
      </w:tabs>
      <w:spacing w:after="120"/>
      <w:ind w:left="3067" w:right="1440" w:hanging="360"/>
    </w:pPr>
  </w:style>
  <w:style w:type="paragraph" w:styleId="TOC9">
    <w:name w:val="toc 9"/>
    <w:basedOn w:val="Normal"/>
    <w:next w:val="Normal"/>
    <w:autoRedefine/>
    <w:uiPriority w:val="39"/>
    <w:rsid w:val="007F625B"/>
    <w:pPr>
      <w:tabs>
        <w:tab w:val="clear" w:pos="5040"/>
        <w:tab w:val="right" w:leader="dot" w:pos="8640"/>
      </w:tabs>
      <w:spacing w:after="120"/>
      <w:ind w:left="3427" w:right="1440" w:hanging="360"/>
    </w:pPr>
  </w:style>
  <w:style w:type="paragraph" w:customStyle="1" w:styleId="Quotation">
    <w:name w:val="Quotation"/>
    <w:basedOn w:val="BodyText"/>
    <w:next w:val="BodyText"/>
    <w:rsid w:val="007F625B"/>
    <w:pPr>
      <w:spacing w:after="120" w:line="240" w:lineRule="auto"/>
      <w:ind w:left="1440" w:right="1440" w:firstLine="0"/>
    </w:pPr>
  </w:style>
  <w:style w:type="paragraph" w:styleId="TableofAuthorities">
    <w:name w:val="table of authorities"/>
    <w:basedOn w:val="Normal"/>
    <w:next w:val="Normal"/>
    <w:semiHidden/>
    <w:rsid w:val="007F625B"/>
    <w:pPr>
      <w:tabs>
        <w:tab w:val="right" w:leader="dot" w:pos="8640"/>
      </w:tabs>
      <w:ind w:left="245" w:right="1440" w:hanging="245"/>
    </w:pPr>
    <w:rPr>
      <w:i/>
      <w:noProof/>
    </w:rPr>
  </w:style>
  <w:style w:type="paragraph" w:styleId="TOAHeading">
    <w:name w:val="toa heading"/>
    <w:basedOn w:val="Normal"/>
    <w:next w:val="Normal"/>
    <w:semiHidden/>
    <w:rsid w:val="007F625B"/>
    <w:pPr>
      <w:spacing w:before="240" w:after="120"/>
    </w:pPr>
    <w:rPr>
      <w:b/>
      <w:smallCaps/>
    </w:rPr>
  </w:style>
  <w:style w:type="paragraph" w:styleId="Signature">
    <w:name w:val="Signature"/>
    <w:basedOn w:val="BodyText"/>
    <w:link w:val="SignatureChar"/>
    <w:rsid w:val="007F625B"/>
    <w:pPr>
      <w:keepNext/>
      <w:keepLines/>
      <w:spacing w:line="240" w:lineRule="auto"/>
      <w:ind w:left="4320"/>
    </w:pPr>
  </w:style>
  <w:style w:type="character" w:customStyle="1" w:styleId="SignatureChar">
    <w:name w:val="Signature Char"/>
    <w:link w:val="Signature"/>
    <w:locked/>
    <w:rPr>
      <w:sz w:val="26"/>
    </w:rPr>
  </w:style>
  <w:style w:type="paragraph" w:styleId="ListNumber3">
    <w:name w:val="List Number 3"/>
    <w:basedOn w:val="Normal"/>
    <w:pPr>
      <w:ind w:left="1080" w:hanging="360"/>
    </w:pPr>
  </w:style>
  <w:style w:type="paragraph" w:styleId="ListBullet">
    <w:name w:val="List Bullet"/>
    <w:basedOn w:val="Normal"/>
    <w:autoRedefine/>
    <w:rsid w:val="005C0962"/>
    <w:pPr>
      <w:numPr>
        <w:numId w:val="4"/>
      </w:numPr>
      <w:spacing w:after="120"/>
    </w:pPr>
  </w:style>
  <w:style w:type="paragraph" w:customStyle="1" w:styleId="Heading">
    <w:name w:val="Heading"/>
    <w:basedOn w:val="Heading1"/>
    <w:pPr>
      <w:outlineLvl w:val="9"/>
    </w:pPr>
    <w:rPr>
      <w:spacing w:val="-20"/>
    </w:rPr>
  </w:style>
  <w:style w:type="table" w:styleId="TableGrid">
    <w:name w:val="Table Grid"/>
    <w:basedOn w:val="TableNormal"/>
    <w:pPr>
      <w:tabs>
        <w:tab w:val="right" w:pos="5040"/>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Hyperlink">
    <w:name w:val="Hyperlink"/>
    <w:basedOn w:val="DefaultParagraphFont"/>
    <w:uiPriority w:val="99"/>
    <w:rsid w:val="00E17873"/>
    <w:rPr>
      <w:color w:val="0563C1" w:themeColor="hyperlink"/>
      <w:u w:val="single"/>
    </w:rPr>
  </w:style>
  <w:style w:type="paragraph" w:styleId="EndnoteText">
    <w:name w:val="endnote text"/>
    <w:basedOn w:val="Normal"/>
    <w:link w:val="EndnoteTextChar"/>
    <w:rsid w:val="00F45343"/>
    <w:rPr>
      <w:sz w:val="20"/>
    </w:rPr>
  </w:style>
  <w:style w:type="character" w:customStyle="1" w:styleId="EndnoteTextChar">
    <w:name w:val="Endnote Text Char"/>
    <w:basedOn w:val="DefaultParagraphFont"/>
    <w:link w:val="EndnoteText"/>
    <w:rsid w:val="00F45343"/>
  </w:style>
  <w:style w:type="character" w:styleId="EndnoteReference">
    <w:name w:val="endnote reference"/>
    <w:rsid w:val="00F45343"/>
    <w:rPr>
      <w:vertAlign w:val="superscript"/>
    </w:rPr>
  </w:style>
  <w:style w:type="character" w:customStyle="1" w:styleId="UnresolvedMention1">
    <w:name w:val="Unresolved Mention1"/>
    <w:uiPriority w:val="99"/>
    <w:semiHidden/>
    <w:unhideWhenUsed/>
    <w:rsid w:val="00F573E7"/>
    <w:rPr>
      <w:color w:val="808080"/>
      <w:shd w:val="clear" w:color="auto" w:fill="E6E6E6"/>
    </w:rPr>
  </w:style>
  <w:style w:type="paragraph" w:customStyle="1" w:styleId="Default">
    <w:name w:val="Default"/>
    <w:basedOn w:val="Normal"/>
    <w:rsid w:val="008C7933"/>
    <w:pPr>
      <w:tabs>
        <w:tab w:val="clear" w:pos="5040"/>
      </w:tabs>
      <w:overflowPunct/>
      <w:adjustRightInd/>
      <w:textAlignment w:val="auto"/>
    </w:pPr>
    <w:rPr>
      <w:rFonts w:eastAsia="Calibri"/>
      <w:color w:val="000000"/>
      <w:szCs w:val="24"/>
    </w:rPr>
  </w:style>
  <w:style w:type="character" w:customStyle="1" w:styleId="UnresolvedMention2">
    <w:name w:val="Unresolved Mention2"/>
    <w:basedOn w:val="DefaultParagraphFont"/>
    <w:uiPriority w:val="99"/>
    <w:semiHidden/>
    <w:unhideWhenUsed/>
    <w:rsid w:val="000E18E5"/>
    <w:rPr>
      <w:color w:val="605E5C"/>
      <w:shd w:val="clear" w:color="auto" w:fill="E1DFDD"/>
    </w:rPr>
  </w:style>
  <w:style w:type="paragraph" w:styleId="Revision">
    <w:name w:val="Revision"/>
    <w:hidden/>
    <w:uiPriority w:val="71"/>
    <w:unhideWhenUsed/>
    <w:rsid w:val="005A29D8"/>
    <w:rPr>
      <w:sz w:val="26"/>
    </w:rPr>
  </w:style>
  <w:style w:type="paragraph" w:styleId="ListParagraph">
    <w:name w:val="List Paragraph"/>
    <w:basedOn w:val="Normal"/>
    <w:uiPriority w:val="34"/>
    <w:qFormat/>
    <w:rsid w:val="009E3E78"/>
    <w:pPr>
      <w:numPr>
        <w:numId w:val="41"/>
      </w:numPr>
      <w:tabs>
        <w:tab w:val="clear" w:pos="5040"/>
      </w:tabs>
      <w:overflowPunct/>
      <w:autoSpaceDE/>
      <w:autoSpaceDN/>
      <w:adjustRightInd/>
      <w:spacing w:after="120"/>
      <w:textAlignment w:val="auto"/>
    </w:pPr>
    <w:rPr>
      <w:rFonts w:eastAsiaTheme="minorHAnsi"/>
      <w:szCs w:val="24"/>
    </w:rPr>
  </w:style>
  <w:style w:type="character" w:styleId="FollowedHyperlink">
    <w:name w:val="FollowedHyperlink"/>
    <w:basedOn w:val="DefaultParagraphFont"/>
    <w:rsid w:val="000A151C"/>
    <w:rPr>
      <w:color w:val="954F72" w:themeColor="followedHyperlink"/>
      <w:u w:val="single"/>
    </w:rPr>
  </w:style>
  <w:style w:type="table" w:customStyle="1" w:styleId="TableGrid1">
    <w:name w:val="Table Grid1"/>
    <w:basedOn w:val="TableNormal"/>
    <w:next w:val="TableGrid"/>
    <w:uiPriority w:val="39"/>
    <w:rsid w:val="000521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 1"/>
    <w:basedOn w:val="FootnoteText"/>
    <w:qFormat/>
    <w:rsid w:val="00DA31AD"/>
    <w:rPr>
      <w:color w:val="000000" w:themeColor="text1"/>
      <w:szCs w:val="22"/>
    </w:rPr>
  </w:style>
  <w:style w:type="character" w:styleId="Strong">
    <w:name w:val="Strong"/>
    <w:basedOn w:val="DefaultParagraphFont"/>
    <w:locked/>
    <w:rsid w:val="00DA31AD"/>
    <w:rPr>
      <w:b/>
      <w:bCs/>
    </w:rPr>
  </w:style>
  <w:style w:type="character" w:styleId="UnresolvedMention">
    <w:name w:val="Unresolved Mention"/>
    <w:basedOn w:val="DefaultParagraphFont"/>
    <w:uiPriority w:val="99"/>
    <w:semiHidden/>
    <w:unhideWhenUsed/>
    <w:rsid w:val="00236A1B"/>
    <w:rPr>
      <w:color w:val="605E5C"/>
      <w:shd w:val="clear" w:color="auto" w:fill="E1DFDD"/>
    </w:rPr>
  </w:style>
  <w:style w:type="paragraph" w:styleId="TOCHeading">
    <w:name w:val="TOC Heading"/>
    <w:basedOn w:val="Heading1"/>
    <w:next w:val="Normal"/>
    <w:uiPriority w:val="39"/>
    <w:unhideWhenUsed/>
    <w:qFormat/>
    <w:rsid w:val="00EF4D1B"/>
    <w:pPr>
      <w:numPr>
        <w:numId w:val="0"/>
      </w:numPr>
      <w:overflowPunct/>
      <w:autoSpaceDE/>
      <w:autoSpaceDN/>
      <w:adjustRightInd/>
      <w:spacing w:before="240" w:after="0" w:line="259" w:lineRule="auto"/>
      <w:ind w:right="0"/>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PAOLogo">
    <w:name w:val="PAO Logo"/>
    <w:basedOn w:val="Normal"/>
    <w:rsid w:val="0037712E"/>
    <w:pPr>
      <w:spacing w:line="276" w:lineRule="auto"/>
    </w:pPr>
    <w:rPr>
      <w:color w:val="000000" w:themeColor="text1"/>
    </w:rPr>
  </w:style>
  <w:style w:type="character" w:customStyle="1" w:styleId="ViaElectronicFiling">
    <w:name w:val="Via Electronic Filing"/>
    <w:basedOn w:val="DefaultParagraphFont"/>
    <w:uiPriority w:val="1"/>
    <w:rsid w:val="0037712E"/>
    <w:rPr>
      <w:rFonts w:ascii="Times New Roman" w:hAnsi="Times New Roman"/>
      <w:b/>
      <w:bCs/>
      <w:sz w:val="24"/>
      <w:szCs w:val="24"/>
      <w:u w:val="single"/>
    </w:rPr>
  </w:style>
  <w:style w:type="paragraph" w:customStyle="1" w:styleId="Coverpagedate">
    <w:name w:val="Cover page date"/>
    <w:basedOn w:val="Normal"/>
    <w:next w:val="Normal"/>
    <w:rsid w:val="00A55829"/>
    <w:pPr>
      <w:tabs>
        <w:tab w:val="clear" w:pos="5040"/>
        <w:tab w:val="left" w:pos="6480"/>
      </w:tabs>
      <w:spacing w:after="360"/>
    </w:pPr>
  </w:style>
  <w:style w:type="paragraph" w:customStyle="1" w:styleId="Addressee">
    <w:name w:val="Addressee"/>
    <w:basedOn w:val="Normal"/>
    <w:rsid w:val="00201FFD"/>
    <w:pPr>
      <w:spacing w:line="276" w:lineRule="auto"/>
    </w:pPr>
  </w:style>
  <w:style w:type="paragraph" w:customStyle="1" w:styleId="Subject">
    <w:name w:val="Subject"/>
    <w:basedOn w:val="Normal"/>
    <w:rsid w:val="00201FFD"/>
    <w:pPr>
      <w:tabs>
        <w:tab w:val="clear" w:pos="5040"/>
      </w:tabs>
      <w:spacing w:after="160" w:line="276" w:lineRule="auto"/>
      <w:ind w:left="1440" w:hanging="1440"/>
    </w:pPr>
    <w:rPr>
      <w:b/>
      <w:bCs/>
    </w:rPr>
  </w:style>
  <w:style w:type="paragraph" w:customStyle="1" w:styleId="Efilingemail">
    <w:name w:val="Efiling email"/>
    <w:basedOn w:val="Addressee"/>
    <w:rsid w:val="00A55829"/>
    <w:pPr>
      <w:spacing w:after="360"/>
    </w:pPr>
  </w:style>
  <w:style w:type="paragraph" w:customStyle="1" w:styleId="Docket">
    <w:name w:val="Docket"/>
    <w:basedOn w:val="Subject"/>
    <w:rsid w:val="00A55829"/>
    <w:pPr>
      <w:spacing w:after="360"/>
    </w:pPr>
  </w:style>
  <w:style w:type="paragraph" w:customStyle="1" w:styleId="Dear">
    <w:name w:val="Dear"/>
    <w:basedOn w:val="Addressee"/>
    <w:rsid w:val="00CE1611"/>
    <w:pPr>
      <w:spacing w:after="160"/>
    </w:pPr>
  </w:style>
  <w:style w:type="paragraph" w:customStyle="1" w:styleId="Covertext">
    <w:name w:val="Cover text"/>
    <w:basedOn w:val="Normal"/>
    <w:rsid w:val="00CE1611"/>
    <w:pPr>
      <w:spacing w:after="160" w:line="276" w:lineRule="auto"/>
    </w:pPr>
  </w:style>
  <w:style w:type="paragraph" w:customStyle="1" w:styleId="Signaturefront">
    <w:name w:val="Signature front"/>
    <w:basedOn w:val="BodyText"/>
    <w:link w:val="SignaturefrontChar"/>
    <w:rsid w:val="003843E1"/>
    <w:pPr>
      <w:spacing w:after="160" w:line="276" w:lineRule="auto"/>
      <w:ind w:left="4320"/>
    </w:pPr>
  </w:style>
  <w:style w:type="paragraph" w:customStyle="1" w:styleId="Signatureitalic">
    <w:name w:val="Signature italic"/>
    <w:aliases w:val="bold"/>
    <w:basedOn w:val="Signaturefront"/>
    <w:link w:val="SignatureitalicChar"/>
    <w:rsid w:val="00CE1611"/>
    <w:pPr>
      <w:spacing w:after="0"/>
    </w:pPr>
  </w:style>
  <w:style w:type="character" w:customStyle="1" w:styleId="SignaturefrontChar">
    <w:name w:val="Signature front Char"/>
    <w:basedOn w:val="BodyTextChar"/>
    <w:link w:val="Signaturefront"/>
    <w:rsid w:val="003843E1"/>
    <w:rPr>
      <w:color w:val="000000" w:themeColor="text1"/>
      <w:sz w:val="24"/>
      <w:szCs w:val="24"/>
    </w:rPr>
  </w:style>
  <w:style w:type="character" w:customStyle="1" w:styleId="SignatureitalicChar">
    <w:name w:val="Signature italic Char"/>
    <w:aliases w:val="bold Char"/>
    <w:basedOn w:val="SignaturefrontChar"/>
    <w:link w:val="Signatureitalic"/>
    <w:rsid w:val="00CE1611"/>
    <w:rPr>
      <w:color w:val="000000" w:themeColor="text1"/>
      <w:sz w:val="24"/>
      <w:szCs w:val="24"/>
    </w:rPr>
  </w:style>
  <w:style w:type="paragraph" w:customStyle="1" w:styleId="Signatureaddress">
    <w:name w:val="Signature address"/>
    <w:basedOn w:val="Signaturefront"/>
    <w:rsid w:val="003843E1"/>
    <w:pPr>
      <w:spacing w:after="0"/>
      <w:ind w:left="5040" w:firstLine="0"/>
    </w:pPr>
  </w:style>
  <w:style w:type="paragraph" w:customStyle="1" w:styleId="Respectfully">
    <w:name w:val="Respectfully"/>
    <w:basedOn w:val="Signaturefront"/>
    <w:rsid w:val="003843E1"/>
  </w:style>
  <w:style w:type="paragraph" w:customStyle="1" w:styleId="Signatureline">
    <w:name w:val="Signature line"/>
    <w:basedOn w:val="Signaturefront"/>
    <w:rsid w:val="003843E1"/>
    <w:pPr>
      <w:spacing w:after="0"/>
    </w:pPr>
  </w:style>
  <w:style w:type="paragraph" w:customStyle="1" w:styleId="Signaturetyped">
    <w:name w:val="Signature typed"/>
    <w:basedOn w:val="Signaturefront"/>
    <w:rsid w:val="00063E14"/>
    <w:pPr>
      <w:spacing w:after="0"/>
      <w:ind w:left="5040"/>
    </w:pPr>
  </w:style>
  <w:style w:type="paragraph" w:customStyle="1" w:styleId="Tableheadings">
    <w:name w:val="Table headings"/>
    <w:basedOn w:val="Normal"/>
    <w:rsid w:val="00A55829"/>
    <w:pPr>
      <w:spacing w:before="60" w:after="60"/>
      <w:jc w:val="center"/>
    </w:pPr>
    <w:rPr>
      <w:b/>
    </w:rPr>
  </w:style>
  <w:style w:type="paragraph" w:customStyle="1" w:styleId="Tableentriescentered">
    <w:name w:val="Table entries centered"/>
    <w:basedOn w:val="Normal"/>
    <w:rsid w:val="00EC6C45"/>
    <w:pPr>
      <w:spacing w:before="60" w:after="60"/>
      <w:jc w:val="center"/>
    </w:pPr>
  </w:style>
  <w:style w:type="paragraph" w:customStyle="1" w:styleId="Tableentriesleft">
    <w:name w:val="Table entries left"/>
    <w:basedOn w:val="Normal"/>
    <w:rsid w:val="00EC6C45"/>
    <w:pPr>
      <w:keepLines/>
      <w:spacing w:before="60" w:after="60"/>
    </w:pPr>
    <w:rPr>
      <w:color w:val="000000" w:themeColor="text1"/>
      <w:szCs w:val="24"/>
    </w:rPr>
  </w:style>
  <w:style w:type="paragraph" w:customStyle="1" w:styleId="Tableentriesindented">
    <w:name w:val="Table entries indented"/>
    <w:basedOn w:val="Normal"/>
    <w:rsid w:val="00EC6C45"/>
    <w:pPr>
      <w:spacing w:before="60" w:after="60"/>
      <w:jc w:val="center"/>
    </w:pPr>
  </w:style>
  <w:style w:type="character" w:customStyle="1" w:styleId="Footnotenumberbelowline">
    <w:name w:val="Footnote number below line"/>
    <w:basedOn w:val="FootnoteReference"/>
    <w:uiPriority w:val="1"/>
    <w:qFormat/>
    <w:rsid w:val="00867F2B"/>
    <w:rPr>
      <w:rFonts w:ascii="Times New Roman" w:hAnsi="Times New Roman"/>
      <w:b/>
      <w:color w:val="000000" w:themeColor="text1"/>
      <w:sz w:val="24"/>
      <w:u w:val="single"/>
      <w:vertAlign w:val="superscript"/>
    </w:rPr>
  </w:style>
  <w:style w:type="character" w:styleId="CommentReference">
    <w:name w:val="annotation reference"/>
    <w:basedOn w:val="DefaultParagraphFont"/>
    <w:uiPriority w:val="99"/>
    <w:rsid w:val="00634464"/>
    <w:rPr>
      <w:sz w:val="16"/>
      <w:szCs w:val="16"/>
    </w:rPr>
  </w:style>
  <w:style w:type="paragraph" w:styleId="CommentText">
    <w:name w:val="annotation text"/>
    <w:basedOn w:val="Normal"/>
    <w:link w:val="CommentTextChar"/>
    <w:uiPriority w:val="99"/>
    <w:rsid w:val="00634464"/>
    <w:rPr>
      <w:sz w:val="20"/>
    </w:rPr>
  </w:style>
  <w:style w:type="character" w:customStyle="1" w:styleId="CommentTextChar">
    <w:name w:val="Comment Text Char"/>
    <w:basedOn w:val="DefaultParagraphFont"/>
    <w:link w:val="CommentText"/>
    <w:uiPriority w:val="99"/>
    <w:rsid w:val="00634464"/>
  </w:style>
  <w:style w:type="paragraph" w:styleId="CommentSubject">
    <w:name w:val="annotation subject"/>
    <w:basedOn w:val="CommentText"/>
    <w:next w:val="CommentText"/>
    <w:link w:val="CommentSubjectChar"/>
    <w:semiHidden/>
    <w:unhideWhenUsed/>
    <w:rsid w:val="00634464"/>
    <w:rPr>
      <w:b/>
      <w:bCs/>
    </w:rPr>
  </w:style>
  <w:style w:type="character" w:customStyle="1" w:styleId="CommentSubjectChar">
    <w:name w:val="Comment Subject Char"/>
    <w:basedOn w:val="CommentTextChar"/>
    <w:link w:val="CommentSubject"/>
    <w:semiHidden/>
    <w:rsid w:val="00634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12989535">
      <w:bodyDiv w:val="1"/>
      <w:marLeft w:val="0"/>
      <w:marRight w:val="0"/>
      <w:marTop w:val="0"/>
      <w:marBottom w:val="0"/>
      <w:divBdr>
        <w:top w:val="none" w:sz="0" w:space="0" w:color="auto"/>
        <w:left w:val="none" w:sz="0" w:space="0" w:color="auto"/>
        <w:bottom w:val="none" w:sz="0" w:space="0" w:color="auto"/>
        <w:right w:val="none" w:sz="0" w:space="0" w:color="auto"/>
      </w:divBdr>
    </w:div>
    <w:div w:id="168719822">
      <w:bodyDiv w:val="1"/>
      <w:marLeft w:val="0"/>
      <w:marRight w:val="0"/>
      <w:marTop w:val="0"/>
      <w:marBottom w:val="0"/>
      <w:divBdr>
        <w:top w:val="none" w:sz="0" w:space="0" w:color="auto"/>
        <w:left w:val="none" w:sz="0" w:space="0" w:color="auto"/>
        <w:bottom w:val="none" w:sz="0" w:space="0" w:color="auto"/>
        <w:right w:val="none" w:sz="0" w:space="0" w:color="auto"/>
      </w:divBdr>
    </w:div>
    <w:div w:id="265235468">
      <w:bodyDiv w:val="1"/>
      <w:marLeft w:val="0"/>
      <w:marRight w:val="0"/>
      <w:marTop w:val="0"/>
      <w:marBottom w:val="0"/>
      <w:divBdr>
        <w:top w:val="none" w:sz="0" w:space="0" w:color="auto"/>
        <w:left w:val="none" w:sz="0" w:space="0" w:color="auto"/>
        <w:bottom w:val="none" w:sz="0" w:space="0" w:color="auto"/>
        <w:right w:val="none" w:sz="0" w:space="0" w:color="auto"/>
      </w:divBdr>
    </w:div>
    <w:div w:id="456677477">
      <w:bodyDiv w:val="1"/>
      <w:marLeft w:val="0"/>
      <w:marRight w:val="0"/>
      <w:marTop w:val="0"/>
      <w:marBottom w:val="0"/>
      <w:divBdr>
        <w:top w:val="none" w:sz="0" w:space="0" w:color="auto"/>
        <w:left w:val="none" w:sz="0" w:space="0" w:color="auto"/>
        <w:bottom w:val="none" w:sz="0" w:space="0" w:color="auto"/>
        <w:right w:val="none" w:sz="0" w:space="0" w:color="auto"/>
      </w:divBdr>
      <w:divsChild>
        <w:div w:id="374428088">
          <w:marLeft w:val="0"/>
          <w:marRight w:val="0"/>
          <w:marTop w:val="0"/>
          <w:marBottom w:val="240"/>
          <w:divBdr>
            <w:top w:val="none" w:sz="0" w:space="0" w:color="auto"/>
            <w:left w:val="none" w:sz="0" w:space="0" w:color="auto"/>
            <w:bottom w:val="none" w:sz="0" w:space="0" w:color="auto"/>
            <w:right w:val="none" w:sz="0" w:space="0" w:color="auto"/>
          </w:divBdr>
        </w:div>
      </w:divsChild>
    </w:div>
    <w:div w:id="510991452">
      <w:bodyDiv w:val="1"/>
      <w:marLeft w:val="0"/>
      <w:marRight w:val="0"/>
      <w:marTop w:val="0"/>
      <w:marBottom w:val="0"/>
      <w:divBdr>
        <w:top w:val="none" w:sz="0" w:space="0" w:color="auto"/>
        <w:left w:val="none" w:sz="0" w:space="0" w:color="auto"/>
        <w:bottom w:val="none" w:sz="0" w:space="0" w:color="auto"/>
        <w:right w:val="none" w:sz="0" w:space="0" w:color="auto"/>
      </w:divBdr>
    </w:div>
    <w:div w:id="611281193">
      <w:bodyDiv w:val="1"/>
      <w:marLeft w:val="0"/>
      <w:marRight w:val="0"/>
      <w:marTop w:val="0"/>
      <w:marBottom w:val="0"/>
      <w:divBdr>
        <w:top w:val="none" w:sz="0" w:space="0" w:color="auto"/>
        <w:left w:val="none" w:sz="0" w:space="0" w:color="auto"/>
        <w:bottom w:val="none" w:sz="0" w:space="0" w:color="auto"/>
        <w:right w:val="none" w:sz="0" w:space="0" w:color="auto"/>
      </w:divBdr>
    </w:div>
    <w:div w:id="649595730">
      <w:bodyDiv w:val="1"/>
      <w:marLeft w:val="0"/>
      <w:marRight w:val="0"/>
      <w:marTop w:val="0"/>
      <w:marBottom w:val="0"/>
      <w:divBdr>
        <w:top w:val="none" w:sz="0" w:space="0" w:color="auto"/>
        <w:left w:val="none" w:sz="0" w:space="0" w:color="auto"/>
        <w:bottom w:val="none" w:sz="0" w:space="0" w:color="auto"/>
        <w:right w:val="none" w:sz="0" w:space="0" w:color="auto"/>
      </w:divBdr>
    </w:div>
    <w:div w:id="1212771219">
      <w:bodyDiv w:val="1"/>
      <w:marLeft w:val="0"/>
      <w:marRight w:val="0"/>
      <w:marTop w:val="0"/>
      <w:marBottom w:val="0"/>
      <w:divBdr>
        <w:top w:val="none" w:sz="0" w:space="0" w:color="auto"/>
        <w:left w:val="none" w:sz="0" w:space="0" w:color="auto"/>
        <w:bottom w:val="none" w:sz="0" w:space="0" w:color="auto"/>
        <w:right w:val="none" w:sz="0" w:space="0" w:color="auto"/>
      </w:divBdr>
    </w:div>
    <w:div w:id="1213882067">
      <w:bodyDiv w:val="1"/>
      <w:marLeft w:val="0"/>
      <w:marRight w:val="0"/>
      <w:marTop w:val="0"/>
      <w:marBottom w:val="0"/>
      <w:divBdr>
        <w:top w:val="none" w:sz="0" w:space="0" w:color="auto"/>
        <w:left w:val="none" w:sz="0" w:space="0" w:color="auto"/>
        <w:bottom w:val="none" w:sz="0" w:space="0" w:color="auto"/>
        <w:right w:val="none" w:sz="0" w:space="0" w:color="auto"/>
      </w:divBdr>
    </w:div>
    <w:div w:id="1359893073">
      <w:bodyDiv w:val="1"/>
      <w:marLeft w:val="0"/>
      <w:marRight w:val="0"/>
      <w:marTop w:val="0"/>
      <w:marBottom w:val="0"/>
      <w:divBdr>
        <w:top w:val="none" w:sz="0" w:space="0" w:color="auto"/>
        <w:left w:val="none" w:sz="0" w:space="0" w:color="auto"/>
        <w:bottom w:val="none" w:sz="0" w:space="0" w:color="auto"/>
        <w:right w:val="none" w:sz="0" w:space="0" w:color="auto"/>
      </w:divBdr>
    </w:div>
    <w:div w:id="1362434704">
      <w:bodyDiv w:val="1"/>
      <w:marLeft w:val="0"/>
      <w:marRight w:val="0"/>
      <w:marTop w:val="0"/>
      <w:marBottom w:val="0"/>
      <w:divBdr>
        <w:top w:val="none" w:sz="0" w:space="0" w:color="auto"/>
        <w:left w:val="none" w:sz="0" w:space="0" w:color="auto"/>
        <w:bottom w:val="none" w:sz="0" w:space="0" w:color="auto"/>
        <w:right w:val="none" w:sz="0" w:space="0" w:color="auto"/>
      </w:divBdr>
    </w:div>
    <w:div w:id="1366902938">
      <w:bodyDiv w:val="1"/>
      <w:marLeft w:val="0"/>
      <w:marRight w:val="0"/>
      <w:marTop w:val="0"/>
      <w:marBottom w:val="0"/>
      <w:divBdr>
        <w:top w:val="none" w:sz="0" w:space="0" w:color="auto"/>
        <w:left w:val="none" w:sz="0" w:space="0" w:color="auto"/>
        <w:bottom w:val="none" w:sz="0" w:space="0" w:color="auto"/>
        <w:right w:val="none" w:sz="0" w:space="0" w:color="auto"/>
      </w:divBdr>
    </w:div>
    <w:div w:id="1448088920">
      <w:bodyDiv w:val="1"/>
      <w:marLeft w:val="0"/>
      <w:marRight w:val="0"/>
      <w:marTop w:val="0"/>
      <w:marBottom w:val="0"/>
      <w:divBdr>
        <w:top w:val="none" w:sz="0" w:space="0" w:color="auto"/>
        <w:left w:val="none" w:sz="0" w:space="0" w:color="auto"/>
        <w:bottom w:val="none" w:sz="0" w:space="0" w:color="auto"/>
        <w:right w:val="none" w:sz="0" w:space="0" w:color="auto"/>
      </w:divBdr>
    </w:div>
    <w:div w:id="1522473268">
      <w:bodyDiv w:val="1"/>
      <w:marLeft w:val="0"/>
      <w:marRight w:val="0"/>
      <w:marTop w:val="0"/>
      <w:marBottom w:val="0"/>
      <w:divBdr>
        <w:top w:val="none" w:sz="0" w:space="0" w:color="auto"/>
        <w:left w:val="none" w:sz="0" w:space="0" w:color="auto"/>
        <w:bottom w:val="none" w:sz="0" w:space="0" w:color="auto"/>
        <w:right w:val="none" w:sz="0" w:space="0" w:color="auto"/>
      </w:divBdr>
    </w:div>
    <w:div w:id="1624965164">
      <w:bodyDiv w:val="1"/>
      <w:marLeft w:val="0"/>
      <w:marRight w:val="0"/>
      <w:marTop w:val="0"/>
      <w:marBottom w:val="0"/>
      <w:divBdr>
        <w:top w:val="none" w:sz="0" w:space="0" w:color="auto"/>
        <w:left w:val="none" w:sz="0" w:space="0" w:color="auto"/>
        <w:bottom w:val="none" w:sz="0" w:space="0" w:color="auto"/>
        <w:right w:val="none" w:sz="0" w:space="0" w:color="auto"/>
      </w:divBdr>
    </w:div>
    <w:div w:id="1745640483">
      <w:bodyDiv w:val="1"/>
      <w:marLeft w:val="0"/>
      <w:marRight w:val="0"/>
      <w:marTop w:val="0"/>
      <w:marBottom w:val="0"/>
      <w:divBdr>
        <w:top w:val="none" w:sz="0" w:space="0" w:color="auto"/>
        <w:left w:val="none" w:sz="0" w:space="0" w:color="auto"/>
        <w:bottom w:val="none" w:sz="0" w:space="0" w:color="auto"/>
        <w:right w:val="none" w:sz="0" w:space="0" w:color="auto"/>
      </w:divBdr>
    </w:div>
    <w:div w:id="1939438364">
      <w:bodyDiv w:val="1"/>
      <w:marLeft w:val="0"/>
      <w:marRight w:val="0"/>
      <w:marTop w:val="0"/>
      <w:marBottom w:val="0"/>
      <w:divBdr>
        <w:top w:val="none" w:sz="0" w:space="0" w:color="auto"/>
        <w:left w:val="none" w:sz="0" w:space="0" w:color="auto"/>
        <w:bottom w:val="none" w:sz="0" w:space="0" w:color="auto"/>
        <w:right w:val="none" w:sz="0" w:space="0" w:color="auto"/>
      </w:divBdr>
    </w:div>
    <w:div w:id="1949659472">
      <w:bodyDiv w:val="1"/>
      <w:marLeft w:val="0"/>
      <w:marRight w:val="0"/>
      <w:marTop w:val="0"/>
      <w:marBottom w:val="0"/>
      <w:divBdr>
        <w:top w:val="none" w:sz="0" w:space="0" w:color="auto"/>
        <w:left w:val="none" w:sz="0" w:space="0" w:color="auto"/>
        <w:bottom w:val="none" w:sz="0" w:space="0" w:color="auto"/>
        <w:right w:val="none" w:sz="0" w:space="0" w:color="auto"/>
      </w:divBdr>
    </w:div>
    <w:div w:id="21050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nry.Burton@cpuc.ca.gov"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ybelle.Ang@cpuc.ca.gov" TargetMode="External"/><Relationship Id="rId7" Type="http://schemas.openxmlformats.org/officeDocument/2006/relationships/settings" Target="settings.xml"/><Relationship Id="rId12" Type="http://schemas.openxmlformats.org/officeDocument/2006/relationships/hyperlink" Target="mailto:Nathaniel.Skinner@cpuc.ca.gov"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iling.energysafety.ca.gov/"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belle.Ang@cpuc.ca.gov"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ca.gov/wp-content/uploads/2024/10/energy-EO-10-30-24.pdf" TargetMode="External"/><Relationship Id="rId1" Type="http://schemas.openxmlformats.org/officeDocument/2006/relationships/hyperlink" Target="https://www.gov.ca.gov/2024/10/30/governor-newsom-issues-executive-order-tackling-rising-electric-bil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6BA35D19F3574388E70A223FF3CAAE" ma:contentTypeVersion="5" ma:contentTypeDescription="Create a new document." ma:contentTypeScope="" ma:versionID="62b9fa2d0b14c8ee64b13dea670f3d76">
  <xsd:schema xmlns:xsd="http://www.w3.org/2001/XMLSchema" xmlns:xs="http://www.w3.org/2001/XMLSchema" xmlns:p="http://schemas.microsoft.com/office/2006/metadata/properties" xmlns:ns3="f005b2f6-6f63-4b7b-9c64-78afe9860e57" xmlns:ns4="f0b9ac0d-b6a3-4a32-b50d-dc0009f94407" targetNamespace="http://schemas.microsoft.com/office/2006/metadata/properties" ma:root="true" ma:fieldsID="d42ebf497a283bcc5067cd977547f231" ns3:_="" ns4:_="">
    <xsd:import namespace="f005b2f6-6f63-4b7b-9c64-78afe9860e57"/>
    <xsd:import namespace="f0b9ac0d-b6a3-4a32-b50d-dc0009f944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b2f6-6f63-4b7b-9c64-78afe9860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9ac0d-b6a3-4a32-b50d-dc0009f94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6D744-7237-41D0-AD6C-EAFBA36D05BD}">
  <ds:schemaRefs>
    <ds:schemaRef ds:uri="http://schemas.openxmlformats.org/officeDocument/2006/bibliography"/>
  </ds:schemaRefs>
</ds:datastoreItem>
</file>

<file path=customXml/itemProps2.xml><?xml version="1.0" encoding="utf-8"?>
<ds:datastoreItem xmlns:ds="http://schemas.openxmlformats.org/officeDocument/2006/customXml" ds:itemID="{82886787-F072-4987-BB0F-49CEF10B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b2f6-6f63-4b7b-9c64-78afe9860e57"/>
    <ds:schemaRef ds:uri="f0b9ac0d-b6a3-4a32-b50d-dc0009f9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B04A3-8AAE-4EE1-BBDB-842FC72FFAB9}">
  <ds:schemaRefs>
    <ds:schemaRef ds:uri="http://schemas.microsoft.com/sharepoint/v3/contenttype/forms"/>
  </ds:schemaRefs>
</ds:datastoreItem>
</file>

<file path=customXml/itemProps4.xml><?xml version="1.0" encoding="utf-8"?>
<ds:datastoreItem xmlns:ds="http://schemas.openxmlformats.org/officeDocument/2006/customXml" ds:itemID="{0E42C0FC-7AB6-4D7F-8343-8E773F8672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5532</Words>
  <Characters>31537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36996</CharactersWithSpaces>
  <SharedDoc>false</SharedDoc>
  <HLinks>
    <vt:vector size="18" baseType="variant">
      <vt:variant>
        <vt:i4>2883616</vt:i4>
      </vt:variant>
      <vt:variant>
        <vt:i4>3</vt:i4>
      </vt:variant>
      <vt:variant>
        <vt:i4>0</vt:i4>
      </vt:variant>
      <vt:variant>
        <vt:i4>5</vt:i4>
      </vt:variant>
      <vt:variant>
        <vt:lpwstr>http://docs.cpuc.ca.gov/PublishedDocs/EFILE/RULC/97932.PDF</vt:lpwstr>
      </vt:variant>
      <vt:variant>
        <vt:lpwstr/>
      </vt:variant>
      <vt:variant>
        <vt:i4>2162771</vt:i4>
      </vt:variant>
      <vt:variant>
        <vt:i4>0</vt:i4>
      </vt:variant>
      <vt:variant>
        <vt:i4>0</vt:i4>
      </vt:variant>
      <vt:variant>
        <vt:i4>5</vt:i4>
      </vt:variant>
      <vt:variant>
        <vt:lpwstr>mailto:chh@cpuc.ca.gov</vt:lpwstr>
      </vt:variant>
      <vt:variant>
        <vt:lpwstr/>
      </vt:variant>
      <vt:variant>
        <vt:i4>4521986</vt:i4>
      </vt:variant>
      <vt:variant>
        <vt:i4>0</vt:i4>
      </vt:variant>
      <vt:variant>
        <vt:i4>0</vt:i4>
      </vt:variant>
      <vt:variant>
        <vt:i4>5</vt:i4>
      </vt:variant>
      <vt:variant>
        <vt:lpwstr>http://docs.cpuc.ca.gov/PublishedDocs/Published/G000/M251/K987/251987258.PDF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Lukins</dc:creator>
  <cp:keywords/>
  <dc:description/>
  <cp:lastModifiedBy>Gonzalez, Roscella</cp:lastModifiedBy>
  <cp:revision>2</cp:revision>
  <cp:lastPrinted>2019-10-14T18:43:00Z</cp:lastPrinted>
  <dcterms:created xsi:type="dcterms:W3CDTF">2024-12-06T22:21:00Z</dcterms:created>
  <dcterms:modified xsi:type="dcterms:W3CDTF">2024-12-06T22:21:00Z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0x0101003B6BA35D19F3574388E70A223FF3CAAE</vt:lpwstr>
  </property>
</Properties>
</file>