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5F" w:rsidRPr="00436D47" w:rsidRDefault="00F40338" w:rsidP="004A615F">
      <w:pPr>
        <w:spacing w:after="0" w:line="240" w:lineRule="auto"/>
        <w:jc w:val="center"/>
        <w:rPr>
          <w:b/>
          <w:sz w:val="28"/>
          <w:szCs w:val="28"/>
        </w:rPr>
      </w:pPr>
      <w:bookmarkStart w:id="0" w:name="_GoBack"/>
      <w:bookmarkEnd w:id="0"/>
      <w:r w:rsidRPr="00436D47">
        <w:rPr>
          <w:b/>
          <w:sz w:val="28"/>
          <w:szCs w:val="28"/>
        </w:rPr>
        <w:t>Stakeholder Comments on the</w:t>
      </w:r>
    </w:p>
    <w:p w:rsidR="00D614C6" w:rsidRPr="00436D47" w:rsidRDefault="00F40338" w:rsidP="004A615F">
      <w:pPr>
        <w:spacing w:after="0" w:line="240" w:lineRule="auto"/>
        <w:jc w:val="center"/>
        <w:rPr>
          <w:b/>
          <w:sz w:val="28"/>
          <w:szCs w:val="28"/>
        </w:rPr>
      </w:pPr>
      <w:r w:rsidRPr="00436D47">
        <w:rPr>
          <w:b/>
          <w:sz w:val="28"/>
          <w:szCs w:val="28"/>
        </w:rPr>
        <w:t>SB 884 OEIS Draft Guidelines (10/16/23)</w:t>
      </w:r>
    </w:p>
    <w:p w:rsidR="002B4A39" w:rsidRPr="00436D47" w:rsidRDefault="00F40338" w:rsidP="004A615F">
      <w:pPr>
        <w:spacing w:after="0" w:line="240" w:lineRule="auto"/>
        <w:jc w:val="center"/>
        <w:rPr>
          <w:b/>
          <w:sz w:val="28"/>
          <w:szCs w:val="28"/>
        </w:rPr>
      </w:pPr>
      <w:r w:rsidRPr="00436D47">
        <w:rPr>
          <w:b/>
          <w:sz w:val="28"/>
          <w:szCs w:val="28"/>
        </w:rPr>
        <w:t>and the CPUC SPD staff proposal (9/13/23)</w:t>
      </w:r>
    </w:p>
    <w:p w:rsidR="00D614C6" w:rsidRPr="00231B2A" w:rsidRDefault="00D614C6" w:rsidP="004A615F">
      <w:pPr>
        <w:spacing w:after="0" w:line="240" w:lineRule="auto"/>
        <w:rPr>
          <w:b/>
          <w:sz w:val="28"/>
          <w:szCs w:val="28"/>
        </w:rPr>
      </w:pPr>
    </w:p>
    <w:p w:rsidR="00A406D4" w:rsidRPr="00A406D4" w:rsidRDefault="00A406D4" w:rsidP="004A615F">
      <w:pPr>
        <w:spacing w:after="0" w:line="240" w:lineRule="auto"/>
        <w:rPr>
          <w:sz w:val="24"/>
          <w:szCs w:val="24"/>
        </w:rPr>
      </w:pPr>
    </w:p>
    <w:p w:rsidR="00A406D4" w:rsidRDefault="00A406D4" w:rsidP="004A615F">
      <w:pPr>
        <w:spacing w:after="0" w:line="240" w:lineRule="auto"/>
        <w:rPr>
          <w:sz w:val="24"/>
          <w:szCs w:val="24"/>
        </w:rPr>
      </w:pPr>
    </w:p>
    <w:p w:rsidR="004A615F" w:rsidRPr="00A406D4" w:rsidRDefault="00AA3A43" w:rsidP="004A615F">
      <w:pPr>
        <w:spacing w:after="0" w:line="240" w:lineRule="auto"/>
        <w:rPr>
          <w:sz w:val="24"/>
          <w:szCs w:val="24"/>
        </w:rPr>
      </w:pPr>
      <w:r w:rsidRPr="00A406D4">
        <w:rPr>
          <w:sz w:val="24"/>
          <w:szCs w:val="24"/>
        </w:rPr>
        <w:t>Kristin Ralff Douglas</w:t>
      </w:r>
    </w:p>
    <w:p w:rsidR="00AA3A43" w:rsidRPr="00A406D4" w:rsidRDefault="00AA3A43" w:rsidP="004A615F">
      <w:pPr>
        <w:spacing w:after="0" w:line="240" w:lineRule="auto"/>
        <w:rPr>
          <w:sz w:val="24"/>
          <w:szCs w:val="24"/>
        </w:rPr>
      </w:pPr>
      <w:r w:rsidRPr="00A406D4">
        <w:rPr>
          <w:sz w:val="24"/>
          <w:szCs w:val="24"/>
        </w:rPr>
        <w:t>Program Mgr., Electrical Undergrounding</w:t>
      </w:r>
    </w:p>
    <w:p w:rsidR="00AA3A43" w:rsidRPr="00A406D4" w:rsidRDefault="00AA3A43" w:rsidP="004A615F">
      <w:pPr>
        <w:spacing w:after="0" w:line="240" w:lineRule="auto"/>
        <w:rPr>
          <w:sz w:val="24"/>
          <w:szCs w:val="24"/>
        </w:rPr>
      </w:pPr>
      <w:r w:rsidRPr="00A406D4">
        <w:rPr>
          <w:sz w:val="24"/>
          <w:szCs w:val="24"/>
        </w:rPr>
        <w:t>Office of Energy Infrastructure Safety</w:t>
      </w:r>
    </w:p>
    <w:p w:rsidR="00AA3A43" w:rsidRPr="00A406D4" w:rsidRDefault="00AA3A43" w:rsidP="004A615F">
      <w:pPr>
        <w:spacing w:after="0" w:line="240" w:lineRule="auto"/>
        <w:rPr>
          <w:sz w:val="24"/>
          <w:szCs w:val="24"/>
        </w:rPr>
      </w:pPr>
      <w:r w:rsidRPr="00A406D4">
        <w:rPr>
          <w:sz w:val="24"/>
          <w:szCs w:val="24"/>
        </w:rPr>
        <w:t>715 P St., 20th Floor</w:t>
      </w:r>
    </w:p>
    <w:p w:rsidR="00AA3A43" w:rsidRPr="00A406D4" w:rsidRDefault="00AA3A43" w:rsidP="004A615F">
      <w:pPr>
        <w:spacing w:after="0" w:line="240" w:lineRule="auto"/>
        <w:rPr>
          <w:sz w:val="24"/>
          <w:szCs w:val="24"/>
        </w:rPr>
      </w:pPr>
      <w:r w:rsidRPr="00A406D4">
        <w:rPr>
          <w:sz w:val="24"/>
          <w:szCs w:val="24"/>
        </w:rPr>
        <w:t>Sacramento, CA</w:t>
      </w:r>
      <w:r w:rsidR="00A406D4" w:rsidRPr="00A406D4">
        <w:rPr>
          <w:sz w:val="24"/>
          <w:szCs w:val="24"/>
        </w:rPr>
        <w:t xml:space="preserve"> 95814</w:t>
      </w:r>
    </w:p>
    <w:p w:rsidR="00A406D4" w:rsidRPr="00A406D4" w:rsidRDefault="00A406D4" w:rsidP="004A615F">
      <w:pPr>
        <w:spacing w:after="0" w:line="240" w:lineRule="auto"/>
        <w:rPr>
          <w:sz w:val="24"/>
          <w:szCs w:val="24"/>
        </w:rPr>
      </w:pPr>
      <w:r w:rsidRPr="00A406D4">
        <w:rPr>
          <w:sz w:val="24"/>
          <w:szCs w:val="24"/>
        </w:rPr>
        <w:t>BY EMAIL</w:t>
      </w:r>
    </w:p>
    <w:p w:rsidR="00A406D4" w:rsidRDefault="00A406D4" w:rsidP="00EA1B44">
      <w:pPr>
        <w:spacing w:line="240" w:lineRule="auto"/>
        <w:rPr>
          <w:sz w:val="24"/>
          <w:szCs w:val="24"/>
          <w:u w:val="single"/>
        </w:rPr>
      </w:pPr>
    </w:p>
    <w:p w:rsidR="00DD6219" w:rsidRPr="00DD6219" w:rsidRDefault="00DD6219" w:rsidP="00EA1B44">
      <w:pPr>
        <w:spacing w:line="240" w:lineRule="auto"/>
        <w:rPr>
          <w:sz w:val="24"/>
          <w:szCs w:val="24"/>
          <w:u w:val="single"/>
        </w:rPr>
      </w:pPr>
      <w:r w:rsidRPr="00DD6219">
        <w:rPr>
          <w:sz w:val="24"/>
          <w:szCs w:val="24"/>
          <w:u w:val="single"/>
        </w:rPr>
        <w:t>Purpose</w:t>
      </w:r>
    </w:p>
    <w:p w:rsidR="00DD6219" w:rsidRDefault="00BB51D1" w:rsidP="00EA1B44">
      <w:pPr>
        <w:spacing w:line="240" w:lineRule="auto"/>
        <w:rPr>
          <w:sz w:val="24"/>
          <w:szCs w:val="24"/>
        </w:rPr>
      </w:pPr>
      <w:r>
        <w:rPr>
          <w:sz w:val="24"/>
          <w:szCs w:val="24"/>
        </w:rPr>
        <w:t xml:space="preserve">   </w:t>
      </w:r>
      <w:r w:rsidR="00DD6219" w:rsidRPr="00DD6219">
        <w:rPr>
          <w:sz w:val="24"/>
          <w:szCs w:val="24"/>
        </w:rPr>
        <w:t xml:space="preserve">I comment </w:t>
      </w:r>
      <w:r w:rsidR="00DD6219">
        <w:rPr>
          <w:sz w:val="24"/>
          <w:szCs w:val="24"/>
        </w:rPr>
        <w:t xml:space="preserve">here </w:t>
      </w:r>
      <w:r w:rsidR="00DD6219" w:rsidRPr="00DD6219">
        <w:rPr>
          <w:sz w:val="24"/>
          <w:szCs w:val="24"/>
        </w:rPr>
        <w:t xml:space="preserve">on </w:t>
      </w:r>
      <w:r w:rsidR="00932669">
        <w:rPr>
          <w:sz w:val="24"/>
          <w:szCs w:val="24"/>
        </w:rPr>
        <w:t xml:space="preserve">the staff proposed guidelines from </w:t>
      </w:r>
      <w:r w:rsidR="001F10EB" w:rsidRPr="00DD6219">
        <w:rPr>
          <w:sz w:val="24"/>
          <w:szCs w:val="24"/>
        </w:rPr>
        <w:t>both</w:t>
      </w:r>
      <w:r w:rsidR="001F10EB">
        <w:rPr>
          <w:b/>
          <w:sz w:val="28"/>
          <w:szCs w:val="28"/>
        </w:rPr>
        <w:t xml:space="preserve"> </w:t>
      </w:r>
      <w:r w:rsidR="001F10EB">
        <w:rPr>
          <w:sz w:val="24"/>
          <w:szCs w:val="24"/>
        </w:rPr>
        <w:t xml:space="preserve">the </w:t>
      </w:r>
      <w:r w:rsidR="00932669">
        <w:rPr>
          <w:sz w:val="24"/>
          <w:szCs w:val="24"/>
        </w:rPr>
        <w:t xml:space="preserve">OEIS and the CPUC.  I do not reference questions from the workshops and I don’t reference specific items in these two drafts, because I am concerned </w:t>
      </w:r>
      <w:r w:rsidR="001F10EB">
        <w:rPr>
          <w:sz w:val="24"/>
          <w:szCs w:val="24"/>
        </w:rPr>
        <w:t xml:space="preserve">mostly </w:t>
      </w:r>
      <w:r w:rsidR="00932669">
        <w:rPr>
          <w:sz w:val="24"/>
          <w:szCs w:val="24"/>
        </w:rPr>
        <w:t>with</w:t>
      </w:r>
      <w:r w:rsidR="001F10EB">
        <w:rPr>
          <w:sz w:val="24"/>
          <w:szCs w:val="24"/>
        </w:rPr>
        <w:t xml:space="preserve"> an issue that is</w:t>
      </w:r>
      <w:r w:rsidR="00932669">
        <w:rPr>
          <w:sz w:val="24"/>
          <w:szCs w:val="24"/>
        </w:rPr>
        <w:t xml:space="preserve"> inadequa</w:t>
      </w:r>
      <w:r w:rsidR="001F10EB">
        <w:rPr>
          <w:sz w:val="24"/>
          <w:szCs w:val="24"/>
        </w:rPr>
        <w:t>tely treated</w:t>
      </w:r>
      <w:r w:rsidR="00932669">
        <w:rPr>
          <w:sz w:val="24"/>
          <w:szCs w:val="24"/>
        </w:rPr>
        <w:t xml:space="preserve">. </w:t>
      </w:r>
      <w:r w:rsidR="00A61E8E">
        <w:rPr>
          <w:sz w:val="24"/>
          <w:szCs w:val="24"/>
        </w:rPr>
        <w:t xml:space="preserve"> </w:t>
      </w:r>
      <w:r w:rsidR="00A61E8E" w:rsidRPr="00AA3A43">
        <w:rPr>
          <w:sz w:val="24"/>
          <w:szCs w:val="24"/>
          <w:u w:val="single"/>
        </w:rPr>
        <w:t>I’ll comment mainly on the time period o</w:t>
      </w:r>
      <w:r w:rsidR="001F10EB" w:rsidRPr="00AA3A43">
        <w:rPr>
          <w:sz w:val="24"/>
          <w:szCs w:val="24"/>
          <w:u w:val="single"/>
        </w:rPr>
        <w:t>f analysis needed</w:t>
      </w:r>
      <w:r w:rsidR="001F10EB">
        <w:rPr>
          <w:sz w:val="24"/>
          <w:szCs w:val="24"/>
        </w:rPr>
        <w:t xml:space="preserve"> to capture the</w:t>
      </w:r>
      <w:r w:rsidR="00A61E8E">
        <w:rPr>
          <w:sz w:val="24"/>
          <w:szCs w:val="24"/>
        </w:rPr>
        <w:t xml:space="preserve"> benefits and costs o</w:t>
      </w:r>
      <w:r w:rsidR="00261FF3">
        <w:rPr>
          <w:sz w:val="24"/>
          <w:szCs w:val="24"/>
        </w:rPr>
        <w:t>f undergrounding and otherwise hardening distribution circuits.  Then, I’ll touch</w:t>
      </w:r>
      <w:r w:rsidR="00A61E8E">
        <w:rPr>
          <w:sz w:val="24"/>
          <w:szCs w:val="24"/>
        </w:rPr>
        <w:t xml:space="preserve"> on Spatial Lumping of projects and Metrics to be used in </w:t>
      </w:r>
      <w:r w:rsidR="004A615F">
        <w:rPr>
          <w:sz w:val="24"/>
          <w:szCs w:val="24"/>
        </w:rPr>
        <w:t xml:space="preserve">economic evaluation. </w:t>
      </w:r>
    </w:p>
    <w:p w:rsidR="004A615F" w:rsidRPr="00932669" w:rsidRDefault="004A615F" w:rsidP="00EA1B44">
      <w:pPr>
        <w:spacing w:line="240" w:lineRule="auto"/>
        <w:rPr>
          <w:sz w:val="24"/>
          <w:szCs w:val="24"/>
        </w:rPr>
      </w:pPr>
    </w:p>
    <w:p w:rsidR="005C47AD" w:rsidRPr="00231B2A" w:rsidRDefault="007674E9" w:rsidP="00B34E5F">
      <w:pPr>
        <w:spacing w:line="276" w:lineRule="auto"/>
        <w:rPr>
          <w:sz w:val="24"/>
          <w:szCs w:val="24"/>
          <w:u w:val="single"/>
        </w:rPr>
      </w:pPr>
      <w:r>
        <w:rPr>
          <w:sz w:val="24"/>
          <w:szCs w:val="24"/>
          <w:u w:val="single"/>
        </w:rPr>
        <w:t xml:space="preserve">A. </w:t>
      </w:r>
      <w:r w:rsidR="005C47AD" w:rsidRPr="00231B2A">
        <w:rPr>
          <w:sz w:val="24"/>
          <w:szCs w:val="24"/>
          <w:u w:val="single"/>
        </w:rPr>
        <w:t>Time Period of Analysis</w:t>
      </w:r>
    </w:p>
    <w:p w:rsidR="004954A6" w:rsidRPr="00772260" w:rsidRDefault="00BB51D1" w:rsidP="00B34E5F">
      <w:pPr>
        <w:spacing w:line="276" w:lineRule="auto"/>
        <w:rPr>
          <w:sz w:val="24"/>
          <w:u w:val="single"/>
        </w:rPr>
      </w:pPr>
      <w:r w:rsidRPr="00C67BE6">
        <w:rPr>
          <w:sz w:val="24"/>
        </w:rPr>
        <w:t xml:space="preserve">   </w:t>
      </w:r>
      <w:r w:rsidR="00EA1B44" w:rsidRPr="00231B2A">
        <w:rPr>
          <w:sz w:val="24"/>
          <w:u w:val="single"/>
        </w:rPr>
        <w:t xml:space="preserve">SB 884 requires two quite different types of cost </w:t>
      </w:r>
      <w:r w:rsidR="00EA1B44" w:rsidRPr="00772260">
        <w:rPr>
          <w:sz w:val="24"/>
          <w:u w:val="single"/>
        </w:rPr>
        <w:t>analysis and bot</w:t>
      </w:r>
      <w:r w:rsidR="00932A2B" w:rsidRPr="00772260">
        <w:rPr>
          <w:sz w:val="24"/>
          <w:u w:val="single"/>
        </w:rPr>
        <w:t>h agencies fail to provide  guidelines for both of</w:t>
      </w:r>
      <w:r w:rsidR="00772260">
        <w:rPr>
          <w:sz w:val="24"/>
          <w:u w:val="single"/>
        </w:rPr>
        <w:t xml:space="preserve"> these</w:t>
      </w:r>
      <w:r w:rsidR="00EA1B44" w:rsidRPr="00772260">
        <w:rPr>
          <w:sz w:val="24"/>
          <w:u w:val="single"/>
        </w:rPr>
        <w:t xml:space="preserve"> methods.  </w:t>
      </w:r>
    </w:p>
    <w:p w:rsidR="00136DA6" w:rsidRPr="00835583" w:rsidRDefault="00C67BE6" w:rsidP="00B34E5F">
      <w:pPr>
        <w:spacing w:line="276" w:lineRule="auto"/>
        <w:rPr>
          <w:sz w:val="24"/>
          <w:u w:val="single"/>
        </w:rPr>
      </w:pPr>
      <w:r>
        <w:rPr>
          <w:sz w:val="24"/>
        </w:rPr>
        <w:t xml:space="preserve">   </w:t>
      </w:r>
      <w:r w:rsidR="004954A6">
        <w:rPr>
          <w:sz w:val="24"/>
        </w:rPr>
        <w:t xml:space="preserve">1. </w:t>
      </w:r>
      <w:r w:rsidR="00EA1B44" w:rsidRPr="00231B2A">
        <w:rPr>
          <w:sz w:val="24"/>
        </w:rPr>
        <w:t xml:space="preserve">The </w:t>
      </w:r>
      <w:r w:rsidR="00932A2B">
        <w:rPr>
          <w:sz w:val="24"/>
        </w:rPr>
        <w:t xml:space="preserve">PU Code sec. </w:t>
      </w:r>
      <w:r w:rsidR="00EA1B44" w:rsidRPr="00231B2A">
        <w:rPr>
          <w:sz w:val="24"/>
        </w:rPr>
        <w:t>8388.5(c)(4) cost and risk reduction analysis is for “the duration of the plan” which will probably be for 10 years.</w:t>
      </w:r>
      <w:r w:rsidR="00E35B6F">
        <w:rPr>
          <w:sz w:val="24"/>
        </w:rPr>
        <w:t xml:space="preserve">  This seems to be</w:t>
      </w:r>
      <w:r w:rsidR="004954A6">
        <w:rPr>
          <w:sz w:val="24"/>
        </w:rPr>
        <w:t xml:space="preserve"> conceived as</w:t>
      </w:r>
      <w:r w:rsidR="00E35B6F">
        <w:rPr>
          <w:sz w:val="24"/>
        </w:rPr>
        <w:t xml:space="preserve"> an </w:t>
      </w:r>
      <w:r w:rsidR="00E35B6F" w:rsidRPr="00136DA6">
        <w:rPr>
          <w:sz w:val="24"/>
          <w:u w:val="single"/>
        </w:rPr>
        <w:t>engineering</w:t>
      </w:r>
      <w:r w:rsidR="004954A6" w:rsidRPr="00136DA6">
        <w:rPr>
          <w:sz w:val="24"/>
          <w:u w:val="single"/>
        </w:rPr>
        <w:t xml:space="preserve"> analysis,</w:t>
      </w:r>
      <w:r w:rsidR="004954A6">
        <w:rPr>
          <w:sz w:val="24"/>
        </w:rPr>
        <w:t xml:space="preserve"> which is not appropriate for the examination of long-term costs from wildfires and other changes to the environment.</w:t>
      </w:r>
      <w:r w:rsidR="00EA1B44" w:rsidRPr="00231B2A">
        <w:rPr>
          <w:sz w:val="24"/>
        </w:rPr>
        <w:t xml:space="preserve">  </w:t>
      </w:r>
      <w:r w:rsidR="00136DA6">
        <w:rPr>
          <w:sz w:val="24"/>
        </w:rPr>
        <w:t>Using circuit-level and segment-level risk factors derived from models based primarily on long-term estimates of wildfire ignitions attempts to include those long-range impacts</w:t>
      </w:r>
      <w:r w:rsidR="008871E8">
        <w:rPr>
          <w:sz w:val="24"/>
        </w:rPr>
        <w:t xml:space="preserve">, but suffers from narrow focus on this one type of impact.  That is the mindset of an engineering analysis.  </w:t>
      </w:r>
      <w:r w:rsidR="00934562" w:rsidRPr="00835583">
        <w:rPr>
          <w:sz w:val="24"/>
          <w:u w:val="single"/>
        </w:rPr>
        <w:t>The</w:t>
      </w:r>
      <w:r w:rsidR="00772260">
        <w:rPr>
          <w:sz w:val="24"/>
          <w:u w:val="single"/>
        </w:rPr>
        <w:t>se</w:t>
      </w:r>
      <w:r w:rsidR="00934562" w:rsidRPr="00835583">
        <w:rPr>
          <w:sz w:val="24"/>
          <w:u w:val="single"/>
        </w:rPr>
        <w:t xml:space="preserve"> proposed methods are not</w:t>
      </w:r>
      <w:r w:rsidR="008871E8" w:rsidRPr="00835583">
        <w:rPr>
          <w:sz w:val="24"/>
          <w:u w:val="single"/>
        </w:rPr>
        <w:t xml:space="preserve"> appropriate for evaluating long-term impacts</w:t>
      </w:r>
      <w:r w:rsidR="00835583" w:rsidRPr="00835583">
        <w:rPr>
          <w:sz w:val="24"/>
          <w:u w:val="single"/>
        </w:rPr>
        <w:t>, but are appropriate for prioritizing  projects by degree of wildfire risk reduction</w:t>
      </w:r>
      <w:r w:rsidR="008871E8" w:rsidRPr="00835583">
        <w:rPr>
          <w:sz w:val="24"/>
          <w:u w:val="single"/>
        </w:rPr>
        <w:t xml:space="preserve">.  </w:t>
      </w:r>
      <w:r w:rsidR="00136DA6" w:rsidRPr="00835583">
        <w:rPr>
          <w:sz w:val="24"/>
          <w:u w:val="single"/>
        </w:rPr>
        <w:t xml:space="preserve"> </w:t>
      </w:r>
    </w:p>
    <w:p w:rsidR="00EA1B44" w:rsidRPr="00231B2A" w:rsidRDefault="00C67BE6" w:rsidP="00B34E5F">
      <w:pPr>
        <w:spacing w:line="276" w:lineRule="auto"/>
        <w:rPr>
          <w:sz w:val="24"/>
        </w:rPr>
      </w:pPr>
      <w:r>
        <w:rPr>
          <w:sz w:val="24"/>
        </w:rPr>
        <w:t xml:space="preserve">   </w:t>
      </w:r>
      <w:r w:rsidR="00136DA6">
        <w:rPr>
          <w:sz w:val="24"/>
        </w:rPr>
        <w:t xml:space="preserve">2. </w:t>
      </w:r>
      <w:r w:rsidR="00EA1B44" w:rsidRPr="00932A2B">
        <w:rPr>
          <w:sz w:val="24"/>
          <w:u w:val="single"/>
        </w:rPr>
        <w:t>Sec. 8388.5(c)(6), however, requires a quite different type of analysis of costs and benefits “over the life of</w:t>
      </w:r>
      <w:r w:rsidR="008871E8">
        <w:rPr>
          <w:sz w:val="24"/>
          <w:u w:val="single"/>
        </w:rPr>
        <w:t xml:space="preserve"> the assets,” which will be 40-8</w:t>
      </w:r>
      <w:r w:rsidR="00EA1B44" w:rsidRPr="00932A2B">
        <w:rPr>
          <w:sz w:val="24"/>
          <w:u w:val="single"/>
        </w:rPr>
        <w:t>0 years normally.</w:t>
      </w:r>
      <w:r w:rsidR="00EA1B44" w:rsidRPr="00231B2A">
        <w:rPr>
          <w:sz w:val="24"/>
        </w:rPr>
        <w:t xml:space="preserve">  </w:t>
      </w:r>
      <w:r w:rsidR="008871E8">
        <w:rPr>
          <w:sz w:val="24"/>
        </w:rPr>
        <w:t xml:space="preserve">PG&amp;E runs a lot of equipment older than 50 years.  </w:t>
      </w:r>
      <w:r w:rsidR="00EA1B44" w:rsidRPr="00231B2A">
        <w:rPr>
          <w:sz w:val="24"/>
        </w:rPr>
        <w:t>Benefits here are not limited with any definition and so this</w:t>
      </w:r>
      <w:r w:rsidR="00590E07">
        <w:rPr>
          <w:sz w:val="24"/>
        </w:rPr>
        <w:t xml:space="preserve"> brief paragraph</w:t>
      </w:r>
      <w:r w:rsidR="00EA1B44" w:rsidRPr="00231B2A">
        <w:rPr>
          <w:sz w:val="24"/>
        </w:rPr>
        <w:t xml:space="preserve"> seems to mean the sort of </w:t>
      </w:r>
      <w:r w:rsidR="00EA1B44" w:rsidRPr="00136DA6">
        <w:rPr>
          <w:sz w:val="24"/>
          <w:u w:val="single"/>
        </w:rPr>
        <w:t>benefit-cost analysis</w:t>
      </w:r>
      <w:r w:rsidR="00EA1B44" w:rsidRPr="00231B2A">
        <w:rPr>
          <w:sz w:val="24"/>
        </w:rPr>
        <w:t xml:space="preserve"> required b</w:t>
      </w:r>
      <w:r w:rsidR="00590E07">
        <w:rPr>
          <w:sz w:val="24"/>
        </w:rPr>
        <w:t>y CPUC Decision 22-12-027 which</w:t>
      </w:r>
      <w:r w:rsidR="00480150">
        <w:rPr>
          <w:sz w:val="24"/>
        </w:rPr>
        <w:t xml:space="preserve"> require</w:t>
      </w:r>
      <w:r w:rsidR="00590E07">
        <w:rPr>
          <w:sz w:val="24"/>
        </w:rPr>
        <w:t>s</w:t>
      </w:r>
      <w:r w:rsidR="00EA1B44" w:rsidRPr="00231B2A">
        <w:rPr>
          <w:sz w:val="24"/>
        </w:rPr>
        <w:t xml:space="preserve"> a broad analysis of all costs and benefits in all relevant time periods in CPUC proceedings.  </w:t>
      </w:r>
      <w:r w:rsidR="00480150">
        <w:rPr>
          <w:sz w:val="24"/>
        </w:rPr>
        <w:t>Many details are omitted in this Decision, but the method is labelled cost-benefit analysis,</w:t>
      </w:r>
      <w:r w:rsidR="00D63DBB">
        <w:rPr>
          <w:sz w:val="24"/>
        </w:rPr>
        <w:t xml:space="preserve"> which is a well-defined method</w:t>
      </w:r>
      <w:r w:rsidR="00480150">
        <w:rPr>
          <w:sz w:val="24"/>
        </w:rPr>
        <w:t xml:space="preserve"> used worldwide.  </w:t>
      </w:r>
      <w:r w:rsidR="00590E07">
        <w:rPr>
          <w:sz w:val="24"/>
        </w:rPr>
        <w:t xml:space="preserve">OEIS should also fulfill the (c)(6) requirement in this way.  </w:t>
      </w:r>
      <w:r w:rsidR="00D63DBB">
        <w:rPr>
          <w:sz w:val="24"/>
        </w:rPr>
        <w:t>Both agencies should us</w:t>
      </w:r>
      <w:r w:rsidR="00E35B6F">
        <w:rPr>
          <w:sz w:val="24"/>
        </w:rPr>
        <w:t xml:space="preserve">e </w:t>
      </w:r>
      <w:r w:rsidR="00590E07">
        <w:rPr>
          <w:sz w:val="24"/>
        </w:rPr>
        <w:t xml:space="preserve">identical </w:t>
      </w:r>
      <w:r w:rsidR="00C502F2">
        <w:rPr>
          <w:sz w:val="24"/>
        </w:rPr>
        <w:t>cost-benefit techniques</w:t>
      </w:r>
      <w:r w:rsidR="00E35B6F">
        <w:rPr>
          <w:sz w:val="24"/>
        </w:rPr>
        <w:t xml:space="preserve"> for their (c)(6) evaluations</w:t>
      </w:r>
      <w:r w:rsidR="00D63DBB">
        <w:rPr>
          <w:sz w:val="24"/>
        </w:rPr>
        <w:t>, to make the</w:t>
      </w:r>
      <w:r w:rsidR="00E35B6F">
        <w:rPr>
          <w:sz w:val="24"/>
        </w:rPr>
        <w:t xml:space="preserve">ir studies and decisions comparable.  </w:t>
      </w:r>
    </w:p>
    <w:p w:rsidR="00C3056C" w:rsidRPr="00BB64D0" w:rsidRDefault="00BB51D1" w:rsidP="00B34E5F">
      <w:pPr>
        <w:spacing w:line="276" w:lineRule="auto"/>
        <w:rPr>
          <w:sz w:val="24"/>
          <w:u w:val="single"/>
        </w:rPr>
      </w:pPr>
      <w:r w:rsidRPr="00D63DBB">
        <w:rPr>
          <w:sz w:val="24"/>
        </w:rPr>
        <w:lastRenderedPageBreak/>
        <w:t xml:space="preserve">   </w:t>
      </w:r>
      <w:r w:rsidR="00D2009D">
        <w:rPr>
          <w:sz w:val="24"/>
          <w:u w:val="single"/>
        </w:rPr>
        <w:t>I want</w:t>
      </w:r>
      <w:r w:rsidR="00C3056C" w:rsidRPr="00231B2A">
        <w:rPr>
          <w:sz w:val="24"/>
          <w:u w:val="single"/>
        </w:rPr>
        <w:t xml:space="preserve"> to emphasize the (c)(6) analysis, because it is barely mentioned in the agency staff proposals.  </w:t>
      </w:r>
      <w:r w:rsidR="00C3056C" w:rsidRPr="00231B2A">
        <w:rPr>
          <w:sz w:val="24"/>
        </w:rPr>
        <w:t>It requires not only the longer time</w:t>
      </w:r>
      <w:r w:rsidR="00D2009D">
        <w:rPr>
          <w:sz w:val="24"/>
        </w:rPr>
        <w:t xml:space="preserve"> period</w:t>
      </w:r>
      <w:r w:rsidR="00C3056C" w:rsidRPr="00231B2A">
        <w:rPr>
          <w:sz w:val="24"/>
        </w:rPr>
        <w:t>, but also, as a be</w:t>
      </w:r>
      <w:r w:rsidR="00D2009D">
        <w:rPr>
          <w:sz w:val="24"/>
        </w:rPr>
        <w:t>nefit-cost analysis will project the probable numbers of</w:t>
      </w:r>
      <w:r w:rsidR="00C3056C" w:rsidRPr="00231B2A">
        <w:rPr>
          <w:sz w:val="24"/>
        </w:rPr>
        <w:t xml:space="preserve"> wildfires and estimate their costs in future years and then discount all data to the base year in the normal fashion for this type of analysis.  This is  different than the (c)(4) cost analysis that will use circuit-based risk coefficients derived from the utility’s </w:t>
      </w:r>
      <w:r w:rsidR="002C7676">
        <w:rPr>
          <w:sz w:val="24"/>
        </w:rPr>
        <w:t xml:space="preserve">wildfire </w:t>
      </w:r>
      <w:r w:rsidR="00C3056C" w:rsidRPr="00231B2A">
        <w:rPr>
          <w:sz w:val="24"/>
        </w:rPr>
        <w:t>risk model, itself estimated from such data but possibly inaccurately.  Benefit-cost analysis uses these same predicted events that the risk model is estimated on, but directly in a fashion the reader can follow.  This is a much-more transparent method and so easier to verify and easier for the pubic to understand. And it moves the utilities towar</w:t>
      </w:r>
      <w:r w:rsidR="002C7676">
        <w:rPr>
          <w:sz w:val="24"/>
        </w:rPr>
        <w:t>d the D.22-12-027 process now required at the CPUC</w:t>
      </w:r>
      <w:r w:rsidR="00835583">
        <w:rPr>
          <w:sz w:val="24"/>
        </w:rPr>
        <w:t xml:space="preserve">.  </w:t>
      </w:r>
      <w:r w:rsidR="00835583" w:rsidRPr="00BB64D0">
        <w:rPr>
          <w:sz w:val="24"/>
          <w:u w:val="single"/>
        </w:rPr>
        <w:t xml:space="preserve">This benefit-cost analysis method is appropriate for determining if the Plan is cost-effective overall and for determining if Alternatives are more cost-effective </w:t>
      </w:r>
      <w:r w:rsidR="00BB64D0" w:rsidRPr="00BB64D0">
        <w:rPr>
          <w:sz w:val="24"/>
          <w:u w:val="single"/>
        </w:rPr>
        <w:t xml:space="preserve">than the proposed projects, at the project level and at the plan level.  </w:t>
      </w:r>
      <w:r w:rsidR="00C3056C" w:rsidRPr="00BB64D0">
        <w:rPr>
          <w:sz w:val="24"/>
          <w:u w:val="single"/>
        </w:rPr>
        <w:t xml:space="preserve"> </w:t>
      </w:r>
    </w:p>
    <w:p w:rsidR="00C3056C" w:rsidRPr="00231B2A" w:rsidRDefault="00BB51D1" w:rsidP="00B34E5F">
      <w:pPr>
        <w:spacing w:line="276" w:lineRule="auto"/>
        <w:rPr>
          <w:sz w:val="24"/>
        </w:rPr>
      </w:pPr>
      <w:r>
        <w:rPr>
          <w:sz w:val="24"/>
        </w:rPr>
        <w:t xml:space="preserve">   </w:t>
      </w:r>
      <w:r w:rsidR="00C3056C" w:rsidRPr="00231B2A">
        <w:rPr>
          <w:sz w:val="24"/>
        </w:rPr>
        <w:t>Benefit-cost analysis literature</w:t>
      </w:r>
      <w:r w:rsidR="002C7676">
        <w:rPr>
          <w:sz w:val="24"/>
        </w:rPr>
        <w:t xml:space="preserve"> and Federal agency manuals agree</w:t>
      </w:r>
      <w:r w:rsidR="00C3056C" w:rsidRPr="00231B2A">
        <w:rPr>
          <w:sz w:val="24"/>
        </w:rPr>
        <w:t xml:space="preserve"> that you look at all costs and all benefits for as long as they occur.  Market and non-market costs and benefits of all changes in goods and services must be included.  Services includes enj</w:t>
      </w:r>
      <w:r w:rsidR="00EA17DD">
        <w:rPr>
          <w:sz w:val="24"/>
        </w:rPr>
        <w:t>oyment of nature and other hard-to-</w:t>
      </w:r>
      <w:r w:rsidR="00C3056C" w:rsidRPr="00231B2A">
        <w:rPr>
          <w:sz w:val="24"/>
        </w:rPr>
        <w:t>quantify qualitative experiences.  Beyo</w:t>
      </w:r>
      <w:r w:rsidR="00BB64D0">
        <w:rPr>
          <w:sz w:val="24"/>
        </w:rPr>
        <w:t>nd about 50 years, results are</w:t>
      </w:r>
      <w:r w:rsidR="00C3056C" w:rsidRPr="00231B2A">
        <w:rPr>
          <w:sz w:val="24"/>
        </w:rPr>
        <w:t xml:space="preserve"> usually not affected by using a longer time period,</w:t>
      </w:r>
      <w:r w:rsidR="00EA17DD">
        <w:rPr>
          <w:sz w:val="24"/>
        </w:rPr>
        <w:t xml:space="preserve"> due to discounting,</w:t>
      </w:r>
      <w:r w:rsidR="00C3056C" w:rsidRPr="00231B2A">
        <w:rPr>
          <w:sz w:val="24"/>
        </w:rPr>
        <w:t xml:space="preserve"> but that should be tes</w:t>
      </w:r>
      <w:r w:rsidR="00EA17DD">
        <w:rPr>
          <w:sz w:val="24"/>
        </w:rPr>
        <w:t>ted.  Also, discounting doesn’t apply logically to lives lost</w:t>
      </w:r>
      <w:r w:rsidR="00BB64D0">
        <w:rPr>
          <w:sz w:val="24"/>
        </w:rPr>
        <w:t>, damage to forests, and other changes</w:t>
      </w:r>
      <w:r w:rsidR="00EA17DD">
        <w:rPr>
          <w:sz w:val="24"/>
        </w:rPr>
        <w:t xml:space="preserve"> and so some sort of totaling over longer time periods is helpful</w:t>
      </w:r>
      <w:r w:rsidR="00BB64D0">
        <w:rPr>
          <w:sz w:val="24"/>
        </w:rPr>
        <w:t xml:space="preserve"> here</w:t>
      </w:r>
      <w:r w:rsidR="00EA17DD">
        <w:rPr>
          <w:sz w:val="24"/>
        </w:rPr>
        <w:t xml:space="preserve">.  </w:t>
      </w:r>
    </w:p>
    <w:p w:rsidR="00BF5080" w:rsidRDefault="00BB51D1" w:rsidP="00B34E5F">
      <w:pPr>
        <w:spacing w:line="276" w:lineRule="auto"/>
        <w:rPr>
          <w:sz w:val="24"/>
        </w:rPr>
      </w:pPr>
      <w:r>
        <w:rPr>
          <w:sz w:val="24"/>
        </w:rPr>
        <w:t xml:space="preserve">   </w:t>
      </w:r>
      <w:r w:rsidR="00C3056C" w:rsidRPr="00231B2A">
        <w:rPr>
          <w:sz w:val="24"/>
        </w:rPr>
        <w:t>Decision</w:t>
      </w:r>
      <w:r w:rsidR="00EA17DD">
        <w:rPr>
          <w:sz w:val="24"/>
        </w:rPr>
        <w:t xml:space="preserve"> 22-12-027</w:t>
      </w:r>
      <w:r w:rsidR="00C3056C" w:rsidRPr="00231B2A">
        <w:rPr>
          <w:sz w:val="24"/>
        </w:rPr>
        <w:t xml:space="preserve"> does not address time period of analysis, but requires the use of the LBL ICE calculation tool (on a web site).  The ICE tool caps some inputs at 40 years, implying that the analysis should be likewise capped there.  Capping a </w:t>
      </w:r>
      <w:r w:rsidR="00BB64D0">
        <w:rPr>
          <w:sz w:val="24"/>
        </w:rPr>
        <w:t xml:space="preserve">wildfire </w:t>
      </w:r>
      <w:r w:rsidR="00C3056C" w:rsidRPr="00231B2A">
        <w:rPr>
          <w:sz w:val="24"/>
        </w:rPr>
        <w:t>risk analysis at 40 years</w:t>
      </w:r>
      <w:r w:rsidR="00BF5080">
        <w:rPr>
          <w:sz w:val="24"/>
        </w:rPr>
        <w:t>, however, stops the counting of future</w:t>
      </w:r>
      <w:r w:rsidR="00C3056C" w:rsidRPr="00231B2A">
        <w:rPr>
          <w:sz w:val="24"/>
        </w:rPr>
        <w:t xml:space="preserve"> wildfire starts while undergrounding is still </w:t>
      </w:r>
      <w:r w:rsidR="00EC363C">
        <w:rPr>
          <w:sz w:val="24"/>
        </w:rPr>
        <w:t xml:space="preserve">likely </w:t>
      </w:r>
      <w:r w:rsidR="00C3056C" w:rsidRPr="00231B2A">
        <w:rPr>
          <w:sz w:val="24"/>
        </w:rPr>
        <w:t>being done</w:t>
      </w:r>
      <w:r w:rsidR="00BF5080">
        <w:rPr>
          <w:sz w:val="24"/>
        </w:rPr>
        <w:t>.  The use of a 50-year period would be better.</w:t>
      </w:r>
    </w:p>
    <w:p w:rsidR="00C3056C" w:rsidRPr="00231B2A" w:rsidRDefault="00043497" w:rsidP="00B34E5F">
      <w:pPr>
        <w:spacing w:line="276" w:lineRule="auto"/>
        <w:rPr>
          <w:sz w:val="24"/>
        </w:rPr>
      </w:pPr>
      <w:r w:rsidRPr="00043497">
        <w:rPr>
          <w:sz w:val="24"/>
        </w:rPr>
        <w:t xml:space="preserve">   </w:t>
      </w:r>
      <w:r>
        <w:rPr>
          <w:sz w:val="24"/>
          <w:u w:val="single"/>
        </w:rPr>
        <w:t>The</w:t>
      </w:r>
      <w:r w:rsidR="00D841F4">
        <w:rPr>
          <w:sz w:val="24"/>
          <w:u w:val="single"/>
        </w:rPr>
        <w:t xml:space="preserve"> staff proposals almost entirely discuss the</w:t>
      </w:r>
      <w:r>
        <w:rPr>
          <w:sz w:val="24"/>
          <w:u w:val="single"/>
        </w:rPr>
        <w:t xml:space="preserve"> (c)(4)</w:t>
      </w:r>
      <w:r w:rsidR="00D841F4">
        <w:rPr>
          <w:sz w:val="24"/>
          <w:u w:val="single"/>
        </w:rPr>
        <w:t xml:space="preserve"> process.  This</w:t>
      </w:r>
      <w:r w:rsidR="00C3056C" w:rsidRPr="00231B2A">
        <w:rPr>
          <w:sz w:val="24"/>
          <w:u w:val="single"/>
        </w:rPr>
        <w:t xml:space="preserve"> analysis is limited to the “duration of the plan”, which will be 10 yrs or less.</w:t>
      </w:r>
      <w:r w:rsidR="00C3056C" w:rsidRPr="00231B2A">
        <w:rPr>
          <w:sz w:val="24"/>
        </w:rPr>
        <w:t xml:space="preserve">  </w:t>
      </w:r>
      <w:r>
        <w:rPr>
          <w:sz w:val="24"/>
        </w:rPr>
        <w:t xml:space="preserve">This short-term engineering analysis is adequate for the (c)(4) project cost analysis only if the (c)(6) analysis is also done.  </w:t>
      </w:r>
      <w:r w:rsidR="001E79BA">
        <w:rPr>
          <w:sz w:val="24"/>
        </w:rPr>
        <w:t>T</w:t>
      </w:r>
      <w:r w:rsidR="00C3056C" w:rsidRPr="00231B2A">
        <w:rPr>
          <w:sz w:val="24"/>
        </w:rPr>
        <w:t>he largest cost affected by undergrounding and alternatives like insulating distribution lines (</w:t>
      </w:r>
      <w:r w:rsidR="001E79BA">
        <w:rPr>
          <w:sz w:val="24"/>
        </w:rPr>
        <w:t>“</w:t>
      </w:r>
      <w:r w:rsidR="00C3056C" w:rsidRPr="00231B2A">
        <w:rPr>
          <w:sz w:val="24"/>
        </w:rPr>
        <w:t>covered conductor</w:t>
      </w:r>
      <w:r w:rsidR="001E79BA">
        <w:rPr>
          <w:sz w:val="24"/>
        </w:rPr>
        <w:t>”</w:t>
      </w:r>
      <w:r w:rsidR="00C3056C" w:rsidRPr="00231B2A">
        <w:rPr>
          <w:sz w:val="24"/>
        </w:rPr>
        <w:t>) will be</w:t>
      </w:r>
      <w:r w:rsidR="001E79BA">
        <w:rPr>
          <w:sz w:val="24"/>
        </w:rPr>
        <w:t xml:space="preserve"> the number of wildfire ignitions in the utility’s territory caused by utility e</w:t>
      </w:r>
      <w:r w:rsidR="00C3056C" w:rsidRPr="00231B2A">
        <w:rPr>
          <w:sz w:val="24"/>
        </w:rPr>
        <w:t>quipment.  For example, in PG&amp;E’s territory, there has been a large wildfire every 2-5 years in the last 15 years, usually caused by their ancient and under-maintained equipment. Also, their outdat</w:t>
      </w:r>
      <w:r w:rsidR="00EC363C">
        <w:rPr>
          <w:sz w:val="24"/>
        </w:rPr>
        <w:t xml:space="preserve">ed circuit breaker technology which cannot locate a line break or other equipment failure.  </w:t>
      </w:r>
      <w:r w:rsidR="00C3056C" w:rsidRPr="00231B2A">
        <w:rPr>
          <w:sz w:val="24"/>
        </w:rPr>
        <w:t xml:space="preserve">These large wildfires have costs in the $10-30 billion range </w:t>
      </w:r>
      <w:r w:rsidR="00C3056C" w:rsidRPr="00231B2A">
        <w:rPr>
          <w:sz w:val="24"/>
          <w:u w:val="single"/>
        </w:rPr>
        <w:t xml:space="preserve">each </w:t>
      </w:r>
      <w:r w:rsidR="00C3056C" w:rsidRPr="00231B2A">
        <w:rPr>
          <w:sz w:val="24"/>
        </w:rPr>
        <w:t xml:space="preserve">and so </w:t>
      </w:r>
      <w:r w:rsidR="00D841F4">
        <w:rPr>
          <w:sz w:val="24"/>
        </w:rPr>
        <w:t>will dwarf all other costs in the (c)(6)</w:t>
      </w:r>
      <w:r w:rsidR="00C3056C" w:rsidRPr="00231B2A">
        <w:rPr>
          <w:sz w:val="24"/>
        </w:rPr>
        <w:t xml:space="preserve"> analyses.  Some of the wildfire costs are not paid by the utilities, but they</w:t>
      </w:r>
      <w:r w:rsidR="00D841F4">
        <w:rPr>
          <w:sz w:val="24"/>
        </w:rPr>
        <w:t xml:space="preserve"> are still costs in a public </w:t>
      </w:r>
      <w:r w:rsidR="00EC363C">
        <w:rPr>
          <w:sz w:val="24"/>
        </w:rPr>
        <w:t>benefit-cost</w:t>
      </w:r>
      <w:r w:rsidR="00C3056C" w:rsidRPr="00231B2A">
        <w:rPr>
          <w:sz w:val="24"/>
        </w:rPr>
        <w:t xml:space="preserve"> analysis.  </w:t>
      </w:r>
    </w:p>
    <w:p w:rsidR="004259D1" w:rsidRPr="00231B2A" w:rsidRDefault="00BB51D1" w:rsidP="00B34E5F">
      <w:pPr>
        <w:spacing w:line="276" w:lineRule="auto"/>
        <w:rPr>
          <w:sz w:val="24"/>
        </w:rPr>
      </w:pPr>
      <w:r>
        <w:rPr>
          <w:sz w:val="24"/>
        </w:rPr>
        <w:t xml:space="preserve">   </w:t>
      </w:r>
      <w:r w:rsidR="006C1C88">
        <w:rPr>
          <w:sz w:val="24"/>
        </w:rPr>
        <w:t>Here are illustrative calculations</w:t>
      </w:r>
      <w:r w:rsidR="003A74ED">
        <w:rPr>
          <w:sz w:val="24"/>
        </w:rPr>
        <w:t xml:space="preserve">.  </w:t>
      </w:r>
      <w:r w:rsidR="004259D1" w:rsidRPr="00231B2A">
        <w:rPr>
          <w:sz w:val="24"/>
        </w:rPr>
        <w:t>One would expect large differences in future wildfire costs between (1) undergrounding, (2) insulation, and (3) networked computerized breaker systems.  Undergrounding has</w:t>
      </w:r>
      <w:r w:rsidR="005C404F">
        <w:rPr>
          <w:sz w:val="24"/>
        </w:rPr>
        <w:t xml:space="preserve"> a potential effectiveness of 100</w:t>
      </w:r>
      <w:r w:rsidR="004259D1" w:rsidRPr="00231B2A">
        <w:rPr>
          <w:sz w:val="24"/>
        </w:rPr>
        <w:t>%, triple ins</w:t>
      </w:r>
      <w:r w:rsidR="003A74ED">
        <w:rPr>
          <w:sz w:val="24"/>
        </w:rPr>
        <w:t>ulation around 70%, and</w:t>
      </w:r>
      <w:r w:rsidR="004259D1" w:rsidRPr="00231B2A">
        <w:rPr>
          <w:sz w:val="24"/>
        </w:rPr>
        <w:t xml:space="preserve"> </w:t>
      </w:r>
      <w:r w:rsidR="003A74ED">
        <w:rPr>
          <w:sz w:val="24"/>
        </w:rPr>
        <w:t>networked breaker systems 50-70% by themselves</w:t>
      </w:r>
      <w:r w:rsidR="004259D1" w:rsidRPr="00231B2A">
        <w:rPr>
          <w:sz w:val="24"/>
        </w:rPr>
        <w:t xml:space="preserve"> an</w:t>
      </w:r>
      <w:r w:rsidR="005C404F">
        <w:rPr>
          <w:sz w:val="24"/>
        </w:rPr>
        <w:t>d 100</w:t>
      </w:r>
      <w:r w:rsidR="004259D1" w:rsidRPr="00231B2A">
        <w:rPr>
          <w:sz w:val="24"/>
        </w:rPr>
        <w:t xml:space="preserve">% when combined with </w:t>
      </w:r>
      <w:r w:rsidR="00D80F11">
        <w:rPr>
          <w:sz w:val="24"/>
        </w:rPr>
        <w:t>insulated lines (data from WMPs, the Joint Utility CC Studies, and the PG&amp;E GRC of 11/16/23).  Triple i</w:t>
      </w:r>
      <w:r w:rsidR="004259D1" w:rsidRPr="00231B2A">
        <w:rPr>
          <w:sz w:val="24"/>
        </w:rPr>
        <w:t xml:space="preserve">nsulation has been tested at SCE </w:t>
      </w:r>
      <w:r w:rsidR="00D80F11" w:rsidRPr="00231B2A">
        <w:rPr>
          <w:sz w:val="24"/>
        </w:rPr>
        <w:t xml:space="preserve">in the last few years </w:t>
      </w:r>
      <w:r w:rsidR="004259D1" w:rsidRPr="00231B2A">
        <w:rPr>
          <w:sz w:val="24"/>
        </w:rPr>
        <w:t>and found to be 100% effective on the treated circuits, but a lower number is reasonable</w:t>
      </w:r>
      <w:r w:rsidR="00795E9C">
        <w:rPr>
          <w:sz w:val="24"/>
        </w:rPr>
        <w:t xml:space="preserve"> in the long term</w:t>
      </w:r>
      <w:r w:rsidR="004259D1" w:rsidRPr="00231B2A">
        <w:rPr>
          <w:sz w:val="24"/>
        </w:rPr>
        <w:t xml:space="preserve">. </w:t>
      </w:r>
      <w:r w:rsidR="00C059CD">
        <w:rPr>
          <w:sz w:val="24"/>
        </w:rPr>
        <w:t xml:space="preserve"> Computerized networked</w:t>
      </w:r>
      <w:r w:rsidR="004259D1" w:rsidRPr="00231B2A">
        <w:rPr>
          <w:sz w:val="24"/>
        </w:rPr>
        <w:t xml:space="preserve"> breaker systems are </w:t>
      </w:r>
      <w:r w:rsidR="00795E9C">
        <w:rPr>
          <w:sz w:val="24"/>
        </w:rPr>
        <w:t xml:space="preserve">being tested by SCE and </w:t>
      </w:r>
      <w:r w:rsidR="004259D1" w:rsidRPr="00231B2A">
        <w:rPr>
          <w:sz w:val="24"/>
        </w:rPr>
        <w:t>by PG&amp;E, but several systems are available</w:t>
      </w:r>
      <w:r w:rsidR="00C059CD">
        <w:rPr>
          <w:sz w:val="24"/>
        </w:rPr>
        <w:t xml:space="preserve"> and so conclusions regarding costs</w:t>
      </w:r>
      <w:r w:rsidR="00E526B3">
        <w:rPr>
          <w:sz w:val="24"/>
        </w:rPr>
        <w:t xml:space="preserve"> and effectiveness</w:t>
      </w:r>
      <w:r w:rsidR="00C059CD">
        <w:rPr>
          <w:sz w:val="24"/>
        </w:rPr>
        <w:t xml:space="preserve"> are a few years off</w:t>
      </w:r>
      <w:r w:rsidR="004259D1" w:rsidRPr="00231B2A">
        <w:rPr>
          <w:sz w:val="24"/>
        </w:rPr>
        <w:t>.  Some of these</w:t>
      </w:r>
      <w:r w:rsidR="00E526B3">
        <w:rPr>
          <w:sz w:val="24"/>
        </w:rPr>
        <w:t xml:space="preserve"> breaker systems are in widespread use in Europe</w:t>
      </w:r>
      <w:r w:rsidR="004259D1" w:rsidRPr="00231B2A">
        <w:rPr>
          <w:sz w:val="24"/>
        </w:rPr>
        <w:t xml:space="preserve">.  </w:t>
      </w:r>
    </w:p>
    <w:p w:rsidR="004259D1" w:rsidRPr="00231B2A" w:rsidRDefault="00BB51D1" w:rsidP="00B34E5F">
      <w:pPr>
        <w:spacing w:line="276" w:lineRule="auto"/>
        <w:rPr>
          <w:sz w:val="24"/>
        </w:rPr>
      </w:pPr>
      <w:r w:rsidRPr="000F5223">
        <w:rPr>
          <w:sz w:val="24"/>
        </w:rPr>
        <w:lastRenderedPageBreak/>
        <w:t xml:space="preserve">   </w:t>
      </w:r>
      <w:r w:rsidR="004259D1" w:rsidRPr="00231B2A">
        <w:rPr>
          <w:sz w:val="24"/>
          <w:u w:val="single"/>
        </w:rPr>
        <w:t>Whereas their effe</w:t>
      </w:r>
      <w:r w:rsidR="00795E9C">
        <w:rPr>
          <w:sz w:val="24"/>
          <w:u w:val="single"/>
        </w:rPr>
        <w:t>ctiveness seems high or very high</w:t>
      </w:r>
      <w:r w:rsidR="004259D1" w:rsidRPr="00231B2A">
        <w:rPr>
          <w:sz w:val="24"/>
          <w:u w:val="single"/>
        </w:rPr>
        <w:t>, the time</w:t>
      </w:r>
      <w:r w:rsidR="00795E9C">
        <w:rPr>
          <w:sz w:val="24"/>
          <w:u w:val="single"/>
        </w:rPr>
        <w:t xml:space="preserve"> periods</w:t>
      </w:r>
      <w:r w:rsidR="004259D1" w:rsidRPr="00231B2A">
        <w:rPr>
          <w:sz w:val="24"/>
          <w:u w:val="single"/>
        </w:rPr>
        <w:t xml:space="preserve"> required to complete these </w:t>
      </w:r>
      <w:r w:rsidR="000F5223">
        <w:rPr>
          <w:sz w:val="24"/>
          <w:u w:val="single"/>
        </w:rPr>
        <w:t xml:space="preserve">short-circuit </w:t>
      </w:r>
      <w:r w:rsidR="004259D1" w:rsidRPr="00231B2A">
        <w:rPr>
          <w:sz w:val="24"/>
          <w:u w:val="single"/>
        </w:rPr>
        <w:t xml:space="preserve">mitigation systems are very different. </w:t>
      </w:r>
      <w:r w:rsidR="004259D1" w:rsidRPr="00231B2A">
        <w:rPr>
          <w:sz w:val="24"/>
        </w:rPr>
        <w:t xml:space="preserve"> Insulation</w:t>
      </w:r>
      <w:r w:rsidR="00CB26F3">
        <w:rPr>
          <w:sz w:val="24"/>
        </w:rPr>
        <w:t xml:space="preserve"> (Covered Conductor: CC)</w:t>
      </w:r>
      <w:r w:rsidR="004259D1" w:rsidRPr="00231B2A">
        <w:rPr>
          <w:sz w:val="24"/>
        </w:rPr>
        <w:t xml:space="preserve"> could be completed for all high fire-hazard areas by any utility in a few years (8-10) and is relatively inexpensive, looking at the SCE cost and completion data in their WMPs.</w:t>
      </w:r>
      <w:r w:rsidR="00795E9C">
        <w:rPr>
          <w:sz w:val="24"/>
        </w:rPr>
        <w:t xml:space="preserve">  CC can be done during pole replacement, which is otherwise required.</w:t>
      </w:r>
      <w:r w:rsidR="004259D1" w:rsidRPr="00231B2A">
        <w:rPr>
          <w:sz w:val="24"/>
        </w:rPr>
        <w:t xml:space="preserve">  Breaker system</w:t>
      </w:r>
      <w:r w:rsidR="000F5223">
        <w:rPr>
          <w:sz w:val="24"/>
        </w:rPr>
        <w:t xml:space="preserve"> cost</w:t>
      </w:r>
      <w:r w:rsidR="004259D1" w:rsidRPr="00231B2A">
        <w:rPr>
          <w:sz w:val="24"/>
        </w:rPr>
        <w:t>s are uncertain, due to low uptake in Calif. and unclear supplies</w:t>
      </w:r>
      <w:r w:rsidR="00CB26F3">
        <w:rPr>
          <w:sz w:val="24"/>
        </w:rPr>
        <w:t>, but are likely to take about 1</w:t>
      </w:r>
      <w:r w:rsidR="004259D1" w:rsidRPr="00231B2A">
        <w:rPr>
          <w:sz w:val="24"/>
        </w:rPr>
        <w:t>0 years and are relatively inexpensive.</w:t>
      </w:r>
      <w:r w:rsidR="004346C6">
        <w:rPr>
          <w:sz w:val="24"/>
        </w:rPr>
        <w:t xml:space="preserve">  This technology needs further testing.</w:t>
      </w:r>
      <w:r w:rsidR="004259D1" w:rsidRPr="00231B2A">
        <w:rPr>
          <w:sz w:val="24"/>
        </w:rPr>
        <w:t xml:space="preserve">  Undergrounding, however, is slow due to surface geo</w:t>
      </w:r>
      <w:r w:rsidR="004346C6">
        <w:rPr>
          <w:sz w:val="24"/>
        </w:rPr>
        <w:t xml:space="preserve">logy issues (rocks), </w:t>
      </w:r>
      <w:r w:rsidR="00AB449E">
        <w:rPr>
          <w:sz w:val="24"/>
        </w:rPr>
        <w:t xml:space="preserve">steep </w:t>
      </w:r>
      <w:r w:rsidR="004346C6">
        <w:rPr>
          <w:sz w:val="24"/>
        </w:rPr>
        <w:t>slopes,</w:t>
      </w:r>
      <w:r w:rsidR="004259D1" w:rsidRPr="00231B2A">
        <w:rPr>
          <w:sz w:val="24"/>
        </w:rPr>
        <w:t xml:space="preserve"> negotiating the ROWs that are needed in most places</w:t>
      </w:r>
      <w:r w:rsidR="004346C6">
        <w:rPr>
          <w:sz w:val="24"/>
        </w:rPr>
        <w:t>, and potential lawsuits</w:t>
      </w:r>
      <w:r w:rsidR="004259D1" w:rsidRPr="00231B2A">
        <w:rPr>
          <w:sz w:val="24"/>
        </w:rPr>
        <w:t>.</w:t>
      </w:r>
      <w:r w:rsidR="004346C6">
        <w:rPr>
          <w:sz w:val="24"/>
        </w:rPr>
        <w:t xml:space="preserve">  ROWs will often be needed beyond existing road ROWs and this necessitates the acquisition of new </w:t>
      </w:r>
      <w:r w:rsidR="00AB449E">
        <w:rPr>
          <w:sz w:val="24"/>
        </w:rPr>
        <w:t xml:space="preserve">property </w:t>
      </w:r>
      <w:r w:rsidR="004346C6">
        <w:rPr>
          <w:sz w:val="24"/>
        </w:rPr>
        <w:t>rights</w:t>
      </w:r>
      <w:r w:rsidR="00166B38">
        <w:rPr>
          <w:sz w:val="24"/>
        </w:rPr>
        <w:t>.  Steep terrain also requires the trenching to zig-zag back and forth to make the grade.  This increases the line-miles but also requi</w:t>
      </w:r>
      <w:r w:rsidR="00AB449E">
        <w:rPr>
          <w:sz w:val="24"/>
        </w:rPr>
        <w:t>res new ROW and tree removal.  So, u</w:t>
      </w:r>
      <w:r w:rsidR="00166B38">
        <w:rPr>
          <w:sz w:val="24"/>
        </w:rPr>
        <w:t>ndergrounding</w:t>
      </w:r>
      <w:r w:rsidR="004259D1" w:rsidRPr="00231B2A">
        <w:rPr>
          <w:sz w:val="24"/>
        </w:rPr>
        <w:t xml:space="preserve"> is expensive, about 4X to 7X what insulation costs per line-mile</w:t>
      </w:r>
      <w:r w:rsidR="00166B38">
        <w:rPr>
          <w:sz w:val="24"/>
        </w:rPr>
        <w:t>, plus</w:t>
      </w:r>
      <w:r w:rsidR="00AB449E">
        <w:rPr>
          <w:sz w:val="24"/>
        </w:rPr>
        <w:t xml:space="preserve"> more for</w:t>
      </w:r>
      <w:r w:rsidR="00166B38">
        <w:rPr>
          <w:sz w:val="24"/>
        </w:rPr>
        <w:t xml:space="preserve"> the added line-miles (often 50% more)</w:t>
      </w:r>
      <w:r w:rsidR="004259D1" w:rsidRPr="00231B2A">
        <w:rPr>
          <w:sz w:val="24"/>
        </w:rPr>
        <w:t>.  The CEO of PG&amp;E estimated that it would take 50-100 years, as quoted last May in the SF Chron</w:t>
      </w:r>
      <w:r w:rsidR="00721708">
        <w:rPr>
          <w:sz w:val="24"/>
        </w:rPr>
        <w:t xml:space="preserve">icle, to underground the 10,000 miles </w:t>
      </w:r>
      <w:r w:rsidR="00AB449E">
        <w:rPr>
          <w:sz w:val="24"/>
        </w:rPr>
        <w:t xml:space="preserve">then </w:t>
      </w:r>
      <w:r w:rsidR="00721708">
        <w:rPr>
          <w:sz w:val="24"/>
        </w:rPr>
        <w:t>being touted.  Another 10,000-15,000 line-miles will be needed, in order to include all lines in high fire-hazard districts</w:t>
      </w:r>
      <w:r w:rsidR="004259D1" w:rsidRPr="00231B2A">
        <w:rPr>
          <w:sz w:val="24"/>
        </w:rPr>
        <w:t>.</w:t>
      </w:r>
      <w:r w:rsidR="00AB449E">
        <w:rPr>
          <w:sz w:val="24"/>
        </w:rPr>
        <w:t xml:space="preserve">  This is a difficult and expensive proposition, coming from a utility with a huge backlog of incomplete repair orders.  The completion of Alternatives</w:t>
      </w:r>
      <w:r w:rsidR="00EC4445">
        <w:rPr>
          <w:sz w:val="24"/>
        </w:rPr>
        <w:t xml:space="preserve"> on time is therefore very important, in order to minimize costs.  The much-longer time periods necessary for undergrounding must be property accounted for.  </w:t>
      </w:r>
    </w:p>
    <w:p w:rsidR="001C63DB" w:rsidRDefault="00BB51D1" w:rsidP="00B34E5F">
      <w:pPr>
        <w:spacing w:line="276" w:lineRule="auto"/>
        <w:rPr>
          <w:sz w:val="24"/>
        </w:rPr>
      </w:pPr>
      <w:r w:rsidRPr="0010380A">
        <w:rPr>
          <w:sz w:val="24"/>
        </w:rPr>
        <w:t xml:space="preserve">   </w:t>
      </w:r>
      <w:r w:rsidR="005B63DA">
        <w:rPr>
          <w:sz w:val="24"/>
        </w:rPr>
        <w:t>I provide</w:t>
      </w:r>
      <w:r w:rsidR="00A60B3F" w:rsidRPr="0010380A">
        <w:rPr>
          <w:sz w:val="24"/>
        </w:rPr>
        <w:t xml:space="preserve"> illustrative calculations on R</w:t>
      </w:r>
      <w:r w:rsidR="004E5C1E" w:rsidRPr="0010380A">
        <w:rPr>
          <w:sz w:val="24"/>
        </w:rPr>
        <w:t>isk-</w:t>
      </w:r>
      <w:r w:rsidR="00A60B3F" w:rsidRPr="0010380A">
        <w:rPr>
          <w:sz w:val="24"/>
        </w:rPr>
        <w:t>R</w:t>
      </w:r>
      <w:r w:rsidR="004E5C1E" w:rsidRPr="0010380A">
        <w:rPr>
          <w:sz w:val="24"/>
        </w:rPr>
        <w:t>eduction-</w:t>
      </w:r>
      <w:r w:rsidR="00A60B3F" w:rsidRPr="0010380A">
        <w:rPr>
          <w:sz w:val="24"/>
        </w:rPr>
        <w:t>Years</w:t>
      </w:r>
      <w:r w:rsidR="004E5C1E" w:rsidRPr="0010380A">
        <w:rPr>
          <w:sz w:val="24"/>
        </w:rPr>
        <w:t>, as a generic metric</w:t>
      </w:r>
      <w:r w:rsidR="002A367B">
        <w:rPr>
          <w:sz w:val="24"/>
        </w:rPr>
        <w:t>, in the Appendix</w:t>
      </w:r>
      <w:r w:rsidR="00A60B3F" w:rsidRPr="0010380A">
        <w:rPr>
          <w:sz w:val="24"/>
        </w:rPr>
        <w:t>.</w:t>
      </w:r>
      <w:r w:rsidR="00A60B3F">
        <w:rPr>
          <w:sz w:val="24"/>
        </w:rPr>
        <w:t xml:space="preserve"> </w:t>
      </w:r>
      <w:r w:rsidR="00226441">
        <w:rPr>
          <w:sz w:val="24"/>
        </w:rPr>
        <w:t xml:space="preserve"> I’m not using official metrics found in the guidelines</w:t>
      </w:r>
      <w:r w:rsidR="00961959">
        <w:rPr>
          <w:sz w:val="24"/>
        </w:rPr>
        <w:t xml:space="preserve">, but just using a basic risk concept to illustrate the importance of time </w:t>
      </w:r>
      <w:r w:rsidR="002A367B">
        <w:rPr>
          <w:sz w:val="24"/>
        </w:rPr>
        <w:t>required for</w:t>
      </w:r>
      <w:r w:rsidR="00961959">
        <w:rPr>
          <w:sz w:val="24"/>
        </w:rPr>
        <w:t xml:space="preserve"> completion</w:t>
      </w:r>
      <w:r w:rsidR="002A367B">
        <w:rPr>
          <w:sz w:val="24"/>
        </w:rPr>
        <w:t xml:space="preserve"> of all mitigation in high- fire-hazard areas</w:t>
      </w:r>
      <w:r w:rsidR="00961959">
        <w:rPr>
          <w:sz w:val="24"/>
        </w:rPr>
        <w:t>.</w:t>
      </w:r>
      <w:r w:rsidR="002A367B">
        <w:rPr>
          <w:sz w:val="24"/>
        </w:rPr>
        <w:t xml:space="preserve"> </w:t>
      </w:r>
      <w:r w:rsidR="001C63DB">
        <w:rPr>
          <w:sz w:val="24"/>
        </w:rPr>
        <w:t xml:space="preserve"> We cannot limit this analysis to 10 years as the Sec. (c)(4)</w:t>
      </w:r>
      <w:r w:rsidR="002C6452">
        <w:rPr>
          <w:sz w:val="24"/>
        </w:rPr>
        <w:t xml:space="preserve"> analysis does</w:t>
      </w:r>
      <w:r w:rsidR="001C63DB">
        <w:rPr>
          <w:sz w:val="24"/>
        </w:rPr>
        <w:t>, because that would prevent us from evaluating the impacts of various mitigation technologies on wildfires started by the utility</w:t>
      </w:r>
      <w:r w:rsidR="002C6452">
        <w:rPr>
          <w:sz w:val="24"/>
        </w:rPr>
        <w:t>, over the lifetime of the equipment</w:t>
      </w:r>
      <w:r w:rsidR="001C63DB">
        <w:rPr>
          <w:sz w:val="24"/>
        </w:rPr>
        <w:t>.  This is by far the larges</w:t>
      </w:r>
      <w:r w:rsidR="002C6452">
        <w:rPr>
          <w:sz w:val="24"/>
        </w:rPr>
        <w:t>t cost of slow mitigation plans, more wildfires.</w:t>
      </w:r>
      <w:r w:rsidR="001C63DB">
        <w:rPr>
          <w:sz w:val="24"/>
        </w:rPr>
        <w:t xml:space="preserve">  So,</w:t>
      </w:r>
      <w:r w:rsidR="002A367B">
        <w:rPr>
          <w:sz w:val="24"/>
        </w:rPr>
        <w:t xml:space="preserve"> </w:t>
      </w:r>
      <w:r w:rsidR="001C63DB">
        <w:rPr>
          <w:sz w:val="24"/>
        </w:rPr>
        <w:t>l</w:t>
      </w:r>
      <w:r w:rsidR="002A367B">
        <w:rPr>
          <w:sz w:val="24"/>
        </w:rPr>
        <w:t xml:space="preserve">et us </w:t>
      </w:r>
      <w:r w:rsidR="001C63DB">
        <w:rPr>
          <w:sz w:val="24"/>
        </w:rPr>
        <w:t xml:space="preserve">then </w:t>
      </w:r>
      <w:r w:rsidR="002A367B">
        <w:rPr>
          <w:sz w:val="24"/>
        </w:rPr>
        <w:t>use a 50-year time period, to cover the lifetime of the assets, as required by AB 884 in Sec. (c)(6)</w:t>
      </w:r>
      <w:r w:rsidR="001C63DB">
        <w:rPr>
          <w:sz w:val="24"/>
        </w:rPr>
        <w:t xml:space="preserve"> the</w:t>
      </w:r>
      <w:r w:rsidR="002A367B">
        <w:rPr>
          <w:sz w:val="24"/>
        </w:rPr>
        <w:t xml:space="preserve"> long-term cost comparison</w:t>
      </w:r>
      <w:r w:rsidR="001C63DB">
        <w:rPr>
          <w:sz w:val="24"/>
        </w:rPr>
        <w:t xml:space="preserve"> mandate</w:t>
      </w:r>
      <w:r w:rsidR="002A367B">
        <w:rPr>
          <w:sz w:val="24"/>
        </w:rPr>
        <w:t>.</w:t>
      </w:r>
      <w:r w:rsidR="00961959">
        <w:rPr>
          <w:sz w:val="24"/>
        </w:rPr>
        <w:t xml:space="preserve"> </w:t>
      </w:r>
      <w:r w:rsidR="00A60B3F">
        <w:rPr>
          <w:sz w:val="24"/>
        </w:rPr>
        <w:t xml:space="preserve"> </w:t>
      </w:r>
    </w:p>
    <w:p w:rsidR="005B63DA" w:rsidRDefault="008F15CB" w:rsidP="00B34E5F">
      <w:pPr>
        <w:spacing w:line="276" w:lineRule="auto"/>
        <w:rPr>
          <w:sz w:val="24"/>
        </w:rPr>
      </w:pPr>
      <w:r>
        <w:rPr>
          <w:sz w:val="24"/>
        </w:rPr>
        <w:t xml:space="preserve">   </w:t>
      </w:r>
      <w:r w:rsidR="00CD5321">
        <w:rPr>
          <w:sz w:val="24"/>
        </w:rPr>
        <w:t xml:space="preserve">I use a graphical analysis with a table to make it easy to check my numbers.  I assume straight lines for project completion, meaning constant added line-miles per year.  This allows me to use simple arithmetic, also.  I give all assumptions and calculations in the table.  </w:t>
      </w:r>
      <w:r w:rsidR="004259D1" w:rsidRPr="00231B2A">
        <w:rPr>
          <w:sz w:val="24"/>
        </w:rPr>
        <w:t>If a utility can complete insulation in 10 years at 70% effectiveness, they reduce future wildfires by</w:t>
      </w:r>
      <w:r w:rsidR="0011577A">
        <w:rPr>
          <w:sz w:val="24"/>
        </w:rPr>
        <w:t xml:space="preserve"> an average of</w:t>
      </w:r>
      <w:r w:rsidR="00B47D44" w:rsidRPr="00231B2A">
        <w:rPr>
          <w:sz w:val="24"/>
        </w:rPr>
        <w:t xml:space="preserve"> 35% for years 1-10 and </w:t>
      </w:r>
      <w:r w:rsidR="006B2F0F">
        <w:rPr>
          <w:sz w:val="24"/>
        </w:rPr>
        <w:t xml:space="preserve">then after that </w:t>
      </w:r>
      <w:r w:rsidR="00B47D44" w:rsidRPr="00231B2A">
        <w:rPr>
          <w:sz w:val="24"/>
        </w:rPr>
        <w:t>by</w:t>
      </w:r>
      <w:r w:rsidR="0011577A">
        <w:rPr>
          <w:sz w:val="24"/>
        </w:rPr>
        <w:t xml:space="preserve"> an average of</w:t>
      </w:r>
      <w:r w:rsidR="004259D1" w:rsidRPr="00231B2A">
        <w:rPr>
          <w:sz w:val="24"/>
        </w:rPr>
        <w:t xml:space="preserve"> 70% for years 11-50.</w:t>
      </w:r>
      <w:r w:rsidR="00A60B3F">
        <w:rPr>
          <w:sz w:val="24"/>
        </w:rPr>
        <w:t xml:space="preserve">  </w:t>
      </w:r>
      <w:r w:rsidR="004259D1" w:rsidRPr="00231B2A">
        <w:rPr>
          <w:sz w:val="24"/>
        </w:rPr>
        <w:t xml:space="preserve">If they add modern </w:t>
      </w:r>
      <w:r w:rsidR="006B2F0F">
        <w:rPr>
          <w:sz w:val="24"/>
        </w:rPr>
        <w:t xml:space="preserve">networked </w:t>
      </w:r>
      <w:r w:rsidR="004259D1" w:rsidRPr="00231B2A">
        <w:rPr>
          <w:sz w:val="24"/>
        </w:rPr>
        <w:t>breaker systems i</w:t>
      </w:r>
      <w:r w:rsidR="009D30CA">
        <w:rPr>
          <w:sz w:val="24"/>
        </w:rPr>
        <w:t>n a second phase in years 11-20</w:t>
      </w:r>
      <w:r w:rsidR="006B2F0F">
        <w:rPr>
          <w:sz w:val="24"/>
        </w:rPr>
        <w:t>,</w:t>
      </w:r>
      <w:r w:rsidR="009D30CA">
        <w:rPr>
          <w:sz w:val="24"/>
        </w:rPr>
        <w:t xml:space="preserve"> risk is </w:t>
      </w:r>
      <w:r w:rsidR="00042A75">
        <w:rPr>
          <w:sz w:val="24"/>
        </w:rPr>
        <w:t xml:space="preserve">further </w:t>
      </w:r>
      <w:r w:rsidR="006B2F0F">
        <w:rPr>
          <w:sz w:val="24"/>
        </w:rPr>
        <w:t>reduced by an average of 15% for years 11-20</w:t>
      </w:r>
      <w:r w:rsidR="009D30CA">
        <w:rPr>
          <w:sz w:val="24"/>
        </w:rPr>
        <w:t xml:space="preserve"> and</w:t>
      </w:r>
      <w:r w:rsidR="004259D1" w:rsidRPr="00231B2A">
        <w:rPr>
          <w:sz w:val="24"/>
        </w:rPr>
        <w:t xml:space="preserve"> </w:t>
      </w:r>
      <w:r w:rsidR="005B63DA">
        <w:rPr>
          <w:sz w:val="24"/>
        </w:rPr>
        <w:t>then</w:t>
      </w:r>
      <w:r w:rsidR="006B2F0F">
        <w:rPr>
          <w:sz w:val="24"/>
        </w:rPr>
        <w:t xml:space="preserve"> by 30% more from year 21 on.  So,</w:t>
      </w:r>
      <w:r w:rsidR="005B63DA">
        <w:rPr>
          <w:sz w:val="24"/>
        </w:rPr>
        <w:t xml:space="preserve"> wildfires are </w:t>
      </w:r>
      <w:r w:rsidR="004259D1" w:rsidRPr="00231B2A">
        <w:rPr>
          <w:sz w:val="24"/>
        </w:rPr>
        <w:t>eliminated</w:t>
      </w:r>
      <w:r w:rsidR="005B63DA">
        <w:rPr>
          <w:sz w:val="24"/>
        </w:rPr>
        <w:t xml:space="preserve"> (by 100</w:t>
      </w:r>
      <w:r w:rsidR="00A002AD">
        <w:rPr>
          <w:sz w:val="24"/>
        </w:rPr>
        <w:t>%)</w:t>
      </w:r>
      <w:r w:rsidR="004259D1" w:rsidRPr="00231B2A">
        <w:rPr>
          <w:sz w:val="24"/>
        </w:rPr>
        <w:t xml:space="preserve"> in years 21-50.</w:t>
      </w:r>
      <w:r w:rsidR="00600749">
        <w:rPr>
          <w:sz w:val="24"/>
        </w:rPr>
        <w:t xml:space="preserve"> </w:t>
      </w:r>
      <w:r w:rsidR="009D30CA">
        <w:rPr>
          <w:sz w:val="24"/>
        </w:rPr>
        <w:t xml:space="preserve"> </w:t>
      </w:r>
      <w:r w:rsidR="004259D1" w:rsidRPr="00231B2A">
        <w:rPr>
          <w:sz w:val="24"/>
        </w:rPr>
        <w:t xml:space="preserve">If they underground and it takes 50 years to complete all </w:t>
      </w:r>
      <w:r w:rsidR="006B2F0F">
        <w:rPr>
          <w:sz w:val="24"/>
        </w:rPr>
        <w:t xml:space="preserve">the </w:t>
      </w:r>
      <w:r w:rsidR="004259D1" w:rsidRPr="00231B2A">
        <w:rPr>
          <w:sz w:val="24"/>
        </w:rPr>
        <w:t>lines in high fire-hazard areas,</w:t>
      </w:r>
      <w:r w:rsidR="00042A75">
        <w:rPr>
          <w:sz w:val="24"/>
        </w:rPr>
        <w:t xml:space="preserve"> we get</w:t>
      </w:r>
      <w:r w:rsidR="005B63DA">
        <w:rPr>
          <w:sz w:val="24"/>
        </w:rPr>
        <w:t xml:space="preserve"> an average risk reduction of 50</w:t>
      </w:r>
      <w:r w:rsidR="00042A75">
        <w:rPr>
          <w:sz w:val="24"/>
        </w:rPr>
        <w:t>% for years 1-50.</w:t>
      </w:r>
      <w:r w:rsidR="00945857">
        <w:rPr>
          <w:sz w:val="24"/>
        </w:rPr>
        <w:t xml:space="preserve">  See the Table at the end. </w:t>
      </w:r>
      <w:r w:rsidR="00042A75">
        <w:rPr>
          <w:sz w:val="24"/>
        </w:rPr>
        <w:t xml:space="preserve">  </w:t>
      </w:r>
    </w:p>
    <w:p w:rsidR="004E5C1E" w:rsidRDefault="004E5C1E" w:rsidP="00266186">
      <w:pPr>
        <w:spacing w:after="0" w:line="276" w:lineRule="auto"/>
        <w:rPr>
          <w:sz w:val="24"/>
          <w:u w:val="single"/>
        </w:rPr>
      </w:pPr>
      <w:r w:rsidRPr="004E5C1E">
        <w:rPr>
          <w:sz w:val="24"/>
          <w:u w:val="single"/>
        </w:rPr>
        <w:t xml:space="preserve">Risk-Reduction-Years (All </w:t>
      </w:r>
      <w:r w:rsidR="00266186">
        <w:rPr>
          <w:sz w:val="24"/>
          <w:u w:val="single"/>
        </w:rPr>
        <w:t xml:space="preserve">Totals </w:t>
      </w:r>
      <w:r w:rsidRPr="004E5C1E">
        <w:rPr>
          <w:sz w:val="24"/>
          <w:u w:val="single"/>
        </w:rPr>
        <w:t>for 50 Years)</w:t>
      </w:r>
      <w:r w:rsidR="00A002AD">
        <w:rPr>
          <w:sz w:val="24"/>
          <w:u w:val="single"/>
        </w:rPr>
        <w:t>(Larger Values Mean Less Risk)</w:t>
      </w:r>
    </w:p>
    <w:p w:rsidR="008F15CB" w:rsidRPr="008F15CB" w:rsidRDefault="008F15CB" w:rsidP="00266186">
      <w:pPr>
        <w:spacing w:after="0" w:line="276" w:lineRule="auto"/>
        <w:rPr>
          <w:sz w:val="24"/>
        </w:rPr>
      </w:pPr>
      <w:r>
        <w:rPr>
          <w:sz w:val="24"/>
        </w:rPr>
        <w:t xml:space="preserve">Please see the Table in the Appendix for a graphical analysis with tabular data for 5 time periods. </w:t>
      </w:r>
    </w:p>
    <w:p w:rsidR="008C691F" w:rsidRPr="002C6452" w:rsidRDefault="008F15CB" w:rsidP="008C691F">
      <w:pPr>
        <w:spacing w:after="0" w:line="276" w:lineRule="auto"/>
        <w:rPr>
          <w:b/>
          <w:sz w:val="24"/>
        </w:rPr>
      </w:pPr>
      <w:r w:rsidRPr="002C6452">
        <w:rPr>
          <w:b/>
          <w:sz w:val="24"/>
        </w:rPr>
        <w:t>Undergrounding</w:t>
      </w:r>
      <w:r w:rsidR="008C691F" w:rsidRPr="002C6452">
        <w:rPr>
          <w:b/>
          <w:sz w:val="24"/>
        </w:rPr>
        <w:t xml:space="preserve">:  </w:t>
      </w:r>
      <w:r w:rsidRPr="002C6452">
        <w:rPr>
          <w:b/>
          <w:sz w:val="24"/>
        </w:rPr>
        <w:tab/>
        <w:t>25.0</w:t>
      </w:r>
    </w:p>
    <w:p w:rsidR="008C691F" w:rsidRPr="002C6452" w:rsidRDefault="008F15CB" w:rsidP="00266186">
      <w:pPr>
        <w:spacing w:after="0" w:line="276" w:lineRule="auto"/>
        <w:rPr>
          <w:b/>
          <w:sz w:val="24"/>
        </w:rPr>
      </w:pPr>
      <w:r w:rsidRPr="002C6452">
        <w:rPr>
          <w:b/>
          <w:sz w:val="24"/>
        </w:rPr>
        <w:t>CC</w:t>
      </w:r>
      <w:r w:rsidR="00AF3183" w:rsidRPr="002C6452">
        <w:rPr>
          <w:b/>
          <w:sz w:val="24"/>
        </w:rPr>
        <w:t xml:space="preserve"> :</w:t>
      </w:r>
      <w:r w:rsidRPr="002C6452">
        <w:rPr>
          <w:b/>
          <w:sz w:val="24"/>
        </w:rPr>
        <w:tab/>
      </w:r>
      <w:r w:rsidRPr="002C6452">
        <w:rPr>
          <w:b/>
          <w:sz w:val="24"/>
        </w:rPr>
        <w:tab/>
      </w:r>
      <w:r w:rsidRPr="002C6452">
        <w:rPr>
          <w:b/>
          <w:sz w:val="24"/>
        </w:rPr>
        <w:tab/>
        <w:t>31.5</w:t>
      </w:r>
      <w:r w:rsidR="00AF3183" w:rsidRPr="002C6452">
        <w:rPr>
          <w:b/>
          <w:sz w:val="24"/>
        </w:rPr>
        <w:t xml:space="preserve"> </w:t>
      </w:r>
      <w:r w:rsidRPr="002C6452">
        <w:rPr>
          <w:b/>
          <w:sz w:val="24"/>
        </w:rPr>
        <w:tab/>
      </w:r>
      <w:r w:rsidRPr="002C6452">
        <w:rPr>
          <w:b/>
          <w:sz w:val="24"/>
        </w:rPr>
        <w:tab/>
      </w:r>
    </w:p>
    <w:p w:rsidR="00AF3183" w:rsidRPr="002C6452" w:rsidRDefault="00AF3183" w:rsidP="00266186">
      <w:pPr>
        <w:spacing w:after="0" w:line="276" w:lineRule="auto"/>
        <w:rPr>
          <w:b/>
          <w:sz w:val="24"/>
        </w:rPr>
      </w:pPr>
      <w:r w:rsidRPr="002C6452">
        <w:rPr>
          <w:b/>
          <w:sz w:val="24"/>
        </w:rPr>
        <w:t xml:space="preserve">CC plus Breakers:  </w:t>
      </w:r>
      <w:r w:rsidR="008F15CB" w:rsidRPr="002C6452">
        <w:rPr>
          <w:b/>
          <w:sz w:val="24"/>
        </w:rPr>
        <w:tab/>
        <w:t>42.5</w:t>
      </w:r>
    </w:p>
    <w:p w:rsidR="003B2096" w:rsidRDefault="004B004F" w:rsidP="00B51C8E">
      <w:pPr>
        <w:spacing w:after="0" w:line="276" w:lineRule="auto"/>
        <w:rPr>
          <w:sz w:val="24"/>
        </w:rPr>
      </w:pPr>
      <w:r w:rsidRPr="004B004F">
        <w:rPr>
          <w:sz w:val="24"/>
        </w:rPr>
        <w:lastRenderedPageBreak/>
        <w:t xml:space="preserve">   </w:t>
      </w:r>
      <w:r w:rsidR="001E2AAA" w:rsidRPr="004B004F">
        <w:rPr>
          <w:sz w:val="24"/>
        </w:rPr>
        <w:t xml:space="preserve"> </w:t>
      </w:r>
      <w:r w:rsidR="001E2AAA">
        <w:rPr>
          <w:sz w:val="24"/>
          <w:u w:val="single"/>
        </w:rPr>
        <w:t>I conclude that Undergrounding has the lowest wildfire</w:t>
      </w:r>
      <w:r w:rsidR="00FD7F05" w:rsidRPr="00BA0824">
        <w:rPr>
          <w:sz w:val="24"/>
          <w:u w:val="single"/>
        </w:rPr>
        <w:t xml:space="preserve"> risk reduction</w:t>
      </w:r>
      <w:r w:rsidR="001E2AAA">
        <w:rPr>
          <w:sz w:val="24"/>
          <w:u w:val="single"/>
        </w:rPr>
        <w:t xml:space="preserve"> years</w:t>
      </w:r>
      <w:r w:rsidR="00FD7F05" w:rsidRPr="00BA0824">
        <w:rPr>
          <w:sz w:val="24"/>
          <w:u w:val="single"/>
        </w:rPr>
        <w:t>, due to its slow implementation.</w:t>
      </w:r>
      <w:r w:rsidR="00FD7F05" w:rsidRPr="00FD7F05">
        <w:rPr>
          <w:sz w:val="24"/>
        </w:rPr>
        <w:t xml:space="preserve"> </w:t>
      </w:r>
      <w:r w:rsidR="00FD7F05">
        <w:rPr>
          <w:sz w:val="24"/>
        </w:rPr>
        <w:t xml:space="preserve"> Insulation (C</w:t>
      </w:r>
      <w:r w:rsidR="001E2AAA">
        <w:rPr>
          <w:sz w:val="24"/>
        </w:rPr>
        <w:t xml:space="preserve">overed </w:t>
      </w:r>
      <w:r w:rsidR="00FD7F05">
        <w:rPr>
          <w:sz w:val="24"/>
        </w:rPr>
        <w:t>C</w:t>
      </w:r>
      <w:r w:rsidR="001E2AAA">
        <w:rPr>
          <w:sz w:val="24"/>
        </w:rPr>
        <w:t>onductor</w:t>
      </w:r>
      <w:r w:rsidR="00FD7F05">
        <w:rPr>
          <w:sz w:val="24"/>
        </w:rPr>
        <w:t>) is superior, due to rapid completion, even though it is less effective</w:t>
      </w:r>
      <w:r w:rsidR="00F23515">
        <w:rPr>
          <w:sz w:val="24"/>
        </w:rPr>
        <w:t xml:space="preserve"> per year</w:t>
      </w:r>
      <w:r w:rsidR="00226441">
        <w:rPr>
          <w:sz w:val="24"/>
        </w:rPr>
        <w:t xml:space="preserve"> when completed.</w:t>
      </w:r>
      <w:r w:rsidR="003B2096">
        <w:rPr>
          <w:sz w:val="24"/>
        </w:rPr>
        <w:t xml:space="preserve">  </w:t>
      </w:r>
      <w:r w:rsidR="00F91303">
        <w:rPr>
          <w:sz w:val="24"/>
        </w:rPr>
        <w:t>CC is from 1/3rd to 1/6th the cost per line-mile as is UG</w:t>
      </w:r>
      <w:r>
        <w:rPr>
          <w:sz w:val="24"/>
        </w:rPr>
        <w:t>, however, and so facially is a superior method in terms of the cost/effectiveness balancing required at the CPUC</w:t>
      </w:r>
      <w:r w:rsidR="00F91303">
        <w:rPr>
          <w:sz w:val="24"/>
        </w:rPr>
        <w:t xml:space="preserve">.  </w:t>
      </w:r>
      <w:r w:rsidR="003B2096">
        <w:rPr>
          <w:sz w:val="24"/>
        </w:rPr>
        <w:t>Better</w:t>
      </w:r>
      <w:r w:rsidR="00FB2581">
        <w:rPr>
          <w:sz w:val="24"/>
        </w:rPr>
        <w:t>, CC can be followed by other phase 2 mitigation improvements.</w:t>
      </w:r>
      <w:r w:rsidR="003B2096">
        <w:rPr>
          <w:sz w:val="24"/>
        </w:rPr>
        <w:t xml:space="preserve">  Installing modern electronic networked circuit breakers will also be less expensive than UG per line-mile.  </w:t>
      </w:r>
    </w:p>
    <w:p w:rsidR="00600B1F" w:rsidRPr="00B51C8E" w:rsidRDefault="00226441" w:rsidP="00B51C8E">
      <w:pPr>
        <w:spacing w:after="0" w:line="276" w:lineRule="auto"/>
        <w:rPr>
          <w:sz w:val="24"/>
          <w:u w:val="single"/>
        </w:rPr>
      </w:pPr>
      <w:r>
        <w:rPr>
          <w:sz w:val="24"/>
        </w:rPr>
        <w:t xml:space="preserve">  </w:t>
      </w:r>
      <w:r w:rsidR="00600B1F">
        <w:rPr>
          <w:sz w:val="24"/>
        </w:rPr>
        <w:t xml:space="preserve"> </w:t>
      </w:r>
    </w:p>
    <w:p w:rsidR="006D3CE6" w:rsidRDefault="00A803F1" w:rsidP="00B34E5F">
      <w:pPr>
        <w:spacing w:line="276" w:lineRule="auto"/>
        <w:rPr>
          <w:sz w:val="24"/>
        </w:rPr>
      </w:pPr>
      <w:r>
        <w:rPr>
          <w:sz w:val="24"/>
        </w:rPr>
        <w:t xml:space="preserve">   </w:t>
      </w:r>
      <w:r w:rsidR="006D3CE6">
        <w:rPr>
          <w:sz w:val="24"/>
        </w:rPr>
        <w:t>A</w:t>
      </w:r>
      <w:r w:rsidR="00FB2581">
        <w:rPr>
          <w:sz w:val="24"/>
        </w:rPr>
        <w:t xml:space="preserve"> second</w:t>
      </w:r>
      <w:r w:rsidR="006D3CE6">
        <w:rPr>
          <w:sz w:val="24"/>
        </w:rPr>
        <w:t xml:space="preserve"> </w:t>
      </w:r>
      <w:r w:rsidR="00F23515">
        <w:rPr>
          <w:sz w:val="24"/>
        </w:rPr>
        <w:t xml:space="preserve">conclusion is that </w:t>
      </w:r>
      <w:r w:rsidR="00FB2581">
        <w:rPr>
          <w:sz w:val="24"/>
        </w:rPr>
        <w:t xml:space="preserve">following </w:t>
      </w:r>
      <w:r w:rsidR="006B1B49">
        <w:rPr>
          <w:sz w:val="24"/>
        </w:rPr>
        <w:t xml:space="preserve">up </w:t>
      </w:r>
      <w:r w:rsidR="00FB2581">
        <w:rPr>
          <w:sz w:val="24"/>
        </w:rPr>
        <w:t>CC with</w:t>
      </w:r>
      <w:r w:rsidR="00F23515">
        <w:rPr>
          <w:sz w:val="24"/>
        </w:rPr>
        <w:t xml:space="preserve"> computerized breakers seems to be a robust Alternative.  This is because the projections on which the first phase relies are quite certain.  Utilities have adequate experience with CC</w:t>
      </w:r>
      <w:r w:rsidR="006B1B49">
        <w:rPr>
          <w:sz w:val="24"/>
        </w:rPr>
        <w:t xml:space="preserve"> to accurately project cost</w:t>
      </w:r>
      <w:r w:rsidR="00F23515">
        <w:rPr>
          <w:sz w:val="24"/>
        </w:rPr>
        <w:t xml:space="preserve"> and time requirements</w:t>
      </w:r>
      <w:r w:rsidR="006D3CE6">
        <w:rPr>
          <w:sz w:val="24"/>
        </w:rPr>
        <w:t xml:space="preserve">.  The 10 years </w:t>
      </w:r>
      <w:r w:rsidR="006B1B49">
        <w:rPr>
          <w:sz w:val="24"/>
        </w:rPr>
        <w:t xml:space="preserve">assumed </w:t>
      </w:r>
      <w:r w:rsidR="006D3CE6">
        <w:rPr>
          <w:sz w:val="24"/>
        </w:rPr>
        <w:t>for phase 1 allow the utility to test networked</w:t>
      </w:r>
      <w:r w:rsidR="006B1B49">
        <w:rPr>
          <w:sz w:val="24"/>
        </w:rPr>
        <w:t xml:space="preserve"> breaker systems and choose one for implementation in phase 2.</w:t>
      </w:r>
      <w:r w:rsidR="006D3CE6">
        <w:rPr>
          <w:sz w:val="24"/>
        </w:rPr>
        <w:t xml:space="preserve"> </w:t>
      </w:r>
      <w:r w:rsidR="00600B1F">
        <w:rPr>
          <w:sz w:val="24"/>
        </w:rPr>
        <w:t xml:space="preserve"> The two sets of guidelines encourage the utilities to identify projects that combine two or more mitigation methods.  </w:t>
      </w:r>
      <w:r w:rsidR="00F91303">
        <w:rPr>
          <w:sz w:val="24"/>
        </w:rPr>
        <w:t>That would be</w:t>
      </w:r>
      <w:r w:rsidR="006B1B49">
        <w:rPr>
          <w:sz w:val="24"/>
        </w:rPr>
        <w:t xml:space="preserve"> good practice.  </w:t>
      </w:r>
    </w:p>
    <w:p w:rsidR="00FD7F05" w:rsidRPr="00FD7F05" w:rsidRDefault="006D3CE6" w:rsidP="00B34E5F">
      <w:pPr>
        <w:spacing w:line="276" w:lineRule="auto"/>
        <w:rPr>
          <w:sz w:val="24"/>
        </w:rPr>
      </w:pPr>
      <w:r>
        <w:rPr>
          <w:sz w:val="24"/>
        </w:rPr>
        <w:t xml:space="preserve">   </w:t>
      </w:r>
      <w:r w:rsidR="00961959">
        <w:rPr>
          <w:sz w:val="24"/>
        </w:rPr>
        <w:t>A</w:t>
      </w:r>
      <w:r w:rsidR="00FB2581">
        <w:rPr>
          <w:sz w:val="24"/>
        </w:rPr>
        <w:t xml:space="preserve"> third</w:t>
      </w:r>
      <w:r w:rsidR="006B1B49">
        <w:rPr>
          <w:sz w:val="24"/>
        </w:rPr>
        <w:t xml:space="preserve"> important take-away</w:t>
      </w:r>
      <w:r w:rsidR="00961959">
        <w:rPr>
          <w:sz w:val="24"/>
        </w:rPr>
        <w:t xml:space="preserve"> is th</w:t>
      </w:r>
      <w:r>
        <w:rPr>
          <w:sz w:val="24"/>
        </w:rPr>
        <w:t>at if a utility states that it</w:t>
      </w:r>
      <w:r w:rsidR="00961959">
        <w:rPr>
          <w:sz w:val="24"/>
        </w:rPr>
        <w:t xml:space="preserve"> can complete</w:t>
      </w:r>
      <w:r>
        <w:rPr>
          <w:sz w:val="24"/>
        </w:rPr>
        <w:t xml:space="preserve"> the undergrounding of</w:t>
      </w:r>
      <w:r w:rsidR="00961959">
        <w:rPr>
          <w:sz w:val="24"/>
        </w:rPr>
        <w:t xml:space="preserve"> all circuit miles in high fire-hazard areas in a certain time</w:t>
      </w:r>
      <w:r w:rsidR="00BA0824">
        <w:rPr>
          <w:sz w:val="24"/>
        </w:rPr>
        <w:t xml:space="preserve">, that </w:t>
      </w:r>
      <w:r w:rsidR="00BA0824" w:rsidRPr="00600B1F">
        <w:rPr>
          <w:sz w:val="24"/>
          <w:u w:val="single"/>
        </w:rPr>
        <w:t>completion time must be guaranteed or not used.</w:t>
      </w:r>
      <w:r w:rsidR="00F91303">
        <w:rPr>
          <w:sz w:val="24"/>
        </w:rPr>
        <w:t xml:space="preserve">  The only way</w:t>
      </w:r>
      <w:r w:rsidR="00BA0824">
        <w:rPr>
          <w:sz w:val="24"/>
        </w:rPr>
        <w:t xml:space="preserve"> that</w:t>
      </w:r>
      <w:r w:rsidR="00F91303">
        <w:rPr>
          <w:sz w:val="24"/>
        </w:rPr>
        <w:t xml:space="preserve"> agencies can</w:t>
      </w:r>
      <w:r w:rsidR="00BA0824">
        <w:rPr>
          <w:sz w:val="24"/>
        </w:rPr>
        <w:t xml:space="preserve"> prevent gaming the calculations by a utility would be to require it to refund monies they were all</w:t>
      </w:r>
      <w:r w:rsidR="00600B1F">
        <w:rPr>
          <w:sz w:val="24"/>
        </w:rPr>
        <w:t>owed to raise from customers, if</w:t>
      </w:r>
      <w:r w:rsidR="00BA0824">
        <w:rPr>
          <w:sz w:val="24"/>
        </w:rPr>
        <w:t xml:space="preserve"> it is later found that it did not complet</w:t>
      </w:r>
      <w:r w:rsidR="00600B1F">
        <w:rPr>
          <w:sz w:val="24"/>
        </w:rPr>
        <w:t>e</w:t>
      </w:r>
      <w:r w:rsidR="00BA0824">
        <w:rPr>
          <w:sz w:val="24"/>
        </w:rPr>
        <w:t xml:space="preserve"> their plan on time.  </w:t>
      </w:r>
      <w:r w:rsidR="003846AA">
        <w:rPr>
          <w:sz w:val="24"/>
        </w:rPr>
        <w:t>Easier perhaps would be to simply disallow</w:t>
      </w:r>
      <w:r w:rsidR="00D94691">
        <w:rPr>
          <w:sz w:val="24"/>
        </w:rPr>
        <w:t xml:space="preserve"> plan costs</w:t>
      </w:r>
      <w:r w:rsidR="003846AA">
        <w:rPr>
          <w:sz w:val="24"/>
        </w:rPr>
        <w:t xml:space="preserve"> that extend beyond the date originally set for plan completion.  </w:t>
      </w:r>
    </w:p>
    <w:p w:rsidR="00CA595C" w:rsidRDefault="004259D1" w:rsidP="00B34E5F">
      <w:pPr>
        <w:spacing w:line="276" w:lineRule="auto"/>
        <w:rPr>
          <w:sz w:val="24"/>
          <w:u w:val="single"/>
        </w:rPr>
      </w:pPr>
      <w:r w:rsidRPr="00231B2A">
        <w:rPr>
          <w:sz w:val="24"/>
        </w:rPr>
        <w:t xml:space="preserve">  </w:t>
      </w:r>
      <w:r w:rsidRPr="00231B2A">
        <w:rPr>
          <w:sz w:val="24"/>
          <w:u w:val="single"/>
        </w:rPr>
        <w:t xml:space="preserve">We need to include all costs and so the comparison must run out to the last year for the </w:t>
      </w:r>
      <w:r w:rsidR="00CA595C">
        <w:rPr>
          <w:sz w:val="24"/>
          <w:u w:val="single"/>
        </w:rPr>
        <w:t>slowest alternative</w:t>
      </w:r>
      <w:r w:rsidR="00D94691">
        <w:rPr>
          <w:sz w:val="24"/>
          <w:u w:val="single"/>
        </w:rPr>
        <w:t xml:space="preserve"> to mitigate all line-miles.  This is the only way </w:t>
      </w:r>
      <w:r w:rsidR="00CA595C">
        <w:rPr>
          <w:sz w:val="24"/>
          <w:u w:val="single"/>
        </w:rPr>
        <w:t xml:space="preserve">to count </w:t>
      </w:r>
      <w:r w:rsidR="0011577A">
        <w:rPr>
          <w:sz w:val="24"/>
          <w:u w:val="single"/>
        </w:rPr>
        <w:t xml:space="preserve"> </w:t>
      </w:r>
      <w:r w:rsidR="00CA595C">
        <w:rPr>
          <w:sz w:val="24"/>
          <w:u w:val="single"/>
        </w:rPr>
        <w:t xml:space="preserve">project </w:t>
      </w:r>
      <w:r w:rsidRPr="00231B2A">
        <w:rPr>
          <w:sz w:val="24"/>
          <w:u w:val="single"/>
        </w:rPr>
        <w:t>effects on the frequency of large wildfires</w:t>
      </w:r>
      <w:r w:rsidR="00D94691">
        <w:rPr>
          <w:sz w:val="24"/>
          <w:u w:val="single"/>
        </w:rPr>
        <w:t xml:space="preserve"> completely</w:t>
      </w:r>
      <w:r w:rsidRPr="00231B2A">
        <w:rPr>
          <w:sz w:val="24"/>
          <w:u w:val="single"/>
        </w:rPr>
        <w:t>.</w:t>
      </w:r>
      <w:r w:rsidR="00CA595C">
        <w:rPr>
          <w:sz w:val="24"/>
          <w:u w:val="single"/>
        </w:rPr>
        <w:t xml:space="preserve">  </w:t>
      </w:r>
      <w:r w:rsidR="00357CBA">
        <w:rPr>
          <w:sz w:val="24"/>
          <w:u w:val="single"/>
        </w:rPr>
        <w:t>I believe that t</w:t>
      </w:r>
      <w:r w:rsidR="003846AA">
        <w:rPr>
          <w:sz w:val="24"/>
          <w:u w:val="single"/>
        </w:rPr>
        <w:t>he</w:t>
      </w:r>
      <w:r w:rsidR="00357CBA">
        <w:rPr>
          <w:sz w:val="24"/>
          <w:u w:val="single"/>
        </w:rPr>
        <w:t xml:space="preserve"> Sec. (c)(6) analysis requires</w:t>
      </w:r>
      <w:r w:rsidR="003846AA">
        <w:rPr>
          <w:sz w:val="24"/>
          <w:u w:val="single"/>
        </w:rPr>
        <w:t xml:space="preserve"> this</w:t>
      </w:r>
      <w:r w:rsidR="00357CBA">
        <w:rPr>
          <w:sz w:val="24"/>
          <w:u w:val="single"/>
        </w:rPr>
        <w:t xml:space="preserve"> long-term benefit/cost method</w:t>
      </w:r>
      <w:r w:rsidR="003846AA">
        <w:rPr>
          <w:sz w:val="24"/>
          <w:u w:val="single"/>
        </w:rPr>
        <w:t xml:space="preserve">. </w:t>
      </w:r>
      <w:r w:rsidR="00553BF7">
        <w:rPr>
          <w:sz w:val="24"/>
          <w:u w:val="single"/>
        </w:rPr>
        <w:t xml:space="preserve"> It does not require a second project-level (10-yr) analysis.  It calls for a comprehensive cost analysis.  Benefit/cost analysis is the only method available for such comparisons. </w:t>
      </w:r>
    </w:p>
    <w:p w:rsidR="00F92EA2" w:rsidRDefault="00CA595C" w:rsidP="00B34E5F">
      <w:pPr>
        <w:spacing w:line="276" w:lineRule="auto"/>
        <w:rPr>
          <w:sz w:val="24"/>
          <w:u w:val="single"/>
        </w:rPr>
      </w:pPr>
      <w:r w:rsidRPr="00CA595C">
        <w:rPr>
          <w:sz w:val="24"/>
        </w:rPr>
        <w:t xml:space="preserve">   </w:t>
      </w:r>
      <w:r>
        <w:rPr>
          <w:sz w:val="24"/>
          <w:u w:val="single"/>
        </w:rPr>
        <w:t xml:space="preserve">For long-range impacts, the (c)(6) </w:t>
      </w:r>
      <w:r w:rsidR="002615C0">
        <w:rPr>
          <w:sz w:val="24"/>
          <w:u w:val="single"/>
        </w:rPr>
        <w:t xml:space="preserve">cost-benefit </w:t>
      </w:r>
      <w:r>
        <w:rPr>
          <w:sz w:val="24"/>
          <w:u w:val="single"/>
        </w:rPr>
        <w:t>analysis</w:t>
      </w:r>
      <w:r w:rsidR="0010380A">
        <w:rPr>
          <w:sz w:val="24"/>
          <w:u w:val="single"/>
        </w:rPr>
        <w:t xml:space="preserve"> for 50 years </w:t>
      </w:r>
      <w:r w:rsidR="00F92EA2">
        <w:rPr>
          <w:sz w:val="24"/>
          <w:u w:val="single"/>
        </w:rPr>
        <w:t>(</w:t>
      </w:r>
      <w:r w:rsidR="0010380A">
        <w:rPr>
          <w:sz w:val="24"/>
          <w:u w:val="single"/>
        </w:rPr>
        <w:t>or</w:t>
      </w:r>
      <w:r>
        <w:rPr>
          <w:sz w:val="24"/>
          <w:u w:val="single"/>
        </w:rPr>
        <w:t xml:space="preserve"> </w:t>
      </w:r>
      <w:r w:rsidR="003330C8">
        <w:rPr>
          <w:sz w:val="24"/>
          <w:u w:val="single"/>
        </w:rPr>
        <w:t>more</w:t>
      </w:r>
      <w:r w:rsidR="00F92EA2">
        <w:rPr>
          <w:sz w:val="24"/>
          <w:u w:val="single"/>
        </w:rPr>
        <w:t>)</w:t>
      </w:r>
      <w:r w:rsidR="003330C8">
        <w:rPr>
          <w:sz w:val="24"/>
          <w:u w:val="single"/>
        </w:rPr>
        <w:t xml:space="preserve"> generally </w:t>
      </w:r>
      <w:r>
        <w:rPr>
          <w:sz w:val="24"/>
          <w:u w:val="single"/>
        </w:rPr>
        <w:t xml:space="preserve">will be a crucial check on the short-term (c)(4) </w:t>
      </w:r>
      <w:r w:rsidR="0010380A">
        <w:rPr>
          <w:sz w:val="24"/>
          <w:u w:val="single"/>
        </w:rPr>
        <w:t xml:space="preserve">10-year </w:t>
      </w:r>
      <w:r>
        <w:rPr>
          <w:sz w:val="24"/>
          <w:u w:val="single"/>
        </w:rPr>
        <w:t>anal</w:t>
      </w:r>
      <w:r w:rsidR="003330C8">
        <w:rPr>
          <w:sz w:val="24"/>
          <w:u w:val="single"/>
        </w:rPr>
        <w:t>ysis based on risk modeling.  The cost-benefit approach</w:t>
      </w:r>
      <w:r>
        <w:rPr>
          <w:sz w:val="24"/>
          <w:u w:val="single"/>
        </w:rPr>
        <w:t xml:space="preserve"> uses the utility data on projected wildfires more directly and so is easier to understand and verify</w:t>
      </w:r>
      <w:r w:rsidR="008E526E">
        <w:rPr>
          <w:sz w:val="24"/>
          <w:u w:val="single"/>
        </w:rPr>
        <w:t xml:space="preserve"> against past wildfire frequencies</w:t>
      </w:r>
      <w:r>
        <w:rPr>
          <w:sz w:val="24"/>
          <w:u w:val="single"/>
        </w:rPr>
        <w:t xml:space="preserve">.  </w:t>
      </w:r>
      <w:r w:rsidR="002615C0">
        <w:rPr>
          <w:sz w:val="24"/>
          <w:u w:val="single"/>
        </w:rPr>
        <w:t xml:space="preserve">Both agencies should require that </w:t>
      </w:r>
      <w:r w:rsidR="003C678B">
        <w:rPr>
          <w:sz w:val="24"/>
          <w:u w:val="single"/>
        </w:rPr>
        <w:t>both types of analysis be done</w:t>
      </w:r>
      <w:r w:rsidR="00F92EA2">
        <w:rPr>
          <w:sz w:val="24"/>
          <w:u w:val="single"/>
        </w:rPr>
        <w:t xml:space="preserve">.  The long-term analysis, however, will be more complete and more accurate. </w:t>
      </w:r>
    </w:p>
    <w:p w:rsidR="00E00850" w:rsidRDefault="00E00850" w:rsidP="00B34E5F">
      <w:pPr>
        <w:spacing w:line="276" w:lineRule="auto"/>
        <w:rPr>
          <w:sz w:val="24"/>
          <w:szCs w:val="24"/>
          <w:u w:val="single"/>
        </w:rPr>
      </w:pPr>
    </w:p>
    <w:p w:rsidR="00F473EB" w:rsidRPr="00DD6219" w:rsidRDefault="007674E9" w:rsidP="00B34E5F">
      <w:pPr>
        <w:spacing w:line="276" w:lineRule="auto"/>
        <w:rPr>
          <w:b/>
          <w:sz w:val="28"/>
          <w:szCs w:val="28"/>
        </w:rPr>
      </w:pPr>
      <w:r>
        <w:rPr>
          <w:sz w:val="24"/>
          <w:szCs w:val="24"/>
          <w:u w:val="single"/>
        </w:rPr>
        <w:t xml:space="preserve">B. </w:t>
      </w:r>
      <w:r w:rsidR="00DE1FBF" w:rsidRPr="00231B2A">
        <w:rPr>
          <w:sz w:val="24"/>
          <w:szCs w:val="24"/>
          <w:u w:val="single"/>
        </w:rPr>
        <w:t>Spatial Lumping of Projects</w:t>
      </w:r>
    </w:p>
    <w:p w:rsidR="003330C8" w:rsidRPr="00C67BE6" w:rsidRDefault="00BB51D1" w:rsidP="00B34E5F">
      <w:pPr>
        <w:spacing w:line="276" w:lineRule="auto"/>
        <w:rPr>
          <w:sz w:val="24"/>
        </w:rPr>
      </w:pPr>
      <w:r>
        <w:rPr>
          <w:sz w:val="24"/>
        </w:rPr>
        <w:t xml:space="preserve"> </w:t>
      </w:r>
      <w:r w:rsidR="00DE1FBF" w:rsidRPr="00231B2A">
        <w:rPr>
          <w:sz w:val="24"/>
        </w:rPr>
        <w:t>The OEIS d</w:t>
      </w:r>
      <w:r w:rsidR="00A54671">
        <w:rPr>
          <w:sz w:val="24"/>
        </w:rPr>
        <w:t>raft guidelines recommend that p</w:t>
      </w:r>
      <w:r w:rsidR="00DE1FBF" w:rsidRPr="00231B2A">
        <w:rPr>
          <w:sz w:val="24"/>
        </w:rPr>
        <w:t>lan</w:t>
      </w:r>
      <w:r w:rsidR="00A54671">
        <w:rPr>
          <w:sz w:val="24"/>
        </w:rPr>
        <w:t>ned</w:t>
      </w:r>
      <w:r w:rsidR="00E83FBE">
        <w:rPr>
          <w:sz w:val="24"/>
        </w:rPr>
        <w:t xml:space="preserve"> projects and</w:t>
      </w:r>
      <w:r w:rsidR="00A54671">
        <w:rPr>
          <w:sz w:val="24"/>
        </w:rPr>
        <w:t xml:space="preserve"> </w:t>
      </w:r>
      <w:r w:rsidR="00DE1FBF" w:rsidRPr="00231B2A">
        <w:rPr>
          <w:sz w:val="24"/>
        </w:rPr>
        <w:t xml:space="preserve">Alternative projects be lumped together so as to be adjacent.  </w:t>
      </w:r>
      <w:r w:rsidR="00DE1FBF" w:rsidRPr="00A54671">
        <w:rPr>
          <w:sz w:val="24"/>
          <w:u w:val="single"/>
        </w:rPr>
        <w:t>This</w:t>
      </w:r>
      <w:r w:rsidR="00E83FBE">
        <w:rPr>
          <w:sz w:val="24"/>
          <w:u w:val="single"/>
        </w:rPr>
        <w:t xml:space="preserve"> constraint</w:t>
      </w:r>
      <w:r w:rsidR="00DE1FBF" w:rsidRPr="00A54671">
        <w:rPr>
          <w:sz w:val="24"/>
          <w:u w:val="single"/>
        </w:rPr>
        <w:t xml:space="preserve"> is not needed</w:t>
      </w:r>
      <w:r w:rsidR="00DE1FBF" w:rsidRPr="00231B2A">
        <w:rPr>
          <w:sz w:val="24"/>
        </w:rPr>
        <w:t xml:space="preserve"> and will often require the inclusion of lower-risk circuits o</w:t>
      </w:r>
      <w:r w:rsidR="00A54671">
        <w:rPr>
          <w:sz w:val="24"/>
        </w:rPr>
        <w:t>r segments and so reduce Plan</w:t>
      </w:r>
      <w:r w:rsidR="00DE1FBF" w:rsidRPr="00231B2A">
        <w:rPr>
          <w:sz w:val="24"/>
        </w:rPr>
        <w:t xml:space="preserve"> risk reduction effectiveness</w:t>
      </w:r>
      <w:r w:rsidR="00E83FBE">
        <w:rPr>
          <w:sz w:val="24"/>
        </w:rPr>
        <w:t>, for any given number of circuits (projects)</w:t>
      </w:r>
      <w:r w:rsidR="00DE1FBF" w:rsidRPr="00231B2A">
        <w:rPr>
          <w:sz w:val="24"/>
        </w:rPr>
        <w:t xml:space="preserve">.  This </w:t>
      </w:r>
      <w:r w:rsidR="00113914">
        <w:rPr>
          <w:sz w:val="24"/>
        </w:rPr>
        <w:t xml:space="preserve">lumping </w:t>
      </w:r>
      <w:r w:rsidR="00DE1FBF" w:rsidRPr="00231B2A">
        <w:rPr>
          <w:sz w:val="24"/>
        </w:rPr>
        <w:t xml:space="preserve">recommendation will also reduce the number of highest-priority projects that can be </w:t>
      </w:r>
      <w:r w:rsidR="00B81D79">
        <w:rPr>
          <w:sz w:val="24"/>
        </w:rPr>
        <w:t xml:space="preserve">completed in the first 10 years, for any given number of circuits.  </w:t>
      </w:r>
      <w:r w:rsidR="00DE1FBF" w:rsidRPr="00231B2A">
        <w:rPr>
          <w:sz w:val="24"/>
        </w:rPr>
        <w:t xml:space="preserve">  </w:t>
      </w:r>
    </w:p>
    <w:p w:rsidR="00E00850" w:rsidRDefault="00E00850" w:rsidP="00B34E5F">
      <w:pPr>
        <w:spacing w:line="276" w:lineRule="auto"/>
        <w:rPr>
          <w:sz w:val="24"/>
          <w:u w:val="single"/>
        </w:rPr>
      </w:pPr>
    </w:p>
    <w:p w:rsidR="00DE1FBF" w:rsidRPr="00231B2A" w:rsidRDefault="007674E9" w:rsidP="00B34E5F">
      <w:pPr>
        <w:spacing w:line="276" w:lineRule="auto"/>
        <w:rPr>
          <w:sz w:val="24"/>
          <w:u w:val="single"/>
        </w:rPr>
      </w:pPr>
      <w:r>
        <w:rPr>
          <w:sz w:val="24"/>
          <w:u w:val="single"/>
        </w:rPr>
        <w:lastRenderedPageBreak/>
        <w:t xml:space="preserve">C. </w:t>
      </w:r>
      <w:r w:rsidR="00DE1FBF" w:rsidRPr="00231B2A">
        <w:rPr>
          <w:sz w:val="24"/>
          <w:u w:val="single"/>
        </w:rPr>
        <w:t>Metrics</w:t>
      </w:r>
    </w:p>
    <w:p w:rsidR="00231B2A" w:rsidRDefault="00BB51D1" w:rsidP="00B34E5F">
      <w:pPr>
        <w:spacing w:line="276" w:lineRule="auto"/>
        <w:rPr>
          <w:sz w:val="24"/>
          <w:szCs w:val="24"/>
        </w:rPr>
      </w:pPr>
      <w:r>
        <w:rPr>
          <w:sz w:val="24"/>
          <w:szCs w:val="24"/>
        </w:rPr>
        <w:t xml:space="preserve">   </w:t>
      </w:r>
      <w:r w:rsidR="00113914">
        <w:rPr>
          <w:sz w:val="24"/>
          <w:szCs w:val="24"/>
        </w:rPr>
        <w:t>In</w:t>
      </w:r>
      <w:r w:rsidR="00231B2A" w:rsidRPr="00231B2A">
        <w:rPr>
          <w:sz w:val="24"/>
          <w:szCs w:val="24"/>
        </w:rPr>
        <w:t xml:space="preserve"> the comments submitted to the CPUC on their SPD Staff Proposal (9/13/23) and to OEIS on their SB 884 Guidelines </w:t>
      </w:r>
      <w:r w:rsidR="00113914">
        <w:rPr>
          <w:sz w:val="24"/>
          <w:szCs w:val="24"/>
        </w:rPr>
        <w:t xml:space="preserve">(10/16/23) </w:t>
      </w:r>
      <w:r w:rsidR="00231B2A" w:rsidRPr="00231B2A">
        <w:rPr>
          <w:sz w:val="24"/>
          <w:szCs w:val="24"/>
          <w:u w:val="single"/>
        </w:rPr>
        <w:t>some experts would like OEIS to also evaluate costs using the RSE and B/C metrics,</w:t>
      </w:r>
      <w:r w:rsidR="00231B2A" w:rsidRPr="00231B2A">
        <w:rPr>
          <w:sz w:val="24"/>
          <w:szCs w:val="24"/>
        </w:rPr>
        <w:t xml:space="preserve"> to fully evaluate</w:t>
      </w:r>
      <w:r w:rsidR="001B0D5E">
        <w:rPr>
          <w:sz w:val="24"/>
          <w:szCs w:val="24"/>
        </w:rPr>
        <w:t xml:space="preserve"> project prioritization.  Doing this would also</w:t>
      </w:r>
      <w:r w:rsidR="00231B2A" w:rsidRPr="00231B2A">
        <w:rPr>
          <w:sz w:val="24"/>
          <w:szCs w:val="24"/>
        </w:rPr>
        <w:t xml:space="preserve"> make the review procedures for SB 884 UG Plans, WMP updates, and GRC proposals more similar</w:t>
      </w:r>
      <w:r w:rsidR="00B81D79">
        <w:rPr>
          <w:sz w:val="24"/>
          <w:szCs w:val="24"/>
        </w:rPr>
        <w:t xml:space="preserve"> in critical ways</w:t>
      </w:r>
      <w:r w:rsidR="00231B2A" w:rsidRPr="00231B2A">
        <w:rPr>
          <w:sz w:val="24"/>
          <w:szCs w:val="24"/>
        </w:rPr>
        <w:t xml:space="preserve"> and therefore easier to follow for interest groups and citizens.  </w:t>
      </w:r>
      <w:r w:rsidR="00231B2A" w:rsidRPr="008F39AE">
        <w:rPr>
          <w:sz w:val="24"/>
          <w:szCs w:val="24"/>
          <w:u w:val="single"/>
        </w:rPr>
        <w:t>This is a good idea</w:t>
      </w:r>
      <w:r w:rsidR="00231B2A" w:rsidRPr="00231B2A">
        <w:rPr>
          <w:sz w:val="24"/>
          <w:szCs w:val="24"/>
        </w:rPr>
        <w:t xml:space="preserve">, as it will improve methods and make it easier for interest groups </w:t>
      </w:r>
      <w:r w:rsidR="008F39AE">
        <w:rPr>
          <w:sz w:val="24"/>
          <w:szCs w:val="24"/>
        </w:rPr>
        <w:t>and citizens to participate.  This process will also focus agency attention on the (c)(6) long-term analysis, where the most-important impacts will be revealed directly, not buried in project risk coeffici</w:t>
      </w:r>
      <w:r w:rsidR="00F56B88">
        <w:rPr>
          <w:sz w:val="24"/>
          <w:szCs w:val="24"/>
        </w:rPr>
        <w:t xml:space="preserve">ents, which are hard to understand.  </w:t>
      </w:r>
    </w:p>
    <w:p w:rsidR="00632E9F" w:rsidRDefault="00632E9F" w:rsidP="00B34E5F">
      <w:pPr>
        <w:spacing w:line="276" w:lineRule="auto"/>
        <w:rPr>
          <w:sz w:val="24"/>
          <w:szCs w:val="24"/>
        </w:rPr>
      </w:pPr>
      <w:r>
        <w:rPr>
          <w:sz w:val="24"/>
          <w:szCs w:val="24"/>
        </w:rPr>
        <w:t xml:space="preserve">Thank you for considering these comments.  </w:t>
      </w:r>
    </w:p>
    <w:p w:rsidR="00975A95" w:rsidRPr="00231B2A" w:rsidRDefault="00975A95" w:rsidP="00B34E5F">
      <w:pPr>
        <w:spacing w:line="276" w:lineRule="auto"/>
        <w:rPr>
          <w:sz w:val="24"/>
          <w:szCs w:val="24"/>
        </w:rPr>
      </w:pPr>
      <w:r>
        <w:rPr>
          <w:sz w:val="24"/>
          <w:szCs w:val="24"/>
        </w:rPr>
        <w:t>v. 5, 1/17/24</w:t>
      </w:r>
    </w:p>
    <w:p w:rsidR="0082443E" w:rsidRDefault="0082443E" w:rsidP="00B34E5F">
      <w:pPr>
        <w:spacing w:line="276" w:lineRule="auto"/>
        <w:rPr>
          <w:sz w:val="24"/>
          <w:szCs w:val="24"/>
          <w:u w:val="single"/>
        </w:rPr>
      </w:pPr>
      <w:r>
        <w:rPr>
          <w:sz w:val="24"/>
          <w:szCs w:val="24"/>
          <w:u w:val="single"/>
        </w:rPr>
        <w:t>______________________________________________________________________________</w:t>
      </w:r>
    </w:p>
    <w:p w:rsidR="00231B2A" w:rsidRPr="00932669" w:rsidRDefault="00932669" w:rsidP="00B34E5F">
      <w:pPr>
        <w:spacing w:line="276" w:lineRule="auto"/>
        <w:rPr>
          <w:sz w:val="24"/>
          <w:szCs w:val="24"/>
          <w:u w:val="single"/>
        </w:rPr>
      </w:pPr>
      <w:r w:rsidRPr="00932669">
        <w:rPr>
          <w:sz w:val="24"/>
          <w:szCs w:val="24"/>
          <w:u w:val="single"/>
        </w:rPr>
        <w:t>My Qualifications</w:t>
      </w:r>
    </w:p>
    <w:p w:rsidR="00B03835" w:rsidRDefault="00BB51D1" w:rsidP="00B34E5F">
      <w:pPr>
        <w:spacing w:line="276" w:lineRule="auto"/>
        <w:rPr>
          <w:sz w:val="24"/>
          <w:szCs w:val="24"/>
        </w:rPr>
      </w:pPr>
      <w:r>
        <w:rPr>
          <w:sz w:val="24"/>
          <w:szCs w:val="24"/>
        </w:rPr>
        <w:t xml:space="preserve">   </w:t>
      </w:r>
      <w:r w:rsidR="0059643C">
        <w:rPr>
          <w:sz w:val="24"/>
          <w:szCs w:val="24"/>
        </w:rPr>
        <w:t>I ta</w:t>
      </w:r>
      <w:r w:rsidR="00B03835">
        <w:rPr>
          <w:sz w:val="24"/>
          <w:szCs w:val="24"/>
        </w:rPr>
        <w:t>ught and did research on environmental planning</w:t>
      </w:r>
      <w:r w:rsidR="0059643C">
        <w:rPr>
          <w:sz w:val="24"/>
          <w:szCs w:val="24"/>
        </w:rPr>
        <w:t xml:space="preserve"> issues at UC Davis, 1971-2005.</w:t>
      </w:r>
      <w:r w:rsidR="0070228D">
        <w:rPr>
          <w:sz w:val="24"/>
          <w:szCs w:val="24"/>
        </w:rPr>
        <w:t xml:space="preserve">  Since then, I have been a local planning commissioner and a State conservancy board member.  I have also done applied research for community groups.</w:t>
      </w:r>
      <w:r w:rsidR="0059643C">
        <w:rPr>
          <w:sz w:val="24"/>
          <w:szCs w:val="24"/>
        </w:rPr>
        <w:t xml:space="preserve">  </w:t>
      </w:r>
      <w:r w:rsidR="00E00850">
        <w:rPr>
          <w:sz w:val="24"/>
          <w:szCs w:val="24"/>
        </w:rPr>
        <w:t xml:space="preserve">I have been an expert in federal NEPA lawsuits on urban growth impacts.  </w:t>
      </w:r>
      <w:r w:rsidR="00A62197">
        <w:rPr>
          <w:sz w:val="24"/>
          <w:szCs w:val="24"/>
        </w:rPr>
        <w:t xml:space="preserve">I have been a consultant to many local, regional, state, and federal agencies and NGOs. </w:t>
      </w:r>
    </w:p>
    <w:p w:rsidR="00260723" w:rsidRDefault="00BB51D1" w:rsidP="00B34E5F">
      <w:pPr>
        <w:spacing w:line="276" w:lineRule="auto"/>
        <w:rPr>
          <w:sz w:val="24"/>
          <w:szCs w:val="24"/>
        </w:rPr>
      </w:pPr>
      <w:r>
        <w:rPr>
          <w:sz w:val="24"/>
          <w:szCs w:val="24"/>
        </w:rPr>
        <w:t xml:space="preserve">   </w:t>
      </w:r>
      <w:r w:rsidR="00632E9F">
        <w:rPr>
          <w:sz w:val="24"/>
          <w:szCs w:val="24"/>
        </w:rPr>
        <w:t>Some of m</w:t>
      </w:r>
      <w:r w:rsidR="0070228D">
        <w:rPr>
          <w:sz w:val="24"/>
          <w:szCs w:val="24"/>
        </w:rPr>
        <w:t>y UCD</w:t>
      </w:r>
      <w:r w:rsidR="002C369E">
        <w:rPr>
          <w:sz w:val="24"/>
          <w:szCs w:val="24"/>
        </w:rPr>
        <w:t>avis</w:t>
      </w:r>
      <w:r w:rsidR="0070228D">
        <w:rPr>
          <w:sz w:val="24"/>
          <w:szCs w:val="24"/>
        </w:rPr>
        <w:t xml:space="preserve"> research</w:t>
      </w:r>
      <w:r w:rsidR="00E00850">
        <w:rPr>
          <w:sz w:val="24"/>
          <w:szCs w:val="24"/>
        </w:rPr>
        <w:t xml:space="preserve"> was funded by the </w:t>
      </w:r>
      <w:r w:rsidR="0059643C">
        <w:rPr>
          <w:sz w:val="24"/>
          <w:szCs w:val="24"/>
        </w:rPr>
        <w:t>E</w:t>
      </w:r>
      <w:r w:rsidR="00E00850">
        <w:rPr>
          <w:sz w:val="24"/>
          <w:szCs w:val="24"/>
        </w:rPr>
        <w:t xml:space="preserve">nergy </w:t>
      </w:r>
      <w:r w:rsidR="0059643C">
        <w:rPr>
          <w:sz w:val="24"/>
          <w:szCs w:val="24"/>
        </w:rPr>
        <w:t>C</w:t>
      </w:r>
      <w:r w:rsidR="00E00850">
        <w:rPr>
          <w:sz w:val="24"/>
          <w:szCs w:val="24"/>
        </w:rPr>
        <w:t>ommission</w:t>
      </w:r>
      <w:r w:rsidR="0059643C">
        <w:rPr>
          <w:sz w:val="24"/>
          <w:szCs w:val="24"/>
        </w:rPr>
        <w:t xml:space="preserve">, Caltrans, and other State agencies to perform statewide economic modeling, </w:t>
      </w:r>
      <w:r w:rsidR="00632E9F">
        <w:rPr>
          <w:sz w:val="24"/>
          <w:szCs w:val="24"/>
        </w:rPr>
        <w:t xml:space="preserve">regional </w:t>
      </w:r>
      <w:r w:rsidR="0059643C">
        <w:rPr>
          <w:sz w:val="24"/>
          <w:szCs w:val="24"/>
        </w:rPr>
        <w:t xml:space="preserve">transportation modeling, </w:t>
      </w:r>
      <w:r w:rsidR="00E00850">
        <w:rPr>
          <w:sz w:val="24"/>
          <w:szCs w:val="24"/>
        </w:rPr>
        <w:t xml:space="preserve">build </w:t>
      </w:r>
      <w:r w:rsidR="0059643C">
        <w:rPr>
          <w:sz w:val="24"/>
          <w:szCs w:val="24"/>
        </w:rPr>
        <w:t xml:space="preserve">GIS </w:t>
      </w:r>
      <w:r w:rsidR="00D91336">
        <w:rPr>
          <w:sz w:val="24"/>
          <w:szCs w:val="24"/>
        </w:rPr>
        <w:t xml:space="preserve">modeling </w:t>
      </w:r>
      <w:r w:rsidR="0059643C">
        <w:rPr>
          <w:sz w:val="24"/>
          <w:szCs w:val="24"/>
        </w:rPr>
        <w:t>systems</w:t>
      </w:r>
      <w:r w:rsidR="00E00850">
        <w:rPr>
          <w:sz w:val="24"/>
          <w:szCs w:val="24"/>
        </w:rPr>
        <w:t xml:space="preserve"> for specific programs</w:t>
      </w:r>
      <w:r w:rsidR="0059643C">
        <w:rPr>
          <w:sz w:val="24"/>
          <w:szCs w:val="24"/>
        </w:rPr>
        <w:t>,</w:t>
      </w:r>
      <w:r w:rsidR="00632E9F">
        <w:rPr>
          <w:sz w:val="24"/>
          <w:szCs w:val="24"/>
        </w:rPr>
        <w:t xml:space="preserve"> regional urban growth models,</w:t>
      </w:r>
      <w:r w:rsidR="0059643C">
        <w:rPr>
          <w:sz w:val="24"/>
          <w:szCs w:val="24"/>
        </w:rPr>
        <w:t xml:space="preserve"> and </w:t>
      </w:r>
      <w:r w:rsidR="00D91336">
        <w:rPr>
          <w:sz w:val="24"/>
          <w:szCs w:val="24"/>
        </w:rPr>
        <w:t xml:space="preserve">various </w:t>
      </w:r>
      <w:r w:rsidR="00632E9F">
        <w:rPr>
          <w:sz w:val="24"/>
          <w:szCs w:val="24"/>
        </w:rPr>
        <w:t xml:space="preserve">other </w:t>
      </w:r>
      <w:r w:rsidR="00D91336">
        <w:rPr>
          <w:sz w:val="24"/>
          <w:szCs w:val="24"/>
        </w:rPr>
        <w:t>kinds of public policy evaluation</w:t>
      </w:r>
      <w:r w:rsidR="00A62197">
        <w:rPr>
          <w:sz w:val="24"/>
          <w:szCs w:val="24"/>
        </w:rPr>
        <w:t xml:space="preserve"> tools</w:t>
      </w:r>
      <w:r w:rsidR="00D91336">
        <w:rPr>
          <w:sz w:val="24"/>
          <w:szCs w:val="24"/>
        </w:rPr>
        <w:t xml:space="preserve">.  </w:t>
      </w:r>
      <w:r w:rsidR="00EC3D3B">
        <w:rPr>
          <w:sz w:val="24"/>
          <w:szCs w:val="24"/>
        </w:rPr>
        <w:t>M</w:t>
      </w:r>
      <w:r w:rsidR="00D91336">
        <w:rPr>
          <w:sz w:val="24"/>
          <w:szCs w:val="24"/>
        </w:rPr>
        <w:t xml:space="preserve">y work included </w:t>
      </w:r>
      <w:r w:rsidR="00EC3D3B">
        <w:rPr>
          <w:sz w:val="24"/>
          <w:szCs w:val="24"/>
        </w:rPr>
        <w:t xml:space="preserve">improving </w:t>
      </w:r>
      <w:r w:rsidR="00D91336">
        <w:rPr>
          <w:sz w:val="24"/>
          <w:szCs w:val="24"/>
        </w:rPr>
        <w:t>multi-objective evaluation methods used in water resource</w:t>
      </w:r>
      <w:r w:rsidR="002C369E">
        <w:rPr>
          <w:sz w:val="24"/>
          <w:szCs w:val="24"/>
        </w:rPr>
        <w:t>s decision-</w:t>
      </w:r>
      <w:r w:rsidR="00A62197">
        <w:rPr>
          <w:sz w:val="24"/>
          <w:szCs w:val="24"/>
        </w:rPr>
        <w:t xml:space="preserve">making.  I </w:t>
      </w:r>
      <w:r w:rsidR="00632E9F">
        <w:rPr>
          <w:sz w:val="24"/>
          <w:szCs w:val="24"/>
        </w:rPr>
        <w:t>published</w:t>
      </w:r>
      <w:r w:rsidR="00D91336">
        <w:rPr>
          <w:sz w:val="24"/>
          <w:szCs w:val="24"/>
        </w:rPr>
        <w:t xml:space="preserve"> research papers on benefit-cost methods, environmental assessment </w:t>
      </w:r>
      <w:r w:rsidR="0070228D">
        <w:rPr>
          <w:sz w:val="24"/>
          <w:szCs w:val="24"/>
        </w:rPr>
        <w:t xml:space="preserve">tools, and environmental justice.  </w:t>
      </w:r>
      <w:r w:rsidR="00B03835">
        <w:rPr>
          <w:sz w:val="24"/>
          <w:szCs w:val="24"/>
        </w:rPr>
        <w:t>I helped the USEPA write the metro transport planning</w:t>
      </w:r>
      <w:r w:rsidR="00260723">
        <w:rPr>
          <w:sz w:val="24"/>
          <w:szCs w:val="24"/>
        </w:rPr>
        <w:t xml:space="preserve"> rule under the Clean Air Act.  </w:t>
      </w:r>
    </w:p>
    <w:p w:rsidR="00932669" w:rsidRDefault="00260723" w:rsidP="00B34E5F">
      <w:pPr>
        <w:spacing w:line="276" w:lineRule="auto"/>
        <w:rPr>
          <w:sz w:val="24"/>
          <w:szCs w:val="24"/>
        </w:rPr>
      </w:pPr>
      <w:r>
        <w:rPr>
          <w:sz w:val="24"/>
          <w:szCs w:val="24"/>
        </w:rPr>
        <w:t xml:space="preserve">   In general, I advocate the use of public policy evaluat</w:t>
      </w:r>
      <w:r w:rsidR="002C369E">
        <w:rPr>
          <w:sz w:val="24"/>
          <w:szCs w:val="24"/>
        </w:rPr>
        <w:t xml:space="preserve">ion methods, which include </w:t>
      </w:r>
      <w:r>
        <w:rPr>
          <w:sz w:val="24"/>
          <w:szCs w:val="24"/>
        </w:rPr>
        <w:t>benefit</w:t>
      </w:r>
      <w:r w:rsidR="002C369E">
        <w:rPr>
          <w:sz w:val="24"/>
          <w:szCs w:val="24"/>
        </w:rPr>
        <w:t>-cost</w:t>
      </w:r>
      <w:r>
        <w:rPr>
          <w:sz w:val="24"/>
          <w:szCs w:val="24"/>
        </w:rPr>
        <w:t xml:space="preserve"> analysis, focus on long-range and large impacts, include qualitative impacts, and pay attention to equity effects on different income groups.  </w:t>
      </w:r>
    </w:p>
    <w:p w:rsidR="002C369E" w:rsidRDefault="002C369E" w:rsidP="00B34E5F">
      <w:pPr>
        <w:spacing w:line="276" w:lineRule="auto"/>
        <w:rPr>
          <w:sz w:val="24"/>
          <w:szCs w:val="24"/>
        </w:rPr>
      </w:pPr>
    </w:p>
    <w:p w:rsidR="00436D47" w:rsidRPr="00436D47" w:rsidRDefault="00436D47" w:rsidP="00436D47">
      <w:pPr>
        <w:spacing w:after="0" w:line="240" w:lineRule="auto"/>
        <w:rPr>
          <w:sz w:val="24"/>
          <w:szCs w:val="24"/>
        </w:rPr>
      </w:pPr>
      <w:r w:rsidRPr="00436D47">
        <w:rPr>
          <w:sz w:val="24"/>
          <w:szCs w:val="24"/>
        </w:rPr>
        <w:t>Robert A</w:t>
      </w:r>
      <w:r w:rsidR="00641AD8">
        <w:rPr>
          <w:sz w:val="24"/>
          <w:szCs w:val="24"/>
        </w:rPr>
        <w:t>.  Johnston, Professor Emeritus</w:t>
      </w:r>
      <w:r w:rsidRPr="00436D47">
        <w:rPr>
          <w:sz w:val="24"/>
          <w:szCs w:val="24"/>
        </w:rPr>
        <w:t xml:space="preserve"> </w:t>
      </w:r>
    </w:p>
    <w:p w:rsidR="00436D47" w:rsidRPr="00436D47" w:rsidRDefault="00436D47" w:rsidP="00436D47">
      <w:pPr>
        <w:spacing w:after="0" w:line="240" w:lineRule="auto"/>
        <w:rPr>
          <w:sz w:val="24"/>
          <w:szCs w:val="24"/>
        </w:rPr>
      </w:pPr>
      <w:r w:rsidRPr="00436D47">
        <w:rPr>
          <w:sz w:val="24"/>
          <w:szCs w:val="24"/>
        </w:rPr>
        <w:t>University of California, Davis</w:t>
      </w:r>
    </w:p>
    <w:p w:rsidR="00436D47" w:rsidRPr="00436D47" w:rsidRDefault="00436D47" w:rsidP="00436D47">
      <w:pPr>
        <w:spacing w:after="0" w:line="240" w:lineRule="auto"/>
        <w:rPr>
          <w:sz w:val="24"/>
          <w:szCs w:val="24"/>
        </w:rPr>
      </w:pPr>
      <w:r w:rsidRPr="00436D47">
        <w:rPr>
          <w:sz w:val="24"/>
          <w:szCs w:val="24"/>
        </w:rPr>
        <w:t>December 27, 2023</w:t>
      </w:r>
    </w:p>
    <w:p w:rsidR="00B03835" w:rsidRDefault="00436D47" w:rsidP="00641AD8">
      <w:pPr>
        <w:spacing w:after="0" w:line="276" w:lineRule="auto"/>
        <w:rPr>
          <w:sz w:val="24"/>
          <w:szCs w:val="24"/>
        </w:rPr>
      </w:pPr>
      <w:r>
        <w:rPr>
          <w:sz w:val="24"/>
          <w:szCs w:val="24"/>
        </w:rPr>
        <w:t>rajohnston@ucdavis.edu</w:t>
      </w:r>
    </w:p>
    <w:p w:rsidR="00B03835" w:rsidRDefault="00641AD8" w:rsidP="00430221">
      <w:pPr>
        <w:spacing w:after="0" w:line="276" w:lineRule="auto"/>
        <w:rPr>
          <w:sz w:val="24"/>
          <w:szCs w:val="24"/>
        </w:rPr>
      </w:pPr>
      <w:r>
        <w:rPr>
          <w:sz w:val="24"/>
          <w:szCs w:val="24"/>
        </w:rPr>
        <w:t>415 663-8305</w:t>
      </w:r>
    </w:p>
    <w:p w:rsidR="00B93986" w:rsidRDefault="00945857" w:rsidP="00B93986">
      <w:pPr>
        <w:jc w:val="center"/>
        <w:rPr>
          <w:b/>
          <w:sz w:val="24"/>
          <w:szCs w:val="24"/>
        </w:rPr>
      </w:pPr>
      <w:r>
        <w:rPr>
          <w:sz w:val="24"/>
          <w:szCs w:val="24"/>
        </w:rPr>
        <w:br w:type="page"/>
      </w:r>
      <w:r w:rsidR="0083220C" w:rsidRPr="0083220C">
        <w:rPr>
          <w:b/>
          <w:sz w:val="24"/>
          <w:szCs w:val="24"/>
        </w:rPr>
        <w:lastRenderedPageBreak/>
        <w:t>Appendix:</w:t>
      </w:r>
      <w:r w:rsidR="0083220C">
        <w:rPr>
          <w:sz w:val="24"/>
          <w:szCs w:val="24"/>
        </w:rPr>
        <w:t xml:space="preserve"> </w:t>
      </w:r>
      <w:r w:rsidR="00B93986" w:rsidRPr="0055761A">
        <w:rPr>
          <w:b/>
          <w:sz w:val="24"/>
          <w:szCs w:val="24"/>
        </w:rPr>
        <w:t xml:space="preserve">Illustrative Calculations: Wildfire Risk Reduction  (As </w:t>
      </w:r>
      <w:r w:rsidR="00B93986">
        <w:rPr>
          <w:b/>
          <w:sz w:val="24"/>
          <w:szCs w:val="24"/>
        </w:rPr>
        <w:t>a Fraction for</w:t>
      </w:r>
      <w:r w:rsidR="00B93986" w:rsidRPr="0055761A">
        <w:rPr>
          <w:b/>
          <w:sz w:val="24"/>
          <w:szCs w:val="24"/>
        </w:rPr>
        <w:t xml:space="preserve"> Any Year)</w:t>
      </w:r>
    </w:p>
    <w:p w:rsidR="00B93986" w:rsidRPr="001E03D5" w:rsidRDefault="00B93986" w:rsidP="001E03D5">
      <w:pPr>
        <w:jc w:val="center"/>
        <w:rPr>
          <w:b/>
          <w:sz w:val="24"/>
          <w:szCs w:val="24"/>
        </w:rPr>
      </w:pPr>
      <w:r>
        <w:rPr>
          <w:b/>
          <w:sz w:val="24"/>
          <w:szCs w:val="24"/>
        </w:rPr>
        <w:t>and</w:t>
      </w:r>
      <w:r w:rsidRPr="0055761A">
        <w:rPr>
          <w:b/>
          <w:sz w:val="24"/>
          <w:szCs w:val="24"/>
        </w:rPr>
        <w:t xml:space="preserve"> Wildfire Risk Reduction-Years (Areas Under the Curves), 2025-2075</w:t>
      </w:r>
    </w:p>
    <w:tbl>
      <w:tblPr>
        <w:tblStyle w:val="TableGrid"/>
        <w:tblpPr w:leftFromText="180" w:rightFromText="180" w:vertAnchor="page" w:horzAnchor="margin" w:tblpY="1701"/>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95"/>
        <w:gridCol w:w="1710"/>
        <w:gridCol w:w="1710"/>
        <w:gridCol w:w="1800"/>
        <w:gridCol w:w="1800"/>
        <w:gridCol w:w="1890"/>
      </w:tblGrid>
      <w:tr w:rsidR="008E12A4" w:rsidRPr="00355F1A" w:rsidTr="00263052">
        <w:trPr>
          <w:trHeight w:val="403"/>
        </w:trPr>
        <w:tc>
          <w:tcPr>
            <w:tcW w:w="1695" w:type="dxa"/>
          </w:tcPr>
          <w:p w:rsidR="008E12A4" w:rsidRPr="00355F1A" w:rsidRDefault="008E12A4" w:rsidP="00263052">
            <w:pPr>
              <w:rPr>
                <w:b/>
              </w:rPr>
            </w:pPr>
            <w:r w:rsidRPr="00355F1A">
              <w:rPr>
                <w:b/>
              </w:rPr>
              <w:t>Technology</w:t>
            </w:r>
          </w:p>
        </w:tc>
        <w:tc>
          <w:tcPr>
            <w:tcW w:w="1710" w:type="dxa"/>
          </w:tcPr>
          <w:p w:rsidR="008E12A4" w:rsidRPr="00355F1A" w:rsidRDefault="008E12A4" w:rsidP="00263052">
            <w:pPr>
              <w:jc w:val="center"/>
              <w:rPr>
                <w:b/>
              </w:rPr>
            </w:pPr>
            <w:r w:rsidRPr="00355F1A">
              <w:rPr>
                <w:b/>
              </w:rPr>
              <w:t>2025-34</w:t>
            </w:r>
          </w:p>
        </w:tc>
        <w:tc>
          <w:tcPr>
            <w:tcW w:w="1710" w:type="dxa"/>
          </w:tcPr>
          <w:p w:rsidR="008E12A4" w:rsidRPr="00355F1A" w:rsidRDefault="008E12A4" w:rsidP="00263052">
            <w:pPr>
              <w:jc w:val="center"/>
              <w:rPr>
                <w:b/>
              </w:rPr>
            </w:pPr>
            <w:r w:rsidRPr="00355F1A">
              <w:rPr>
                <w:b/>
              </w:rPr>
              <w:t>2035-44</w:t>
            </w:r>
          </w:p>
        </w:tc>
        <w:tc>
          <w:tcPr>
            <w:tcW w:w="1800" w:type="dxa"/>
          </w:tcPr>
          <w:p w:rsidR="008E12A4" w:rsidRPr="00355F1A" w:rsidRDefault="008E12A4" w:rsidP="00263052">
            <w:pPr>
              <w:jc w:val="center"/>
              <w:rPr>
                <w:b/>
              </w:rPr>
            </w:pPr>
            <w:r w:rsidRPr="00355F1A">
              <w:rPr>
                <w:b/>
              </w:rPr>
              <w:t>2045-54</w:t>
            </w:r>
          </w:p>
        </w:tc>
        <w:tc>
          <w:tcPr>
            <w:tcW w:w="1800" w:type="dxa"/>
          </w:tcPr>
          <w:p w:rsidR="008E12A4" w:rsidRPr="00355F1A" w:rsidRDefault="008E12A4" w:rsidP="00263052">
            <w:pPr>
              <w:jc w:val="center"/>
              <w:rPr>
                <w:b/>
              </w:rPr>
            </w:pPr>
            <w:r w:rsidRPr="00355F1A">
              <w:rPr>
                <w:b/>
              </w:rPr>
              <w:t>2055-2064</w:t>
            </w:r>
          </w:p>
        </w:tc>
        <w:tc>
          <w:tcPr>
            <w:tcW w:w="1890" w:type="dxa"/>
          </w:tcPr>
          <w:p w:rsidR="008E12A4" w:rsidRPr="00355F1A" w:rsidRDefault="008E12A4" w:rsidP="00263052">
            <w:pPr>
              <w:jc w:val="center"/>
              <w:rPr>
                <w:b/>
              </w:rPr>
            </w:pPr>
            <w:r w:rsidRPr="00355F1A">
              <w:rPr>
                <w:b/>
              </w:rPr>
              <w:t>2064-2075</w:t>
            </w:r>
          </w:p>
        </w:tc>
      </w:tr>
      <w:tr w:rsidR="008E12A4" w:rsidRPr="00355F1A" w:rsidTr="00263052">
        <w:trPr>
          <w:trHeight w:val="403"/>
        </w:trPr>
        <w:tc>
          <w:tcPr>
            <w:tcW w:w="1695" w:type="dxa"/>
          </w:tcPr>
          <w:p w:rsidR="008E12A4" w:rsidRPr="00355F1A" w:rsidRDefault="008E12A4" w:rsidP="00263052">
            <w:pPr>
              <w:rPr>
                <w:b/>
              </w:rPr>
            </w:pPr>
            <w:r w:rsidRPr="00355F1A">
              <w:rPr>
                <w:b/>
              </w:rPr>
              <w:t>1.Underground</w:t>
            </w:r>
          </w:p>
          <w:p w:rsidR="008E12A4" w:rsidRPr="00355F1A" w:rsidRDefault="008E12A4" w:rsidP="00263052"/>
          <w:p w:rsidR="008E12A4" w:rsidRPr="00355F1A" w:rsidRDefault="008E12A4" w:rsidP="00263052"/>
        </w:tc>
        <w:tc>
          <w:tcPr>
            <w:tcW w:w="1710" w:type="dxa"/>
          </w:tcPr>
          <w:p w:rsidR="008E12A4" w:rsidRPr="00355F1A" w:rsidRDefault="008E12A4" w:rsidP="00263052">
            <w:pPr>
              <w:rPr>
                <w:sz w:val="24"/>
              </w:rPr>
            </w:pPr>
            <w:r w:rsidRPr="00355F1A">
              <w:rPr>
                <w:b/>
                <w:noProof/>
              </w:rPr>
              <mc:AlternateContent>
                <mc:Choice Requires="wps">
                  <w:drawing>
                    <wp:anchor distT="0" distB="0" distL="114300" distR="114300" simplePos="0" relativeHeight="251659264" behindDoc="0" locked="0" layoutInCell="1" allowOverlap="1" wp14:anchorId="650B24A8" wp14:editId="778A225C">
                      <wp:simplePos x="0" y="0"/>
                      <wp:positionH relativeFrom="column">
                        <wp:posOffset>-64932</wp:posOffset>
                      </wp:positionH>
                      <wp:positionV relativeFrom="paragraph">
                        <wp:posOffset>3986</wp:posOffset>
                      </wp:positionV>
                      <wp:extent cx="5632247" cy="554476"/>
                      <wp:effectExtent l="0" t="0" r="26035" b="36195"/>
                      <wp:wrapNone/>
                      <wp:docPr id="1" name="Straight Connector 1"/>
                      <wp:cNvGraphicFramePr/>
                      <a:graphic xmlns:a="http://schemas.openxmlformats.org/drawingml/2006/main">
                        <a:graphicData uri="http://schemas.microsoft.com/office/word/2010/wordprocessingShape">
                          <wps:wsp>
                            <wps:cNvCnPr/>
                            <wps:spPr>
                              <a:xfrm flipV="1">
                                <a:off x="0" y="0"/>
                                <a:ext cx="5632247" cy="554476"/>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7991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438.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" strokecolor="windowText" strokeweight="1.25pt">
                      <v:stroke joinstyle="miter"/>
                    </v:line>
                  </w:pict>
                </mc:Fallback>
              </mc:AlternateContent>
            </w:r>
          </w:p>
          <w:p w:rsidR="008E12A4" w:rsidRPr="00355F1A" w:rsidRDefault="008E12A4" w:rsidP="00263052">
            <w:pPr>
              <w:rPr>
                <w:sz w:val="24"/>
              </w:rPr>
            </w:pPr>
            <w:r w:rsidRPr="00355F1A">
              <w:rPr>
                <w:sz w:val="24"/>
              </w:rPr>
              <w:t xml:space="preserve">           </w:t>
            </w:r>
            <w:r w:rsidRPr="00055C68">
              <w:rPr>
                <w:i/>
              </w:rPr>
              <w:t>0.1</w:t>
            </w:r>
            <w:r w:rsidRPr="00355F1A">
              <w:rPr>
                <w:i/>
                <w:sz w:val="24"/>
              </w:rPr>
              <w:t xml:space="preserve">     </w:t>
            </w:r>
            <w:r w:rsidRPr="00055C68">
              <w:t>0.2</w:t>
            </w:r>
          </w:p>
          <w:p w:rsidR="008E12A4" w:rsidRPr="00355F1A" w:rsidRDefault="008E12A4" w:rsidP="00263052">
            <w:pPr>
              <w:rPr>
                <w:sz w:val="24"/>
              </w:rPr>
            </w:pPr>
            <w:r w:rsidRPr="00055C68">
              <w:t>0</w:t>
            </w:r>
            <w:r w:rsidRPr="00355F1A">
              <w:rPr>
                <w:sz w:val="24"/>
              </w:rPr>
              <w:t xml:space="preserve">          X</w:t>
            </w:r>
          </w:p>
        </w:tc>
        <w:tc>
          <w:tcPr>
            <w:tcW w:w="1710" w:type="dxa"/>
          </w:tcPr>
          <w:p w:rsidR="008E12A4" w:rsidRPr="00355F1A" w:rsidRDefault="008E12A4" w:rsidP="00263052"/>
          <w:p w:rsidR="008E12A4" w:rsidRPr="00355F1A" w:rsidRDefault="008E12A4" w:rsidP="00263052">
            <w:r w:rsidRPr="00355F1A">
              <w:rPr>
                <w:i/>
              </w:rPr>
              <w:t xml:space="preserve">            0.3</w:t>
            </w:r>
            <w:r w:rsidRPr="00355F1A">
              <w:t xml:space="preserve">      0.4</w:t>
            </w:r>
          </w:p>
          <w:p w:rsidR="008E12A4" w:rsidRPr="00355F1A" w:rsidRDefault="008E12A4" w:rsidP="00263052">
            <w:r w:rsidRPr="00355F1A">
              <w:t xml:space="preserve">             X</w:t>
            </w:r>
          </w:p>
        </w:tc>
        <w:tc>
          <w:tcPr>
            <w:tcW w:w="1800" w:type="dxa"/>
          </w:tcPr>
          <w:p w:rsidR="008E12A4" w:rsidRPr="00355F1A" w:rsidRDefault="008E12A4" w:rsidP="00263052">
            <w:pPr>
              <w:rPr>
                <w:i/>
              </w:rPr>
            </w:pPr>
            <w:r w:rsidRPr="00355F1A">
              <w:t xml:space="preserve">           </w:t>
            </w:r>
            <w:r w:rsidRPr="00355F1A">
              <w:rPr>
                <w:i/>
              </w:rPr>
              <w:t>0.5</w:t>
            </w:r>
          </w:p>
          <w:p w:rsidR="008E12A4" w:rsidRPr="00355F1A" w:rsidRDefault="008E12A4" w:rsidP="00263052">
            <w:r w:rsidRPr="00355F1A">
              <w:t xml:space="preserve">              X         0.6</w:t>
            </w:r>
          </w:p>
        </w:tc>
        <w:tc>
          <w:tcPr>
            <w:tcW w:w="1800" w:type="dxa"/>
          </w:tcPr>
          <w:p w:rsidR="008E12A4" w:rsidRPr="00355F1A" w:rsidRDefault="008E12A4" w:rsidP="00263052">
            <w:r w:rsidRPr="00355F1A">
              <w:t xml:space="preserve">              X         0.8</w:t>
            </w:r>
          </w:p>
          <w:p w:rsidR="008E12A4" w:rsidRPr="00355F1A" w:rsidRDefault="008E12A4" w:rsidP="00263052">
            <w:r w:rsidRPr="00355F1A">
              <w:rPr>
                <w:i/>
              </w:rPr>
              <w:t xml:space="preserve">            0.7</w:t>
            </w:r>
            <w:r w:rsidRPr="00355F1A">
              <w:t xml:space="preserve">             </w:t>
            </w:r>
          </w:p>
        </w:tc>
        <w:tc>
          <w:tcPr>
            <w:tcW w:w="1890" w:type="dxa"/>
          </w:tcPr>
          <w:p w:rsidR="008E12A4" w:rsidRPr="00355F1A" w:rsidRDefault="008E12A4" w:rsidP="00263052">
            <w:r w:rsidRPr="00355F1A">
              <w:t xml:space="preserve">               X          1.0                </w:t>
            </w:r>
          </w:p>
          <w:p w:rsidR="008E12A4" w:rsidRPr="00355F1A" w:rsidRDefault="008E12A4" w:rsidP="00263052">
            <w:pPr>
              <w:rPr>
                <w:i/>
              </w:rPr>
            </w:pPr>
            <w:r w:rsidRPr="00355F1A">
              <w:rPr>
                <w:i/>
              </w:rPr>
              <w:t xml:space="preserve">              0.9</w:t>
            </w:r>
          </w:p>
        </w:tc>
      </w:tr>
      <w:tr w:rsidR="008E12A4" w:rsidRPr="00355F1A" w:rsidTr="00263052">
        <w:trPr>
          <w:trHeight w:val="428"/>
        </w:trPr>
        <w:tc>
          <w:tcPr>
            <w:tcW w:w="1695" w:type="dxa"/>
          </w:tcPr>
          <w:p w:rsidR="008E12A4" w:rsidRPr="00355F1A" w:rsidRDefault="008E12A4" w:rsidP="00263052">
            <w:pPr>
              <w:rPr>
                <w:b/>
              </w:rPr>
            </w:pPr>
            <w:r w:rsidRPr="00355F1A">
              <w:rPr>
                <w:b/>
                <w:noProof/>
              </w:rPr>
              <mc:AlternateContent>
                <mc:Choice Requires="wps">
                  <w:drawing>
                    <wp:anchor distT="0" distB="0" distL="114300" distR="114300" simplePos="0" relativeHeight="251660288" behindDoc="0" locked="0" layoutInCell="1" allowOverlap="1" wp14:anchorId="7077F785" wp14:editId="455FA89F">
                      <wp:simplePos x="0" y="0"/>
                      <wp:positionH relativeFrom="column">
                        <wp:posOffset>1001664</wp:posOffset>
                      </wp:positionH>
                      <wp:positionV relativeFrom="paragraph">
                        <wp:posOffset>149589</wp:posOffset>
                      </wp:positionV>
                      <wp:extent cx="1087985" cy="359923"/>
                      <wp:effectExtent l="0" t="0" r="36195" b="21590"/>
                      <wp:wrapNone/>
                      <wp:docPr id="2" name="Straight Connector 2"/>
                      <wp:cNvGraphicFramePr/>
                      <a:graphic xmlns:a="http://schemas.openxmlformats.org/drawingml/2006/main">
                        <a:graphicData uri="http://schemas.microsoft.com/office/word/2010/wordprocessingShape">
                          <wps:wsp>
                            <wps:cNvCnPr/>
                            <wps:spPr>
                              <a:xfrm flipV="1">
                                <a:off x="0" y="0"/>
                                <a:ext cx="1087985" cy="359923"/>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2818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11.8pt" to="164.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" strokecolor="windowText" strokeweight="1.5pt">
                      <v:stroke joinstyle="miter"/>
                    </v:line>
                  </w:pict>
                </mc:Fallback>
              </mc:AlternateContent>
            </w:r>
            <w:r w:rsidRPr="00355F1A">
              <w:rPr>
                <w:b/>
              </w:rPr>
              <w:t>2.Insulation</w:t>
            </w:r>
          </w:p>
          <w:p w:rsidR="008E12A4" w:rsidRPr="00355F1A" w:rsidRDefault="008E12A4" w:rsidP="00263052"/>
          <w:p w:rsidR="008E12A4" w:rsidRPr="00355F1A" w:rsidRDefault="008E12A4" w:rsidP="00263052"/>
        </w:tc>
        <w:tc>
          <w:tcPr>
            <w:tcW w:w="1710" w:type="dxa"/>
          </w:tcPr>
          <w:p w:rsidR="008E12A4" w:rsidRPr="00355F1A" w:rsidRDefault="008E12A4" w:rsidP="00263052">
            <w:r w:rsidRPr="00355F1A">
              <w:t xml:space="preserve">                       0.7</w:t>
            </w:r>
          </w:p>
          <w:p w:rsidR="008E12A4" w:rsidRPr="00355F1A" w:rsidRDefault="008E12A4" w:rsidP="00263052">
            <w:r w:rsidRPr="00355F1A">
              <w:t xml:space="preserve">              X</w:t>
            </w:r>
          </w:p>
          <w:p w:rsidR="008E12A4" w:rsidRPr="00355F1A" w:rsidRDefault="008E12A4" w:rsidP="00263052">
            <w:pPr>
              <w:rPr>
                <w:i/>
              </w:rPr>
            </w:pPr>
            <w:r w:rsidRPr="006E1A5E">
              <w:t>0</w:t>
            </w:r>
            <w:r>
              <w:rPr>
                <w:i/>
              </w:rPr>
              <w:t xml:space="preserve">         </w:t>
            </w:r>
            <w:r w:rsidRPr="00355F1A">
              <w:rPr>
                <w:i/>
              </w:rPr>
              <w:t xml:space="preserve"> 0.35</w:t>
            </w:r>
          </w:p>
        </w:tc>
        <w:tc>
          <w:tcPr>
            <w:tcW w:w="1710" w:type="dxa"/>
          </w:tcPr>
          <w:p w:rsidR="008E12A4" w:rsidRPr="00355F1A" w:rsidRDefault="008E12A4" w:rsidP="00263052">
            <w:r w:rsidRPr="00355F1A">
              <w:t xml:space="preserve"> </w:t>
            </w:r>
          </w:p>
          <w:p w:rsidR="008E12A4" w:rsidRPr="00355F1A" w:rsidRDefault="008E12A4" w:rsidP="00263052">
            <w:r w:rsidRPr="00355F1A">
              <w:t xml:space="preserve">             X</w:t>
            </w:r>
          </w:p>
        </w:tc>
        <w:tc>
          <w:tcPr>
            <w:tcW w:w="1800" w:type="dxa"/>
          </w:tcPr>
          <w:p w:rsidR="008E12A4" w:rsidRPr="00355F1A" w:rsidRDefault="008E12A4" w:rsidP="00263052">
            <w:r w:rsidRPr="00355F1A">
              <w:rPr>
                <w:noProof/>
              </w:rPr>
              <mc:AlternateContent>
                <mc:Choice Requires="wps">
                  <w:drawing>
                    <wp:anchor distT="0" distB="0" distL="114300" distR="114300" simplePos="0" relativeHeight="251661312" behindDoc="0" locked="0" layoutInCell="1" allowOverlap="1" wp14:anchorId="01D4A69F" wp14:editId="5608C07B">
                      <wp:simplePos x="0" y="0"/>
                      <wp:positionH relativeFrom="column">
                        <wp:posOffset>-1186180</wp:posOffset>
                      </wp:positionH>
                      <wp:positionV relativeFrom="paragraph">
                        <wp:posOffset>141565</wp:posOffset>
                      </wp:positionV>
                      <wp:extent cx="4600170" cy="9931"/>
                      <wp:effectExtent l="0" t="0" r="29210" b="28575"/>
                      <wp:wrapNone/>
                      <wp:docPr id="3" name="Straight Connector 3"/>
                      <wp:cNvGraphicFramePr/>
                      <a:graphic xmlns:a="http://schemas.openxmlformats.org/drawingml/2006/main">
                        <a:graphicData uri="http://schemas.microsoft.com/office/word/2010/wordprocessingShape">
                          <wps:wsp>
                            <wps:cNvCnPr/>
                            <wps:spPr>
                              <a:xfrm flipV="1">
                                <a:off x="0" y="0"/>
                                <a:ext cx="4600170" cy="9931"/>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0560E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pt,11.15pt" to="268.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" strokecolor="windowText" strokeweight="1.25pt">
                      <v:stroke joinstyle="miter"/>
                    </v:line>
                  </w:pict>
                </mc:Fallback>
              </mc:AlternateContent>
            </w:r>
          </w:p>
        </w:tc>
        <w:tc>
          <w:tcPr>
            <w:tcW w:w="1800" w:type="dxa"/>
          </w:tcPr>
          <w:p w:rsidR="008E12A4" w:rsidRPr="00355F1A" w:rsidRDefault="008E12A4" w:rsidP="00263052"/>
        </w:tc>
        <w:tc>
          <w:tcPr>
            <w:tcW w:w="1890" w:type="dxa"/>
          </w:tcPr>
          <w:p w:rsidR="008E12A4" w:rsidRPr="00355F1A" w:rsidRDefault="008E12A4" w:rsidP="00263052"/>
          <w:p w:rsidR="008E12A4" w:rsidRPr="00355F1A" w:rsidRDefault="008E12A4" w:rsidP="00263052">
            <w:r w:rsidRPr="00355F1A">
              <w:t xml:space="preserve">                            0.7</w:t>
            </w:r>
          </w:p>
        </w:tc>
      </w:tr>
      <w:tr w:rsidR="008E12A4" w:rsidRPr="00355F1A" w:rsidTr="00263052">
        <w:trPr>
          <w:trHeight w:val="403"/>
        </w:trPr>
        <w:tc>
          <w:tcPr>
            <w:tcW w:w="1695" w:type="dxa"/>
          </w:tcPr>
          <w:p w:rsidR="008E12A4" w:rsidRPr="00355F1A" w:rsidRDefault="008E12A4" w:rsidP="00263052">
            <w:pPr>
              <w:rPr>
                <w:b/>
              </w:rPr>
            </w:pPr>
            <w:r w:rsidRPr="00355F1A">
              <w:rPr>
                <w:b/>
                <w:noProof/>
              </w:rPr>
              <mc:AlternateContent>
                <mc:Choice Requires="wps">
                  <w:drawing>
                    <wp:anchor distT="0" distB="0" distL="114300" distR="114300" simplePos="0" relativeHeight="251662336" behindDoc="0" locked="0" layoutInCell="1" allowOverlap="1" wp14:anchorId="3FCCFE7B" wp14:editId="364B7B6B">
                      <wp:simplePos x="0" y="0"/>
                      <wp:positionH relativeFrom="column">
                        <wp:posOffset>1001665</wp:posOffset>
                      </wp:positionH>
                      <wp:positionV relativeFrom="paragraph">
                        <wp:posOffset>165289</wp:posOffset>
                      </wp:positionV>
                      <wp:extent cx="1060315" cy="341090"/>
                      <wp:effectExtent l="0" t="0" r="26035" b="20955"/>
                      <wp:wrapNone/>
                      <wp:docPr id="4" name="Straight Connector 4"/>
                      <wp:cNvGraphicFramePr/>
                      <a:graphic xmlns:a="http://schemas.openxmlformats.org/drawingml/2006/main">
                        <a:graphicData uri="http://schemas.microsoft.com/office/word/2010/wordprocessingShape">
                          <wps:wsp>
                            <wps:cNvCnPr/>
                            <wps:spPr>
                              <a:xfrm flipV="1">
                                <a:off x="0" y="0"/>
                                <a:ext cx="1060315" cy="34109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A8C369"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13pt" to="162.3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" strokecolor="windowText" strokeweight="1.5pt">
                      <v:stroke joinstyle="miter"/>
                    </v:line>
                  </w:pict>
                </mc:Fallback>
              </mc:AlternateContent>
            </w:r>
            <w:r w:rsidRPr="00355F1A">
              <w:rPr>
                <w:b/>
              </w:rPr>
              <w:t>3.Insulation &amp;</w:t>
            </w:r>
          </w:p>
          <w:p w:rsidR="008E12A4" w:rsidRPr="00355F1A" w:rsidRDefault="008E12A4" w:rsidP="00263052">
            <w:r w:rsidRPr="00355F1A">
              <w:rPr>
                <w:b/>
              </w:rPr>
              <w:t>Fast Breakers</w:t>
            </w:r>
          </w:p>
          <w:p w:rsidR="008E12A4" w:rsidRPr="00355F1A" w:rsidRDefault="008E12A4" w:rsidP="00263052"/>
        </w:tc>
        <w:tc>
          <w:tcPr>
            <w:tcW w:w="1710" w:type="dxa"/>
          </w:tcPr>
          <w:p w:rsidR="008E12A4" w:rsidRPr="00355F1A" w:rsidRDefault="008E12A4" w:rsidP="00263052">
            <w:r w:rsidRPr="00355F1A">
              <w:t xml:space="preserve">                        0.7</w:t>
            </w:r>
          </w:p>
          <w:p w:rsidR="008E12A4" w:rsidRPr="00355F1A" w:rsidRDefault="008E12A4" w:rsidP="00263052">
            <w:r w:rsidRPr="00355F1A">
              <w:t xml:space="preserve">              X</w:t>
            </w:r>
          </w:p>
          <w:p w:rsidR="008E12A4" w:rsidRPr="00355F1A" w:rsidRDefault="008E12A4" w:rsidP="00263052">
            <w:pPr>
              <w:rPr>
                <w:i/>
              </w:rPr>
            </w:pPr>
            <w:r>
              <w:t>0</w:t>
            </w:r>
            <w:r w:rsidRPr="00355F1A">
              <w:t xml:space="preserve">          </w:t>
            </w:r>
            <w:r w:rsidRPr="00355F1A">
              <w:rPr>
                <w:i/>
              </w:rPr>
              <w:t>0.35</w:t>
            </w:r>
          </w:p>
        </w:tc>
        <w:tc>
          <w:tcPr>
            <w:tcW w:w="1710" w:type="dxa"/>
          </w:tcPr>
          <w:p w:rsidR="008E12A4" w:rsidRPr="00355F1A" w:rsidRDefault="008E12A4" w:rsidP="00263052">
            <w:r w:rsidRPr="00355F1A">
              <w:rPr>
                <w:noProof/>
              </w:rPr>
              <mc:AlternateContent>
                <mc:Choice Requires="wps">
                  <w:drawing>
                    <wp:anchor distT="0" distB="0" distL="114300" distR="114300" simplePos="0" relativeHeight="251665408" behindDoc="0" locked="0" layoutInCell="1" allowOverlap="1" wp14:anchorId="08CA7D55" wp14:editId="5B36E7F7">
                      <wp:simplePos x="0" y="0"/>
                      <wp:positionH relativeFrom="column">
                        <wp:posOffset>999031</wp:posOffset>
                      </wp:positionH>
                      <wp:positionV relativeFrom="paragraph">
                        <wp:posOffset>49719</wp:posOffset>
                      </wp:positionV>
                      <wp:extent cx="3482434" cy="9728"/>
                      <wp:effectExtent l="0" t="0" r="22860" b="28575"/>
                      <wp:wrapNone/>
                      <wp:docPr id="10" name="Straight Connector 10"/>
                      <wp:cNvGraphicFramePr/>
                      <a:graphic xmlns:a="http://schemas.openxmlformats.org/drawingml/2006/main">
                        <a:graphicData uri="http://schemas.microsoft.com/office/word/2010/wordprocessingShape">
                          <wps:wsp>
                            <wps:cNvCnPr/>
                            <wps:spPr>
                              <a:xfrm flipV="1">
                                <a:off x="0" y="0"/>
                                <a:ext cx="3482434"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F2E819"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5pt,3.9pt" to="352.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" strokecolor="windowText" strokeweight="1.5pt">
                      <v:stroke joinstyle="miter"/>
                    </v:line>
                  </w:pict>
                </mc:Fallback>
              </mc:AlternateContent>
            </w:r>
            <w:r w:rsidRPr="00355F1A">
              <w:t xml:space="preserve">                        1.0</w:t>
            </w:r>
          </w:p>
          <w:p w:rsidR="008E12A4" w:rsidRPr="00355F1A" w:rsidRDefault="008E12A4" w:rsidP="00263052">
            <w:r w:rsidRPr="00355F1A">
              <w:t xml:space="preserve">             </w:t>
            </w:r>
            <w:r w:rsidRPr="00355F1A">
              <w:rPr>
                <w:noProof/>
              </w:rPr>
              <mc:AlternateContent>
                <mc:Choice Requires="wps">
                  <w:drawing>
                    <wp:anchor distT="0" distB="0" distL="114300" distR="114300" simplePos="0" relativeHeight="251663360" behindDoc="0" locked="0" layoutInCell="1" allowOverlap="1" wp14:anchorId="646DD083" wp14:editId="63E50D00">
                      <wp:simplePos x="0" y="0"/>
                      <wp:positionH relativeFrom="column">
                        <wp:posOffset>890229</wp:posOffset>
                      </wp:positionH>
                      <wp:positionV relativeFrom="paragraph">
                        <wp:posOffset>1030294</wp:posOffset>
                      </wp:positionV>
                      <wp:extent cx="0" cy="28927"/>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28927"/>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7C11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81.15pt" to="70.1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" strokecolor="#5b9bd5" strokeweight=".5pt">
                      <v:stroke joinstyle="miter"/>
                    </v:line>
                  </w:pict>
                </mc:Fallback>
              </mc:AlternateContent>
            </w:r>
            <w:r w:rsidRPr="00355F1A">
              <w:t xml:space="preserve">X </w:t>
            </w:r>
          </w:p>
          <w:p w:rsidR="008E12A4" w:rsidRPr="00355F1A" w:rsidRDefault="008E12A4" w:rsidP="00263052">
            <w:r>
              <w:t xml:space="preserve">          </w:t>
            </w:r>
            <w:r w:rsidRPr="00355F1A">
              <w:t xml:space="preserve"> 0.85</w:t>
            </w:r>
          </w:p>
        </w:tc>
        <w:tc>
          <w:tcPr>
            <w:tcW w:w="1800" w:type="dxa"/>
          </w:tcPr>
          <w:p w:rsidR="008E12A4" w:rsidRPr="00355F1A" w:rsidRDefault="008E12A4" w:rsidP="00263052">
            <w:r w:rsidRPr="00355F1A">
              <w:rPr>
                <w:noProof/>
              </w:rPr>
              <mc:AlternateContent>
                <mc:Choice Requires="wps">
                  <w:drawing>
                    <wp:anchor distT="0" distB="0" distL="114300" distR="114300" simplePos="0" relativeHeight="251664384" behindDoc="0" locked="0" layoutInCell="1" allowOverlap="1" wp14:anchorId="6530A9EA" wp14:editId="16F36BF3">
                      <wp:simplePos x="0" y="0"/>
                      <wp:positionH relativeFrom="column">
                        <wp:posOffset>-1186046</wp:posOffset>
                      </wp:positionH>
                      <wp:positionV relativeFrom="paragraph">
                        <wp:posOffset>49719</wp:posOffset>
                      </wp:positionV>
                      <wp:extent cx="1118681" cy="115975"/>
                      <wp:effectExtent l="0" t="0" r="24765" b="36830"/>
                      <wp:wrapNone/>
                      <wp:docPr id="6" name="Straight Connector 6"/>
                      <wp:cNvGraphicFramePr/>
                      <a:graphic xmlns:a="http://schemas.openxmlformats.org/drawingml/2006/main">
                        <a:graphicData uri="http://schemas.microsoft.com/office/word/2010/wordprocessingShape">
                          <wps:wsp>
                            <wps:cNvCnPr/>
                            <wps:spPr>
                              <a:xfrm flipV="1">
                                <a:off x="0" y="0"/>
                                <a:ext cx="1118681" cy="1159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024A58"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pt,3.9pt" to="-5.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" strokecolor="windowText" strokeweight="1.5pt">
                      <v:stroke joinstyle="miter"/>
                    </v:line>
                  </w:pict>
                </mc:Fallback>
              </mc:AlternateContent>
            </w:r>
          </w:p>
        </w:tc>
        <w:tc>
          <w:tcPr>
            <w:tcW w:w="1800" w:type="dxa"/>
          </w:tcPr>
          <w:p w:rsidR="008E12A4" w:rsidRPr="00355F1A" w:rsidRDefault="008E12A4" w:rsidP="00263052"/>
        </w:tc>
        <w:tc>
          <w:tcPr>
            <w:tcW w:w="1890" w:type="dxa"/>
          </w:tcPr>
          <w:p w:rsidR="008E12A4" w:rsidRPr="00355F1A" w:rsidRDefault="008E12A4" w:rsidP="00263052">
            <w:r w:rsidRPr="00355F1A">
              <w:t xml:space="preserve">                            1.0</w:t>
            </w:r>
          </w:p>
        </w:tc>
      </w:tr>
      <w:tr w:rsidR="008E12A4" w:rsidRPr="00355F1A" w:rsidTr="00263052">
        <w:trPr>
          <w:trHeight w:val="403"/>
        </w:trPr>
        <w:tc>
          <w:tcPr>
            <w:tcW w:w="1695" w:type="dxa"/>
          </w:tcPr>
          <w:p w:rsidR="008E12A4" w:rsidRPr="00355F1A" w:rsidRDefault="008E12A4" w:rsidP="00263052">
            <w:pPr>
              <w:rPr>
                <w:b/>
              </w:rPr>
            </w:pPr>
            <w:r w:rsidRPr="00355F1A">
              <w:rPr>
                <w:b/>
              </w:rPr>
              <w:t>4.Other</w:t>
            </w:r>
          </w:p>
          <w:p w:rsidR="008E12A4" w:rsidRPr="00355F1A" w:rsidRDefault="008E12A4" w:rsidP="00263052"/>
          <w:p w:rsidR="008E12A4" w:rsidRPr="00355F1A" w:rsidRDefault="008E12A4" w:rsidP="00263052"/>
        </w:tc>
        <w:tc>
          <w:tcPr>
            <w:tcW w:w="1710" w:type="dxa"/>
          </w:tcPr>
          <w:p w:rsidR="008E12A4" w:rsidRPr="00355F1A" w:rsidRDefault="008E12A4" w:rsidP="00263052"/>
        </w:tc>
        <w:tc>
          <w:tcPr>
            <w:tcW w:w="1710" w:type="dxa"/>
          </w:tcPr>
          <w:p w:rsidR="008E12A4" w:rsidRPr="00355F1A" w:rsidRDefault="008E12A4" w:rsidP="00263052"/>
        </w:tc>
        <w:tc>
          <w:tcPr>
            <w:tcW w:w="1800" w:type="dxa"/>
          </w:tcPr>
          <w:p w:rsidR="008E12A4" w:rsidRPr="00355F1A" w:rsidRDefault="008E12A4" w:rsidP="00263052"/>
        </w:tc>
        <w:tc>
          <w:tcPr>
            <w:tcW w:w="1800" w:type="dxa"/>
          </w:tcPr>
          <w:p w:rsidR="008E12A4" w:rsidRPr="00355F1A" w:rsidRDefault="008E12A4" w:rsidP="00263052"/>
        </w:tc>
        <w:tc>
          <w:tcPr>
            <w:tcW w:w="1890" w:type="dxa"/>
          </w:tcPr>
          <w:p w:rsidR="008E12A4" w:rsidRPr="00355F1A" w:rsidRDefault="008E12A4" w:rsidP="00263052"/>
        </w:tc>
      </w:tr>
      <w:tr w:rsidR="008E12A4" w:rsidRPr="00355F1A" w:rsidTr="00263052">
        <w:trPr>
          <w:trHeight w:val="403"/>
        </w:trPr>
        <w:tc>
          <w:tcPr>
            <w:tcW w:w="1695" w:type="dxa"/>
          </w:tcPr>
          <w:p w:rsidR="008E12A4" w:rsidRPr="00355F1A" w:rsidRDefault="008E12A4" w:rsidP="00263052">
            <w:pPr>
              <w:rPr>
                <w:b/>
              </w:rPr>
            </w:pPr>
            <w:r w:rsidRPr="00355F1A">
              <w:rPr>
                <w:b/>
              </w:rPr>
              <w:t>5.Other</w:t>
            </w:r>
          </w:p>
          <w:p w:rsidR="008E12A4" w:rsidRPr="00355F1A" w:rsidRDefault="008E12A4" w:rsidP="00263052"/>
          <w:p w:rsidR="008E12A4" w:rsidRPr="00355F1A" w:rsidRDefault="008E12A4" w:rsidP="00263052"/>
        </w:tc>
        <w:tc>
          <w:tcPr>
            <w:tcW w:w="1710" w:type="dxa"/>
          </w:tcPr>
          <w:p w:rsidR="008E12A4" w:rsidRPr="00355F1A" w:rsidRDefault="008E12A4" w:rsidP="00263052"/>
        </w:tc>
        <w:tc>
          <w:tcPr>
            <w:tcW w:w="1710" w:type="dxa"/>
          </w:tcPr>
          <w:p w:rsidR="008E12A4" w:rsidRPr="00355F1A" w:rsidRDefault="008E12A4" w:rsidP="00263052"/>
        </w:tc>
        <w:tc>
          <w:tcPr>
            <w:tcW w:w="1800" w:type="dxa"/>
          </w:tcPr>
          <w:p w:rsidR="008E12A4" w:rsidRPr="00355F1A" w:rsidRDefault="008E12A4" w:rsidP="00263052"/>
        </w:tc>
        <w:tc>
          <w:tcPr>
            <w:tcW w:w="1800" w:type="dxa"/>
          </w:tcPr>
          <w:p w:rsidR="008E12A4" w:rsidRPr="00355F1A" w:rsidRDefault="008E12A4" w:rsidP="00263052"/>
        </w:tc>
        <w:tc>
          <w:tcPr>
            <w:tcW w:w="1890" w:type="dxa"/>
          </w:tcPr>
          <w:p w:rsidR="008E12A4" w:rsidRPr="00355F1A" w:rsidRDefault="008E12A4" w:rsidP="00263052"/>
        </w:tc>
      </w:tr>
      <w:tr w:rsidR="008E12A4" w:rsidRPr="00355F1A" w:rsidTr="00263052">
        <w:trPr>
          <w:trHeight w:val="403"/>
        </w:trPr>
        <w:tc>
          <w:tcPr>
            <w:tcW w:w="1695" w:type="dxa"/>
          </w:tcPr>
          <w:p w:rsidR="008E12A4" w:rsidRPr="00355F1A" w:rsidRDefault="008E12A4" w:rsidP="00263052">
            <w:pPr>
              <w:rPr>
                <w:b/>
              </w:rPr>
            </w:pPr>
            <w:r w:rsidRPr="00355F1A">
              <w:rPr>
                <w:b/>
              </w:rPr>
              <w:t>WRR-Years  per 5-Yr Period</w:t>
            </w:r>
          </w:p>
          <w:p w:rsidR="008E12A4" w:rsidRPr="00355F1A" w:rsidRDefault="008E12A4" w:rsidP="00263052">
            <w:pPr>
              <w:rPr>
                <w:b/>
              </w:rPr>
            </w:pPr>
          </w:p>
          <w:p w:rsidR="008E12A4" w:rsidRPr="00355F1A" w:rsidRDefault="008E12A4" w:rsidP="00263052">
            <w:pPr>
              <w:rPr>
                <w:b/>
              </w:rPr>
            </w:pPr>
          </w:p>
        </w:tc>
        <w:tc>
          <w:tcPr>
            <w:tcW w:w="1710" w:type="dxa"/>
          </w:tcPr>
          <w:p w:rsidR="008E12A4" w:rsidRPr="00355F1A" w:rsidRDefault="008E12A4" w:rsidP="00263052">
            <w:r w:rsidRPr="00355F1A">
              <w:t>1:  1.0</w:t>
            </w:r>
          </w:p>
          <w:p w:rsidR="008E12A4" w:rsidRPr="00355F1A" w:rsidRDefault="008E12A4" w:rsidP="00263052">
            <w:r w:rsidRPr="00355F1A">
              <w:t>2:  3.5</w:t>
            </w:r>
          </w:p>
          <w:p w:rsidR="008E12A4" w:rsidRPr="00355F1A" w:rsidRDefault="008E12A4" w:rsidP="00263052">
            <w:r w:rsidRPr="00355F1A">
              <w:t>3:  3.5</w:t>
            </w:r>
          </w:p>
          <w:p w:rsidR="008E12A4" w:rsidRPr="00355F1A" w:rsidRDefault="008E12A4" w:rsidP="00263052">
            <w:r w:rsidRPr="00355F1A">
              <w:t>4</w:t>
            </w:r>
          </w:p>
          <w:p w:rsidR="008E12A4" w:rsidRPr="00355F1A" w:rsidRDefault="008E12A4" w:rsidP="00263052">
            <w:r w:rsidRPr="00355F1A">
              <w:t>5</w:t>
            </w:r>
          </w:p>
        </w:tc>
        <w:tc>
          <w:tcPr>
            <w:tcW w:w="1710" w:type="dxa"/>
          </w:tcPr>
          <w:p w:rsidR="008E12A4" w:rsidRPr="00355F1A" w:rsidRDefault="008E12A4" w:rsidP="00263052">
            <w:r w:rsidRPr="00355F1A">
              <w:t>3.0</w:t>
            </w:r>
          </w:p>
          <w:p w:rsidR="008E12A4" w:rsidRPr="00355F1A" w:rsidRDefault="008E12A4" w:rsidP="00263052">
            <w:r w:rsidRPr="00355F1A">
              <w:t>7.0</w:t>
            </w:r>
          </w:p>
          <w:p w:rsidR="008E12A4" w:rsidRPr="00355F1A" w:rsidRDefault="008E12A4" w:rsidP="00263052">
            <w:r w:rsidRPr="00355F1A">
              <w:t>9.0</w:t>
            </w:r>
          </w:p>
        </w:tc>
        <w:tc>
          <w:tcPr>
            <w:tcW w:w="1800" w:type="dxa"/>
          </w:tcPr>
          <w:p w:rsidR="008E12A4" w:rsidRPr="00355F1A" w:rsidRDefault="008E12A4" w:rsidP="00263052">
            <w:r w:rsidRPr="00355F1A">
              <w:t>5.0</w:t>
            </w:r>
          </w:p>
          <w:p w:rsidR="008E12A4" w:rsidRPr="00355F1A" w:rsidRDefault="008E12A4" w:rsidP="00263052">
            <w:r w:rsidRPr="00355F1A">
              <w:t>7.0</w:t>
            </w:r>
          </w:p>
          <w:p w:rsidR="008E12A4" w:rsidRPr="00355F1A" w:rsidRDefault="008E12A4" w:rsidP="00263052">
            <w:r w:rsidRPr="00355F1A">
              <w:t>10.0</w:t>
            </w:r>
          </w:p>
        </w:tc>
        <w:tc>
          <w:tcPr>
            <w:tcW w:w="1800" w:type="dxa"/>
          </w:tcPr>
          <w:p w:rsidR="008E12A4" w:rsidRPr="00355F1A" w:rsidRDefault="008E12A4" w:rsidP="00263052">
            <w:r w:rsidRPr="00355F1A">
              <w:t>7.0</w:t>
            </w:r>
          </w:p>
          <w:p w:rsidR="008E12A4" w:rsidRPr="00355F1A" w:rsidRDefault="008E12A4" w:rsidP="00263052">
            <w:r w:rsidRPr="00355F1A">
              <w:t>7.0</w:t>
            </w:r>
          </w:p>
          <w:p w:rsidR="008E12A4" w:rsidRPr="00355F1A" w:rsidRDefault="008E12A4" w:rsidP="00263052">
            <w:r w:rsidRPr="00355F1A">
              <w:t>10.0</w:t>
            </w:r>
          </w:p>
        </w:tc>
        <w:tc>
          <w:tcPr>
            <w:tcW w:w="1890" w:type="dxa"/>
          </w:tcPr>
          <w:p w:rsidR="008E12A4" w:rsidRPr="00355F1A" w:rsidRDefault="008E12A4" w:rsidP="00263052">
            <w:r w:rsidRPr="00355F1A">
              <w:t>9.0</w:t>
            </w:r>
          </w:p>
          <w:p w:rsidR="008E12A4" w:rsidRPr="00355F1A" w:rsidRDefault="008E12A4" w:rsidP="00263052">
            <w:r w:rsidRPr="00355F1A">
              <w:t>7.0</w:t>
            </w:r>
          </w:p>
          <w:p w:rsidR="008E12A4" w:rsidRPr="00355F1A" w:rsidRDefault="008E12A4" w:rsidP="00263052">
            <w:r w:rsidRPr="00355F1A">
              <w:t>10.0</w:t>
            </w:r>
          </w:p>
        </w:tc>
      </w:tr>
      <w:tr w:rsidR="008E12A4" w:rsidRPr="00355F1A" w:rsidTr="00263052">
        <w:trPr>
          <w:trHeight w:val="1336"/>
        </w:trPr>
        <w:tc>
          <w:tcPr>
            <w:tcW w:w="1695" w:type="dxa"/>
            <w:tcBorders>
              <w:bottom w:val="double" w:sz="4" w:space="0" w:color="4472C4" w:themeColor="accent5"/>
            </w:tcBorders>
          </w:tcPr>
          <w:p w:rsidR="008E12A4" w:rsidRPr="00355F1A" w:rsidRDefault="008E12A4" w:rsidP="00263052">
            <w:pPr>
              <w:rPr>
                <w:b/>
              </w:rPr>
            </w:pPr>
            <w:r w:rsidRPr="00355F1A">
              <w:rPr>
                <w:b/>
              </w:rPr>
              <w:t>WRR-Years Cumulatively</w:t>
            </w:r>
          </w:p>
          <w:p w:rsidR="008E12A4" w:rsidRPr="00355F1A" w:rsidRDefault="008E12A4" w:rsidP="00263052">
            <w:pPr>
              <w:rPr>
                <w:b/>
              </w:rPr>
            </w:pPr>
          </w:p>
          <w:p w:rsidR="008E12A4" w:rsidRPr="00355F1A" w:rsidRDefault="008E12A4" w:rsidP="00263052">
            <w:pPr>
              <w:rPr>
                <w:b/>
              </w:rPr>
            </w:pPr>
          </w:p>
          <w:p w:rsidR="008E12A4" w:rsidRPr="00355F1A" w:rsidRDefault="008E12A4" w:rsidP="00263052"/>
        </w:tc>
        <w:tc>
          <w:tcPr>
            <w:tcW w:w="1710" w:type="dxa"/>
            <w:tcBorders>
              <w:bottom w:val="double" w:sz="4" w:space="0" w:color="4472C4" w:themeColor="accent5"/>
            </w:tcBorders>
          </w:tcPr>
          <w:p w:rsidR="008E12A4" w:rsidRPr="00355F1A" w:rsidRDefault="008E12A4" w:rsidP="00263052">
            <w:r w:rsidRPr="00355F1A">
              <w:t>1:  1.0</w:t>
            </w:r>
          </w:p>
          <w:p w:rsidR="008E12A4" w:rsidRPr="00355F1A" w:rsidRDefault="008E12A4" w:rsidP="00263052">
            <w:r w:rsidRPr="00355F1A">
              <w:t>2:  3.5</w:t>
            </w:r>
          </w:p>
          <w:p w:rsidR="008E12A4" w:rsidRPr="00355F1A" w:rsidRDefault="008E12A4" w:rsidP="00263052">
            <w:r w:rsidRPr="00355F1A">
              <w:t>3:  3.5</w:t>
            </w:r>
          </w:p>
          <w:p w:rsidR="008E12A4" w:rsidRPr="00355F1A" w:rsidRDefault="008E12A4" w:rsidP="00263052">
            <w:r w:rsidRPr="00355F1A">
              <w:t>4</w:t>
            </w:r>
          </w:p>
          <w:p w:rsidR="008E12A4" w:rsidRPr="00355F1A" w:rsidRDefault="008E12A4" w:rsidP="00263052">
            <w:r w:rsidRPr="00355F1A">
              <w:t>5</w:t>
            </w:r>
          </w:p>
        </w:tc>
        <w:tc>
          <w:tcPr>
            <w:tcW w:w="1710" w:type="dxa"/>
            <w:tcBorders>
              <w:bottom w:val="double" w:sz="4" w:space="0" w:color="4472C4" w:themeColor="accent5"/>
            </w:tcBorders>
          </w:tcPr>
          <w:p w:rsidR="008E12A4" w:rsidRPr="00355F1A" w:rsidRDefault="008E12A4" w:rsidP="00263052">
            <w:r w:rsidRPr="00355F1A">
              <w:t>4.0</w:t>
            </w:r>
          </w:p>
          <w:p w:rsidR="008E12A4" w:rsidRPr="00355F1A" w:rsidRDefault="008E12A4" w:rsidP="00263052">
            <w:r w:rsidRPr="00355F1A">
              <w:t>10.5</w:t>
            </w:r>
          </w:p>
          <w:p w:rsidR="008E12A4" w:rsidRPr="00355F1A" w:rsidRDefault="008E12A4" w:rsidP="00263052">
            <w:r w:rsidRPr="00355F1A">
              <w:t>12.5</w:t>
            </w:r>
          </w:p>
        </w:tc>
        <w:tc>
          <w:tcPr>
            <w:tcW w:w="1800" w:type="dxa"/>
            <w:tcBorders>
              <w:bottom w:val="double" w:sz="4" w:space="0" w:color="4472C4" w:themeColor="accent5"/>
            </w:tcBorders>
          </w:tcPr>
          <w:p w:rsidR="008E12A4" w:rsidRPr="00355F1A" w:rsidRDefault="008E12A4" w:rsidP="00263052">
            <w:r w:rsidRPr="00355F1A">
              <w:t>9.0</w:t>
            </w:r>
          </w:p>
          <w:p w:rsidR="008E12A4" w:rsidRPr="00355F1A" w:rsidRDefault="008E12A4" w:rsidP="00263052">
            <w:r w:rsidRPr="00355F1A">
              <w:t>17.5</w:t>
            </w:r>
          </w:p>
          <w:p w:rsidR="008E12A4" w:rsidRPr="00355F1A" w:rsidRDefault="008E12A4" w:rsidP="00263052">
            <w:r w:rsidRPr="00355F1A">
              <w:t>22.5</w:t>
            </w:r>
          </w:p>
        </w:tc>
        <w:tc>
          <w:tcPr>
            <w:tcW w:w="1800" w:type="dxa"/>
            <w:tcBorders>
              <w:bottom w:val="double" w:sz="4" w:space="0" w:color="4472C4" w:themeColor="accent5"/>
            </w:tcBorders>
          </w:tcPr>
          <w:p w:rsidR="008E12A4" w:rsidRPr="00355F1A" w:rsidRDefault="008E12A4" w:rsidP="00263052">
            <w:r w:rsidRPr="00355F1A">
              <w:t>16.0</w:t>
            </w:r>
          </w:p>
          <w:p w:rsidR="008E12A4" w:rsidRPr="00355F1A" w:rsidRDefault="008E12A4" w:rsidP="00263052">
            <w:r w:rsidRPr="00355F1A">
              <w:t>24.5</w:t>
            </w:r>
          </w:p>
          <w:p w:rsidR="008E12A4" w:rsidRPr="00355F1A" w:rsidRDefault="008E12A4" w:rsidP="00263052">
            <w:r w:rsidRPr="00355F1A">
              <w:t>32.5</w:t>
            </w:r>
          </w:p>
        </w:tc>
        <w:tc>
          <w:tcPr>
            <w:tcW w:w="1890" w:type="dxa"/>
            <w:tcBorders>
              <w:bottom w:val="double" w:sz="4" w:space="0" w:color="4472C4" w:themeColor="accent5"/>
            </w:tcBorders>
          </w:tcPr>
          <w:p w:rsidR="008E12A4" w:rsidRPr="00355F1A" w:rsidRDefault="008E12A4" w:rsidP="00263052">
            <w:pPr>
              <w:rPr>
                <w:b/>
              </w:rPr>
            </w:pPr>
            <w:r w:rsidRPr="00355F1A">
              <w:rPr>
                <w:b/>
              </w:rPr>
              <w:t>25.0</w:t>
            </w:r>
            <w:r>
              <w:rPr>
                <w:b/>
              </w:rPr>
              <w:t xml:space="preserve"> UG</w:t>
            </w:r>
          </w:p>
          <w:p w:rsidR="008E12A4" w:rsidRPr="00355F1A" w:rsidRDefault="008E12A4" w:rsidP="00263052">
            <w:pPr>
              <w:rPr>
                <w:b/>
              </w:rPr>
            </w:pPr>
            <w:r w:rsidRPr="00355F1A">
              <w:rPr>
                <w:b/>
              </w:rPr>
              <w:t>31.5</w:t>
            </w:r>
            <w:r>
              <w:rPr>
                <w:b/>
              </w:rPr>
              <w:t xml:space="preserve"> Insulation</w:t>
            </w:r>
          </w:p>
          <w:p w:rsidR="008E12A4" w:rsidRPr="00355F1A" w:rsidRDefault="008E12A4" w:rsidP="00263052">
            <w:pPr>
              <w:rPr>
                <w:b/>
              </w:rPr>
            </w:pPr>
            <w:r w:rsidRPr="00355F1A">
              <w:rPr>
                <w:b/>
              </w:rPr>
              <w:t>42.5</w:t>
            </w:r>
            <w:r>
              <w:rPr>
                <w:b/>
              </w:rPr>
              <w:t xml:space="preserve"> </w:t>
            </w:r>
            <w:proofErr w:type="spellStart"/>
            <w:r>
              <w:rPr>
                <w:b/>
              </w:rPr>
              <w:t>Insul</w:t>
            </w:r>
            <w:proofErr w:type="spellEnd"/>
            <w:r>
              <w:rPr>
                <w:b/>
              </w:rPr>
              <w:t>/</w:t>
            </w:r>
            <w:proofErr w:type="spellStart"/>
            <w:r>
              <w:rPr>
                <w:b/>
              </w:rPr>
              <w:t>Breakrs</w:t>
            </w:r>
            <w:proofErr w:type="spellEnd"/>
          </w:p>
          <w:p w:rsidR="008E12A4" w:rsidRPr="00355F1A" w:rsidRDefault="008E12A4" w:rsidP="00263052">
            <w:pPr>
              <w:rPr>
                <w:b/>
              </w:rPr>
            </w:pPr>
          </w:p>
        </w:tc>
      </w:tr>
      <w:tr w:rsidR="008E12A4" w:rsidRPr="00355F1A" w:rsidTr="00263052">
        <w:trPr>
          <w:trHeight w:val="403"/>
        </w:trPr>
        <w:tc>
          <w:tcPr>
            <w:tcW w:w="1695" w:type="dxa"/>
            <w:tcBorders>
              <w:top w:val="double" w:sz="4" w:space="0" w:color="4472C4" w:themeColor="accent5"/>
            </w:tcBorders>
          </w:tcPr>
          <w:p w:rsidR="008E12A4" w:rsidRPr="00355F1A" w:rsidRDefault="008E12A4" w:rsidP="00263052">
            <w:pPr>
              <w:rPr>
                <w:b/>
              </w:rPr>
            </w:pPr>
            <w:r w:rsidRPr="00355F1A">
              <w:rPr>
                <w:b/>
              </w:rPr>
              <w:t>Comments</w:t>
            </w:r>
          </w:p>
          <w:p w:rsidR="008E12A4" w:rsidRPr="00355F1A" w:rsidRDefault="008E12A4" w:rsidP="00263052">
            <w:pPr>
              <w:rPr>
                <w:b/>
              </w:rPr>
            </w:pPr>
          </w:p>
          <w:p w:rsidR="008E12A4" w:rsidRPr="00355F1A" w:rsidRDefault="008E12A4" w:rsidP="00263052">
            <w:pPr>
              <w:rPr>
                <w:b/>
              </w:rPr>
            </w:pPr>
          </w:p>
          <w:p w:rsidR="008E12A4" w:rsidRPr="00355F1A" w:rsidRDefault="008E12A4" w:rsidP="00263052">
            <w:pPr>
              <w:rPr>
                <w:b/>
              </w:rPr>
            </w:pPr>
          </w:p>
          <w:p w:rsidR="008E12A4" w:rsidRPr="00355F1A" w:rsidRDefault="008E12A4" w:rsidP="00263052">
            <w:pPr>
              <w:rPr>
                <w:b/>
              </w:rPr>
            </w:pPr>
          </w:p>
          <w:p w:rsidR="008E12A4" w:rsidRPr="00355F1A" w:rsidRDefault="008E12A4" w:rsidP="00263052">
            <w:pPr>
              <w:rPr>
                <w:b/>
              </w:rPr>
            </w:pPr>
          </w:p>
          <w:p w:rsidR="008E12A4" w:rsidRPr="00355F1A" w:rsidRDefault="008E12A4" w:rsidP="00263052">
            <w:pPr>
              <w:rPr>
                <w:b/>
              </w:rPr>
            </w:pPr>
          </w:p>
          <w:p w:rsidR="008E12A4" w:rsidRPr="00355F1A" w:rsidRDefault="008E12A4" w:rsidP="00263052">
            <w:pPr>
              <w:rPr>
                <w:b/>
              </w:rPr>
            </w:pPr>
          </w:p>
          <w:p w:rsidR="008E12A4" w:rsidRPr="00355F1A" w:rsidRDefault="008E12A4" w:rsidP="00263052"/>
          <w:p w:rsidR="008E12A4" w:rsidRPr="00355F1A" w:rsidRDefault="008E12A4" w:rsidP="00263052"/>
        </w:tc>
        <w:tc>
          <w:tcPr>
            <w:tcW w:w="1710" w:type="dxa"/>
            <w:tcBorders>
              <w:top w:val="double" w:sz="4" w:space="0" w:color="4472C4" w:themeColor="accent5"/>
            </w:tcBorders>
          </w:tcPr>
          <w:p w:rsidR="008E12A4" w:rsidRDefault="008E12A4" w:rsidP="00263052">
            <w:r>
              <w:t xml:space="preserve">Any point on a curve is the WRR fraction for that year.  </w:t>
            </w:r>
          </w:p>
          <w:p w:rsidR="008E12A4" w:rsidRPr="00355F1A" w:rsidRDefault="008E12A4" w:rsidP="00263052">
            <w:r>
              <w:t xml:space="preserve">We do these calculations by time period, to allow easy checking of the numbers. </w:t>
            </w:r>
          </w:p>
        </w:tc>
        <w:tc>
          <w:tcPr>
            <w:tcW w:w="1710" w:type="dxa"/>
            <w:tcBorders>
              <w:top w:val="double" w:sz="4" w:space="0" w:color="4472C4" w:themeColor="accent5"/>
            </w:tcBorders>
          </w:tcPr>
          <w:p w:rsidR="008E12A4" w:rsidRPr="00355F1A" w:rsidRDefault="008E12A4" w:rsidP="00263052">
            <w:r w:rsidRPr="00355F1A">
              <w:t>Straight lines assume linear completion of</w:t>
            </w:r>
            <w:r>
              <w:t xml:space="preserve"> each technology (in line-miles</w:t>
            </w:r>
            <w:r w:rsidRPr="00355F1A">
              <w:t xml:space="preserve"> per year</w:t>
            </w:r>
            <w:r>
              <w:t>)</w:t>
            </w:r>
            <w:r w:rsidRPr="00355F1A">
              <w:t xml:space="preserve">.  </w:t>
            </w:r>
          </w:p>
          <w:p w:rsidR="008E12A4" w:rsidRPr="00355F1A" w:rsidRDefault="008E12A4" w:rsidP="00263052">
            <w:r>
              <w:t xml:space="preserve">WWR fractions for the last year of a period are  next to the right side of that box. </w:t>
            </w:r>
          </w:p>
        </w:tc>
        <w:tc>
          <w:tcPr>
            <w:tcW w:w="1800" w:type="dxa"/>
            <w:tcBorders>
              <w:top w:val="double" w:sz="4" w:space="0" w:color="4472C4" w:themeColor="accent5"/>
            </w:tcBorders>
          </w:tcPr>
          <w:p w:rsidR="008E12A4" w:rsidRPr="00355F1A" w:rsidRDefault="008E12A4" w:rsidP="00263052">
            <w:r w:rsidRPr="00355F1A">
              <w:t xml:space="preserve">The areas under the curves are the WRR-Years. They can be calculated using  geometry and straight lines.  </w:t>
            </w:r>
            <w:r w:rsidRPr="00946481">
              <w:rPr>
                <w:b/>
              </w:rPr>
              <w:t>Higher values denote less risk.</w:t>
            </w:r>
          </w:p>
        </w:tc>
        <w:tc>
          <w:tcPr>
            <w:tcW w:w="1800" w:type="dxa"/>
            <w:tcBorders>
              <w:top w:val="double" w:sz="4" w:space="0" w:color="4472C4" w:themeColor="accent5"/>
            </w:tcBorders>
          </w:tcPr>
          <w:p w:rsidR="008E12A4" w:rsidRDefault="008E12A4" w:rsidP="00263052">
            <w:r>
              <w:t xml:space="preserve">For each 10-yr. period, multiply the mean WRR by 10 to get WRR-Years. </w:t>
            </w:r>
          </w:p>
          <w:p w:rsidR="008E12A4" w:rsidRPr="00355F1A" w:rsidRDefault="008E12A4" w:rsidP="00263052">
            <w:r w:rsidRPr="00355F1A">
              <w:t>Mean values for time periods are at X’s and in italics.</w:t>
            </w:r>
          </w:p>
        </w:tc>
        <w:tc>
          <w:tcPr>
            <w:tcW w:w="1890" w:type="dxa"/>
            <w:tcBorders>
              <w:top w:val="double" w:sz="4" w:space="0" w:color="4472C4" w:themeColor="accent5"/>
            </w:tcBorders>
          </w:tcPr>
          <w:p w:rsidR="008E12A4" w:rsidRPr="00355F1A" w:rsidRDefault="008E12A4" w:rsidP="00263052">
            <w:r>
              <w:t xml:space="preserve">All technologies are evaluated for the same time period.  50 years is needed, to include the lifetime of most assets and to capture wildfire starts, the largest cost.  </w:t>
            </w:r>
          </w:p>
        </w:tc>
      </w:tr>
    </w:tbl>
    <w:p w:rsidR="00945857" w:rsidRPr="001E03D5" w:rsidRDefault="00B93986" w:rsidP="00870459">
      <w:r>
        <w:t xml:space="preserve">It is necessary to perform a B/C analysis for the SB 884 Undergrounding Plans, because they will </w:t>
      </w:r>
      <w:r w:rsidR="000F488C">
        <w:t xml:space="preserve">actually </w:t>
      </w:r>
      <w:r>
        <w:t xml:space="preserve">take 50 years or longer to implement.  Applying project-level methods, such as wildfire risk coefficients for </w:t>
      </w:r>
      <w:r w:rsidR="00E71C61">
        <w:t>line segments is</w:t>
      </w:r>
      <w:r w:rsidR="000F488C">
        <w:t xml:space="preserve"> inadvisable</w:t>
      </w:r>
      <w:r>
        <w:t>, due to the inherent inaccuracies of large-area wildfire</w:t>
      </w:r>
      <w:r w:rsidR="000F488C">
        <w:t xml:space="preserve"> statistics</w:t>
      </w:r>
      <w:r>
        <w:t xml:space="preserve"> scaled down to small areas.  Also, PG&amp;E’s wildfire risk model is strongly biased against large wildfires due to the 8-hr. limit to the fire spread model</w:t>
      </w:r>
      <w:r w:rsidR="00E71C61">
        <w:t>, no basis</w:t>
      </w:r>
      <w:r w:rsidR="00111D64">
        <w:t xml:space="preserve"> on ignition causation data</w:t>
      </w:r>
      <w:r w:rsidR="0048245F">
        <w:t>, the inadequate</w:t>
      </w:r>
      <w:r w:rsidR="00111D64">
        <w:t xml:space="preserve"> inclusion of wind speed,</w:t>
      </w:r>
      <w:r>
        <w:t xml:space="preserve"> and othe</w:t>
      </w:r>
      <w:r w:rsidR="0048245F">
        <w:t xml:space="preserve">r basic weaknesses.  The </w:t>
      </w:r>
      <w:r>
        <w:t xml:space="preserve">advantage of B/C analysis is that it uses available data on </w:t>
      </w:r>
      <w:r w:rsidR="00E71C61">
        <w:t xml:space="preserve">large </w:t>
      </w:r>
      <w:r>
        <w:t>wildfire</w:t>
      </w:r>
      <w:r w:rsidR="00E71C61">
        <w:t>s</w:t>
      </w:r>
      <w:r>
        <w:t xml:space="preserve"> caused by utilities and applies it to the whole high-fire-hazard region.  This preserves the most-important data, because the costs of wildfires are by far the largest cost of not mitigating equipment hazards.  It is also the cost that varies</w:t>
      </w:r>
      <w:r w:rsidR="00E71C61">
        <w:t xml:space="preserve"> absolutely</w:t>
      </w:r>
      <w:r w:rsidR="0048245F">
        <w:t xml:space="preserve"> the most among</w:t>
      </w:r>
      <w:r>
        <w:t xml:space="preserve"> </w:t>
      </w:r>
      <w:r w:rsidR="002378D8">
        <w:t xml:space="preserve">alternative mitigation methods.  It doesn’t matter if the analysis uses utility-wide fire data, since risk projections for small areas are </w:t>
      </w:r>
      <w:r w:rsidR="00200AAC">
        <w:t xml:space="preserve">too </w:t>
      </w:r>
      <w:r w:rsidR="002378D8">
        <w:t>inaccurate</w:t>
      </w:r>
      <w:r w:rsidR="00200AAC">
        <w:t xml:space="preserve"> to use</w:t>
      </w:r>
      <w:r w:rsidR="002378D8">
        <w:t xml:space="preserve">. </w:t>
      </w:r>
    </w:p>
    <w:sectPr w:rsidR="00945857" w:rsidRPr="001E03D5" w:rsidSect="00B9398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19" w:rsidRDefault="00E54D19" w:rsidP="00BC357A">
      <w:pPr>
        <w:spacing w:after="0" w:line="240" w:lineRule="auto"/>
      </w:pPr>
      <w:r>
        <w:separator/>
      </w:r>
    </w:p>
  </w:endnote>
  <w:endnote w:type="continuationSeparator" w:id="0">
    <w:p w:rsidR="00E54D19" w:rsidRDefault="00E54D19" w:rsidP="00BC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7A" w:rsidRDefault="00BC357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71969">
      <w:rPr>
        <w:caps/>
        <w:noProof/>
        <w:color w:val="5B9BD5" w:themeColor="accent1"/>
      </w:rPr>
      <w:t>6</w:t>
    </w:r>
    <w:r>
      <w:rPr>
        <w:caps/>
        <w:noProof/>
        <w:color w:val="5B9BD5" w:themeColor="accent1"/>
      </w:rPr>
      <w:fldChar w:fldCharType="end"/>
    </w:r>
  </w:p>
  <w:p w:rsidR="00BC357A" w:rsidRDefault="00BC3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19" w:rsidRDefault="00E54D19" w:rsidP="00BC357A">
      <w:pPr>
        <w:spacing w:after="0" w:line="240" w:lineRule="auto"/>
      </w:pPr>
      <w:r>
        <w:separator/>
      </w:r>
    </w:p>
  </w:footnote>
  <w:footnote w:type="continuationSeparator" w:id="0">
    <w:p w:rsidR="00E54D19" w:rsidRDefault="00E54D19" w:rsidP="00BC3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32866"/>
    <w:multiLevelType w:val="hybridMultilevel"/>
    <w:tmpl w:val="1AAE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38"/>
    <w:rsid w:val="00042A75"/>
    <w:rsid w:val="00043497"/>
    <w:rsid w:val="000F488C"/>
    <w:rsid w:val="000F5223"/>
    <w:rsid w:val="0010380A"/>
    <w:rsid w:val="00111D64"/>
    <w:rsid w:val="00113914"/>
    <w:rsid w:val="0011577A"/>
    <w:rsid w:val="00136DA6"/>
    <w:rsid w:val="00166B38"/>
    <w:rsid w:val="001B0D5E"/>
    <w:rsid w:val="001C63DB"/>
    <w:rsid w:val="001E03D5"/>
    <w:rsid w:val="001E2AAA"/>
    <w:rsid w:val="001E79BA"/>
    <w:rsid w:val="001F10EB"/>
    <w:rsid w:val="00200AAC"/>
    <w:rsid w:val="00226441"/>
    <w:rsid w:val="00231B2A"/>
    <w:rsid w:val="002378D8"/>
    <w:rsid w:val="00260723"/>
    <w:rsid w:val="002615C0"/>
    <w:rsid w:val="00261FF3"/>
    <w:rsid w:val="00266186"/>
    <w:rsid w:val="002A367B"/>
    <w:rsid w:val="002A5645"/>
    <w:rsid w:val="002B4A39"/>
    <w:rsid w:val="002C369E"/>
    <w:rsid w:val="002C6452"/>
    <w:rsid w:val="002C7676"/>
    <w:rsid w:val="002E37F5"/>
    <w:rsid w:val="003330C8"/>
    <w:rsid w:val="00357CBA"/>
    <w:rsid w:val="003846AA"/>
    <w:rsid w:val="0039378C"/>
    <w:rsid w:val="003A74ED"/>
    <w:rsid w:val="003B2096"/>
    <w:rsid w:val="003C5FAC"/>
    <w:rsid w:val="003C678B"/>
    <w:rsid w:val="004259D1"/>
    <w:rsid w:val="00430221"/>
    <w:rsid w:val="004346C6"/>
    <w:rsid w:val="00436D47"/>
    <w:rsid w:val="00480150"/>
    <w:rsid w:val="0048245F"/>
    <w:rsid w:val="004954A6"/>
    <w:rsid w:val="004972D4"/>
    <w:rsid w:val="004A615F"/>
    <w:rsid w:val="004B004F"/>
    <w:rsid w:val="004E5C1E"/>
    <w:rsid w:val="00553BF7"/>
    <w:rsid w:val="00590E07"/>
    <w:rsid w:val="0059643C"/>
    <w:rsid w:val="005B63DA"/>
    <w:rsid w:val="005C404F"/>
    <w:rsid w:val="005C47AD"/>
    <w:rsid w:val="00600749"/>
    <w:rsid w:val="00600B1F"/>
    <w:rsid w:val="00632E9F"/>
    <w:rsid w:val="00641AD8"/>
    <w:rsid w:val="00687A26"/>
    <w:rsid w:val="006B1B49"/>
    <w:rsid w:val="006B2F0F"/>
    <w:rsid w:val="006B73E1"/>
    <w:rsid w:val="006C1C88"/>
    <w:rsid w:val="006D3CE6"/>
    <w:rsid w:val="0070228D"/>
    <w:rsid w:val="00721708"/>
    <w:rsid w:val="007357F4"/>
    <w:rsid w:val="007674E9"/>
    <w:rsid w:val="00772260"/>
    <w:rsid w:val="00795E9C"/>
    <w:rsid w:val="0082443E"/>
    <w:rsid w:val="0083220C"/>
    <w:rsid w:val="00835583"/>
    <w:rsid w:val="00870459"/>
    <w:rsid w:val="008871E8"/>
    <w:rsid w:val="008C691F"/>
    <w:rsid w:val="008E12A4"/>
    <w:rsid w:val="008E526E"/>
    <w:rsid w:val="008F15CB"/>
    <w:rsid w:val="008F39AE"/>
    <w:rsid w:val="00932669"/>
    <w:rsid w:val="00932A2B"/>
    <w:rsid w:val="00934562"/>
    <w:rsid w:val="00945857"/>
    <w:rsid w:val="00946481"/>
    <w:rsid w:val="00961959"/>
    <w:rsid w:val="00975A95"/>
    <w:rsid w:val="009A2221"/>
    <w:rsid w:val="009D30CA"/>
    <w:rsid w:val="009D51E5"/>
    <w:rsid w:val="00A002AD"/>
    <w:rsid w:val="00A406D4"/>
    <w:rsid w:val="00A54671"/>
    <w:rsid w:val="00A60B3F"/>
    <w:rsid w:val="00A61E8E"/>
    <w:rsid w:val="00A62197"/>
    <w:rsid w:val="00A803F1"/>
    <w:rsid w:val="00AA3A43"/>
    <w:rsid w:val="00AB449E"/>
    <w:rsid w:val="00AF3183"/>
    <w:rsid w:val="00B03835"/>
    <w:rsid w:val="00B34E5F"/>
    <w:rsid w:val="00B47D44"/>
    <w:rsid w:val="00B51C8E"/>
    <w:rsid w:val="00B67919"/>
    <w:rsid w:val="00B81D79"/>
    <w:rsid w:val="00B92EEC"/>
    <w:rsid w:val="00B93986"/>
    <w:rsid w:val="00BA0824"/>
    <w:rsid w:val="00BB51D1"/>
    <w:rsid w:val="00BB64D0"/>
    <w:rsid w:val="00BC357A"/>
    <w:rsid w:val="00BE01EB"/>
    <w:rsid w:val="00BF5080"/>
    <w:rsid w:val="00C059CD"/>
    <w:rsid w:val="00C3056C"/>
    <w:rsid w:val="00C502F2"/>
    <w:rsid w:val="00C53D14"/>
    <w:rsid w:val="00C67BE6"/>
    <w:rsid w:val="00CA595C"/>
    <w:rsid w:val="00CB26F3"/>
    <w:rsid w:val="00CD5321"/>
    <w:rsid w:val="00CD758B"/>
    <w:rsid w:val="00D2009D"/>
    <w:rsid w:val="00D614C6"/>
    <w:rsid w:val="00D63DBB"/>
    <w:rsid w:val="00D80F11"/>
    <w:rsid w:val="00D841F4"/>
    <w:rsid w:val="00D91336"/>
    <w:rsid w:val="00D94691"/>
    <w:rsid w:val="00DC699A"/>
    <w:rsid w:val="00DD6219"/>
    <w:rsid w:val="00DE1FBF"/>
    <w:rsid w:val="00E00850"/>
    <w:rsid w:val="00E35B6F"/>
    <w:rsid w:val="00E526B3"/>
    <w:rsid w:val="00E54D19"/>
    <w:rsid w:val="00E71C61"/>
    <w:rsid w:val="00E83FBE"/>
    <w:rsid w:val="00EA17DD"/>
    <w:rsid w:val="00EA1B44"/>
    <w:rsid w:val="00EC363C"/>
    <w:rsid w:val="00EC3D3B"/>
    <w:rsid w:val="00EC4445"/>
    <w:rsid w:val="00F23515"/>
    <w:rsid w:val="00F40338"/>
    <w:rsid w:val="00F473EB"/>
    <w:rsid w:val="00F56B88"/>
    <w:rsid w:val="00F71969"/>
    <w:rsid w:val="00F91303"/>
    <w:rsid w:val="00F92EA2"/>
    <w:rsid w:val="00FB2581"/>
    <w:rsid w:val="00FB6B79"/>
    <w:rsid w:val="00FD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1560B-624F-4E67-A690-080080E5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57A"/>
  </w:style>
  <w:style w:type="paragraph" w:styleId="Footer">
    <w:name w:val="footer"/>
    <w:basedOn w:val="Normal"/>
    <w:link w:val="FooterChar"/>
    <w:uiPriority w:val="99"/>
    <w:unhideWhenUsed/>
    <w:rsid w:val="00BC3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57A"/>
  </w:style>
  <w:style w:type="paragraph" w:styleId="ListParagraph">
    <w:name w:val="List Paragraph"/>
    <w:basedOn w:val="Normal"/>
    <w:uiPriority w:val="34"/>
    <w:qFormat/>
    <w:rsid w:val="00870459"/>
    <w:pPr>
      <w:ind w:left="720"/>
      <w:contextualSpacing/>
    </w:pPr>
  </w:style>
  <w:style w:type="table" w:styleId="TableGrid">
    <w:name w:val="Table Grid"/>
    <w:basedOn w:val="TableNormal"/>
    <w:uiPriority w:val="39"/>
    <w:rsid w:val="008E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6024">
      <w:bodyDiv w:val="1"/>
      <w:marLeft w:val="0"/>
      <w:marRight w:val="0"/>
      <w:marTop w:val="0"/>
      <w:marBottom w:val="0"/>
      <w:divBdr>
        <w:top w:val="none" w:sz="0" w:space="0" w:color="auto"/>
        <w:left w:val="none" w:sz="0" w:space="0" w:color="auto"/>
        <w:bottom w:val="none" w:sz="0" w:space="0" w:color="auto"/>
        <w:right w:val="none" w:sz="0" w:space="0" w:color="auto"/>
      </w:divBdr>
    </w:div>
    <w:div w:id="271667369">
      <w:bodyDiv w:val="1"/>
      <w:marLeft w:val="0"/>
      <w:marRight w:val="0"/>
      <w:marTop w:val="0"/>
      <w:marBottom w:val="0"/>
      <w:divBdr>
        <w:top w:val="none" w:sz="0" w:space="0" w:color="auto"/>
        <w:left w:val="none" w:sz="0" w:space="0" w:color="auto"/>
        <w:bottom w:val="none" w:sz="0" w:space="0" w:color="auto"/>
        <w:right w:val="none" w:sz="0" w:space="0" w:color="auto"/>
      </w:divBdr>
    </w:div>
    <w:div w:id="323319895">
      <w:bodyDiv w:val="1"/>
      <w:marLeft w:val="0"/>
      <w:marRight w:val="0"/>
      <w:marTop w:val="0"/>
      <w:marBottom w:val="0"/>
      <w:divBdr>
        <w:top w:val="none" w:sz="0" w:space="0" w:color="auto"/>
        <w:left w:val="none" w:sz="0" w:space="0" w:color="auto"/>
        <w:bottom w:val="none" w:sz="0" w:space="0" w:color="auto"/>
        <w:right w:val="none" w:sz="0" w:space="0" w:color="auto"/>
      </w:divBdr>
    </w:div>
    <w:div w:id="338236777">
      <w:bodyDiv w:val="1"/>
      <w:marLeft w:val="0"/>
      <w:marRight w:val="0"/>
      <w:marTop w:val="0"/>
      <w:marBottom w:val="0"/>
      <w:divBdr>
        <w:top w:val="none" w:sz="0" w:space="0" w:color="auto"/>
        <w:left w:val="none" w:sz="0" w:space="0" w:color="auto"/>
        <w:bottom w:val="none" w:sz="0" w:space="0" w:color="auto"/>
        <w:right w:val="none" w:sz="0" w:space="0" w:color="auto"/>
      </w:divBdr>
    </w:div>
    <w:div w:id="767820174">
      <w:bodyDiv w:val="1"/>
      <w:marLeft w:val="0"/>
      <w:marRight w:val="0"/>
      <w:marTop w:val="0"/>
      <w:marBottom w:val="0"/>
      <w:divBdr>
        <w:top w:val="none" w:sz="0" w:space="0" w:color="auto"/>
        <w:left w:val="none" w:sz="0" w:space="0" w:color="auto"/>
        <w:bottom w:val="none" w:sz="0" w:space="0" w:color="auto"/>
        <w:right w:val="none" w:sz="0" w:space="0" w:color="auto"/>
      </w:divBdr>
    </w:div>
    <w:div w:id="1051029752">
      <w:bodyDiv w:val="1"/>
      <w:marLeft w:val="0"/>
      <w:marRight w:val="0"/>
      <w:marTop w:val="0"/>
      <w:marBottom w:val="0"/>
      <w:divBdr>
        <w:top w:val="none" w:sz="0" w:space="0" w:color="auto"/>
        <w:left w:val="none" w:sz="0" w:space="0" w:color="auto"/>
        <w:bottom w:val="none" w:sz="0" w:space="0" w:color="auto"/>
        <w:right w:val="none" w:sz="0" w:space="0" w:color="auto"/>
      </w:divBdr>
    </w:div>
    <w:div w:id="19660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Johnston</dc:creator>
  <cp:keywords/>
  <dc:description/>
  <cp:lastModifiedBy>Bob Johnston</cp:lastModifiedBy>
  <cp:revision>2</cp:revision>
  <dcterms:created xsi:type="dcterms:W3CDTF">2024-01-18T02:49:00Z</dcterms:created>
  <dcterms:modified xsi:type="dcterms:W3CDTF">2024-01-18T02:49:00Z</dcterms:modified>
</cp:coreProperties>
</file>