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D0EE2" w:rsidR="00E32664" w:rsidP="00E32664" w:rsidRDefault="00E32664" w14:paraId="3371BDF2" w14:textId="77777777">
      <w:pPr>
        <w:pStyle w:val="paragraph"/>
        <w:spacing w:before="0" w:beforeAutospacing="0" w:after="0" w:afterAutospacing="0"/>
        <w:textAlignment w:val="baseline"/>
        <w:rPr>
          <w:rFonts w:asciiTheme="minorHAnsi" w:hAnsiTheme="minorHAnsi" w:cstheme="minorHAnsi"/>
        </w:rPr>
      </w:pPr>
      <w:r w:rsidRPr="00ED0EE2">
        <w:rPr>
          <w:rStyle w:val="eop"/>
          <w:rFonts w:asciiTheme="minorHAnsi" w:hAnsiTheme="minorHAnsi" w:cstheme="minorHAnsi"/>
        </w:rPr>
        <w:t> </w:t>
      </w:r>
    </w:p>
    <w:p w:rsidRPr="00ED0EE2" w:rsidR="00E32664" w:rsidP="00E32664" w:rsidRDefault="00E32664" w14:paraId="253FB622" w14:textId="2FA1C3FA">
      <w:pPr>
        <w:pStyle w:val="paragraph"/>
        <w:spacing w:before="0" w:beforeAutospacing="0" w:after="0" w:afterAutospacing="0"/>
        <w:textAlignment w:val="baseline"/>
        <w:rPr>
          <w:rFonts w:asciiTheme="minorHAnsi" w:hAnsiTheme="minorHAnsi" w:cstheme="minorBidi"/>
        </w:rPr>
      </w:pPr>
    </w:p>
    <w:p w:rsidR="00E32664" w:rsidP="00E32664" w:rsidRDefault="00E32664" w14:paraId="183B0029" w14:textId="7CC2F2AF">
      <w:pPr>
        <w:pStyle w:val="paragraph"/>
        <w:spacing w:before="0" w:beforeAutospacing="0" w:after="0" w:afterAutospacing="0"/>
        <w:textAlignment w:val="baseline"/>
        <w:rPr>
          <w:rStyle w:val="eop"/>
          <w:rFonts w:asciiTheme="minorHAnsi" w:hAnsiTheme="minorHAnsi" w:cstheme="minorHAnsi"/>
        </w:rPr>
      </w:pPr>
      <w:r w:rsidRPr="00ED0EE2">
        <w:rPr>
          <w:rStyle w:val="eop"/>
          <w:rFonts w:asciiTheme="minorHAnsi" w:hAnsiTheme="minorHAnsi" w:cstheme="minorHAnsi"/>
        </w:rPr>
        <w:t> </w:t>
      </w:r>
    </w:p>
    <w:p w:rsidR="000C7A9C" w:rsidP="00E32664" w:rsidRDefault="000C7A9C" w14:paraId="5DE52460" w14:textId="782E8303">
      <w:pPr>
        <w:pStyle w:val="paragraph"/>
        <w:spacing w:before="0" w:beforeAutospacing="0" w:after="0" w:afterAutospacing="0"/>
        <w:textAlignment w:val="baseline"/>
        <w:rPr>
          <w:rFonts w:asciiTheme="minorHAnsi" w:hAnsiTheme="minorHAnsi" w:cstheme="minorHAnsi"/>
        </w:rPr>
      </w:pPr>
    </w:p>
    <w:p w:rsidR="000C7A9C" w:rsidP="00E32664" w:rsidRDefault="000C7A9C" w14:paraId="2B64F683" w14:textId="2695BB6D">
      <w:pPr>
        <w:pStyle w:val="paragraph"/>
        <w:spacing w:before="0" w:beforeAutospacing="0" w:after="0" w:afterAutospacing="0"/>
        <w:textAlignment w:val="baseline"/>
        <w:rPr>
          <w:rFonts w:asciiTheme="minorHAnsi" w:hAnsiTheme="minorHAnsi" w:cstheme="minorHAnsi"/>
        </w:rPr>
      </w:pPr>
    </w:p>
    <w:p w:rsidR="000C7A9C" w:rsidP="00E32664" w:rsidRDefault="000C7A9C" w14:paraId="594419CA" w14:textId="561DE737">
      <w:pPr>
        <w:pStyle w:val="paragraph"/>
        <w:spacing w:before="0" w:beforeAutospacing="0" w:after="0" w:afterAutospacing="0"/>
        <w:textAlignment w:val="baseline"/>
        <w:rPr>
          <w:rFonts w:asciiTheme="minorHAnsi" w:hAnsiTheme="minorHAnsi" w:cstheme="minorHAnsi"/>
        </w:rPr>
      </w:pPr>
    </w:p>
    <w:p w:rsidR="000C7A9C" w:rsidP="00E32664" w:rsidRDefault="000C7A9C" w14:paraId="543C0F42" w14:textId="2C1F5B5D">
      <w:pPr>
        <w:pStyle w:val="paragraph"/>
        <w:spacing w:before="0" w:beforeAutospacing="0" w:after="0" w:afterAutospacing="0"/>
        <w:textAlignment w:val="baseline"/>
        <w:rPr>
          <w:rFonts w:asciiTheme="minorHAnsi" w:hAnsiTheme="minorHAnsi" w:cstheme="minorHAnsi"/>
        </w:rPr>
      </w:pPr>
    </w:p>
    <w:p w:rsidRPr="00ED0EE2" w:rsidR="000C7A9C" w:rsidP="00E32664" w:rsidRDefault="000C7A9C" w14:paraId="4A00C18C" w14:textId="77777777">
      <w:pPr>
        <w:pStyle w:val="paragraph"/>
        <w:spacing w:before="0" w:beforeAutospacing="0" w:after="0" w:afterAutospacing="0"/>
        <w:textAlignment w:val="baseline"/>
        <w:rPr>
          <w:rFonts w:asciiTheme="minorHAnsi" w:hAnsiTheme="minorHAnsi" w:cstheme="minorHAnsi"/>
        </w:rPr>
      </w:pPr>
    </w:p>
    <w:p w:rsidRPr="00ED0EE2" w:rsidR="00E32664" w:rsidP="00E32664" w:rsidRDefault="00E32664" w14:paraId="2A81D526" w14:textId="77777777">
      <w:pPr>
        <w:pStyle w:val="paragraph"/>
        <w:spacing w:before="0" w:beforeAutospacing="0" w:after="0" w:afterAutospacing="0"/>
        <w:textAlignment w:val="baseline"/>
        <w:rPr>
          <w:rFonts w:asciiTheme="minorHAnsi" w:hAnsiTheme="minorHAnsi" w:cstheme="minorHAnsi"/>
        </w:rPr>
      </w:pPr>
      <w:r w:rsidRPr="00ED0EE2">
        <w:rPr>
          <w:rStyle w:val="eop"/>
          <w:rFonts w:asciiTheme="minorHAnsi" w:hAnsiTheme="minorHAnsi" w:cstheme="minorHAnsi"/>
        </w:rPr>
        <w:t> </w:t>
      </w:r>
    </w:p>
    <w:p w:rsidRPr="00B5431A" w:rsidR="00E32664" w:rsidP="4F39C94D" w:rsidRDefault="1201C181" w14:paraId="583C34BC" w14:textId="069796DD">
      <w:pPr>
        <w:pStyle w:val="paragraph"/>
        <w:spacing w:before="0" w:beforeAutospacing="0" w:after="0" w:afterAutospacing="0"/>
        <w:jc w:val="center"/>
        <w:textAlignment w:val="baseline"/>
        <w:rPr>
          <w:rStyle w:val="normaltextrun"/>
          <w:rFonts w:asciiTheme="minorHAnsi" w:hAnsiTheme="minorHAnsi" w:cstheme="minorBidi"/>
          <w:sz w:val="56"/>
          <w:szCs w:val="56"/>
        </w:rPr>
      </w:pPr>
      <w:r w:rsidRPr="4F39C94D">
        <w:rPr>
          <w:rStyle w:val="normaltextrun"/>
          <w:rFonts w:asciiTheme="minorHAnsi" w:hAnsiTheme="minorHAnsi" w:cstheme="minorBidi"/>
          <w:sz w:val="56"/>
          <w:szCs w:val="56"/>
        </w:rPr>
        <w:t>Appendix</w:t>
      </w:r>
      <w:r w:rsidRPr="4F39C94D" w:rsidR="40398A8B">
        <w:rPr>
          <w:rStyle w:val="normaltextrun"/>
          <w:rFonts w:asciiTheme="minorHAnsi" w:hAnsiTheme="minorHAnsi" w:cstheme="minorBidi"/>
          <w:sz w:val="56"/>
          <w:szCs w:val="56"/>
        </w:rPr>
        <w:t xml:space="preserve"> </w:t>
      </w:r>
      <w:r w:rsidR="001C676C">
        <w:rPr>
          <w:rStyle w:val="normaltextrun"/>
          <w:rFonts w:asciiTheme="minorHAnsi" w:hAnsiTheme="minorHAnsi" w:cstheme="minorBidi"/>
          <w:sz w:val="56"/>
          <w:szCs w:val="56"/>
        </w:rPr>
        <w:t>B</w:t>
      </w:r>
    </w:p>
    <w:p w:rsidRPr="00ED0EE2" w:rsidR="00E32664" w:rsidP="00E32664" w:rsidRDefault="00E32664" w14:paraId="18C00064" w14:textId="77777777">
      <w:pPr>
        <w:pStyle w:val="paragraph"/>
        <w:spacing w:before="0" w:beforeAutospacing="0" w:after="0" w:afterAutospacing="0"/>
        <w:jc w:val="center"/>
        <w:textAlignment w:val="baseline"/>
        <w:rPr>
          <w:rFonts w:asciiTheme="minorHAnsi" w:hAnsiTheme="minorHAnsi" w:cstheme="minorHAnsi"/>
        </w:rPr>
      </w:pPr>
      <w:r w:rsidRPr="00ED0EE2">
        <w:rPr>
          <w:rStyle w:val="eop"/>
          <w:rFonts w:asciiTheme="minorHAnsi" w:hAnsiTheme="minorHAnsi" w:cstheme="minorHAnsi"/>
        </w:rPr>
        <w:t> </w:t>
      </w:r>
    </w:p>
    <w:p w:rsidR="000C7A9C" w:rsidP="00E32664" w:rsidRDefault="000C7A9C" w14:paraId="32D926DB" w14:textId="77777777">
      <w:pPr>
        <w:pStyle w:val="paragraph"/>
        <w:spacing w:before="0" w:beforeAutospacing="0" w:after="0" w:afterAutospacing="0"/>
        <w:jc w:val="center"/>
        <w:textAlignment w:val="baseline"/>
        <w:rPr>
          <w:rStyle w:val="eop"/>
          <w:rFonts w:asciiTheme="minorHAnsi" w:hAnsiTheme="minorHAnsi" w:cstheme="minorHAnsi"/>
        </w:rPr>
      </w:pPr>
    </w:p>
    <w:p w:rsidR="000C7A9C" w:rsidP="00E32664" w:rsidRDefault="000C7A9C" w14:paraId="79473E71" w14:textId="77777777">
      <w:pPr>
        <w:pStyle w:val="paragraph"/>
        <w:spacing w:before="0" w:beforeAutospacing="0" w:after="0" w:afterAutospacing="0"/>
        <w:jc w:val="center"/>
        <w:textAlignment w:val="baseline"/>
        <w:rPr>
          <w:rStyle w:val="eop"/>
          <w:rFonts w:asciiTheme="minorHAnsi" w:hAnsiTheme="minorHAnsi" w:cstheme="minorHAnsi"/>
        </w:rPr>
      </w:pPr>
    </w:p>
    <w:p w:rsidR="000C7A9C" w:rsidP="00E32664" w:rsidRDefault="000C7A9C" w14:paraId="0CEB463F" w14:textId="77777777">
      <w:pPr>
        <w:pStyle w:val="paragraph"/>
        <w:spacing w:before="0" w:beforeAutospacing="0" w:after="0" w:afterAutospacing="0"/>
        <w:jc w:val="center"/>
        <w:textAlignment w:val="baseline"/>
        <w:rPr>
          <w:rStyle w:val="eop"/>
          <w:rFonts w:asciiTheme="minorHAnsi" w:hAnsiTheme="minorHAnsi" w:cstheme="minorHAnsi"/>
        </w:rPr>
      </w:pPr>
    </w:p>
    <w:p w:rsidR="000C7A9C" w:rsidP="00E32664" w:rsidRDefault="000C7A9C" w14:paraId="16C5892C" w14:textId="77777777">
      <w:pPr>
        <w:pStyle w:val="paragraph"/>
        <w:spacing w:before="0" w:beforeAutospacing="0" w:after="0" w:afterAutospacing="0"/>
        <w:jc w:val="center"/>
        <w:textAlignment w:val="baseline"/>
        <w:rPr>
          <w:rStyle w:val="eop"/>
          <w:rFonts w:asciiTheme="minorHAnsi" w:hAnsiTheme="minorHAnsi" w:cstheme="minorHAnsi"/>
        </w:rPr>
      </w:pPr>
    </w:p>
    <w:p w:rsidR="000C7A9C" w:rsidP="00E32664" w:rsidRDefault="000C7A9C" w14:paraId="3147AB45" w14:textId="13951861">
      <w:pPr>
        <w:pStyle w:val="paragraph"/>
        <w:spacing w:before="0" w:beforeAutospacing="0" w:after="0" w:afterAutospacing="0"/>
        <w:jc w:val="center"/>
        <w:textAlignment w:val="baseline"/>
        <w:rPr>
          <w:rStyle w:val="eop"/>
          <w:rFonts w:asciiTheme="minorHAnsi" w:hAnsiTheme="minorHAnsi" w:cstheme="minorHAnsi"/>
        </w:rPr>
      </w:pPr>
    </w:p>
    <w:p w:rsidR="00FE0F35" w:rsidP="00E32664" w:rsidRDefault="00FE0F35" w14:paraId="59D4EE92" w14:textId="77777777">
      <w:pPr>
        <w:pStyle w:val="paragraph"/>
        <w:spacing w:before="0" w:beforeAutospacing="0" w:after="0" w:afterAutospacing="0"/>
        <w:jc w:val="center"/>
        <w:textAlignment w:val="baseline"/>
        <w:rPr>
          <w:rStyle w:val="eop"/>
          <w:rFonts w:asciiTheme="minorHAnsi" w:hAnsiTheme="minorHAnsi" w:cstheme="minorHAnsi"/>
        </w:rPr>
      </w:pPr>
    </w:p>
    <w:p w:rsidRPr="00ED0EE2" w:rsidR="00E32664" w:rsidP="00E32664" w:rsidRDefault="00E32664" w14:paraId="18DBCBFB" w14:textId="080B36F3">
      <w:pPr>
        <w:pStyle w:val="paragraph"/>
        <w:spacing w:before="0" w:beforeAutospacing="0" w:after="0" w:afterAutospacing="0"/>
        <w:jc w:val="center"/>
        <w:textAlignment w:val="baseline"/>
        <w:rPr>
          <w:rFonts w:asciiTheme="minorHAnsi" w:hAnsiTheme="minorHAnsi" w:cstheme="minorHAnsi"/>
        </w:rPr>
      </w:pPr>
      <w:r w:rsidRPr="00ED0EE2">
        <w:rPr>
          <w:rStyle w:val="eop"/>
          <w:rFonts w:asciiTheme="minorHAnsi" w:hAnsiTheme="minorHAnsi" w:cstheme="minorHAnsi"/>
        </w:rPr>
        <w:t> </w:t>
      </w:r>
    </w:p>
    <w:p w:rsidRPr="00ED0EE2" w:rsidR="00E32664" w:rsidP="00E32664" w:rsidRDefault="00E32664" w14:paraId="432D12E2" w14:textId="77777777">
      <w:pPr>
        <w:pStyle w:val="paragraph"/>
        <w:spacing w:before="0" w:beforeAutospacing="0" w:after="0" w:afterAutospacing="0"/>
        <w:jc w:val="center"/>
        <w:textAlignment w:val="baseline"/>
        <w:rPr>
          <w:rFonts w:asciiTheme="minorHAnsi" w:hAnsiTheme="minorHAnsi" w:cstheme="minorHAnsi"/>
        </w:rPr>
      </w:pPr>
      <w:r w:rsidRPr="00ED0EE2">
        <w:rPr>
          <w:rStyle w:val="eop"/>
          <w:rFonts w:asciiTheme="minorHAnsi" w:hAnsiTheme="minorHAnsi" w:cstheme="minorHAnsi"/>
        </w:rPr>
        <w:t> </w:t>
      </w:r>
    </w:p>
    <w:p w:rsidRPr="00B5431A" w:rsidR="00E32664" w:rsidP="00E32664" w:rsidRDefault="00E32664" w14:paraId="333A3282" w14:textId="540C7C0C">
      <w:pPr>
        <w:pStyle w:val="paragraph"/>
        <w:spacing w:before="0" w:beforeAutospacing="0" w:after="0" w:afterAutospacing="0"/>
        <w:jc w:val="center"/>
        <w:textAlignment w:val="baseline"/>
        <w:rPr>
          <w:rFonts w:asciiTheme="minorHAnsi" w:hAnsiTheme="minorHAnsi" w:cstheme="minorBidi"/>
          <w:sz w:val="44"/>
          <w:szCs w:val="44"/>
        </w:rPr>
      </w:pPr>
      <w:r w:rsidRPr="00B5431A">
        <w:rPr>
          <w:rStyle w:val="normaltextrun"/>
          <w:rFonts w:asciiTheme="minorHAnsi" w:hAnsiTheme="minorHAnsi" w:cstheme="minorBidi"/>
          <w:sz w:val="44"/>
          <w:szCs w:val="44"/>
        </w:rPr>
        <w:t xml:space="preserve">February 1, </w:t>
      </w:r>
      <w:r w:rsidRPr="00B5431A" w:rsidR="0A61E343">
        <w:rPr>
          <w:rStyle w:val="normaltextrun"/>
          <w:rFonts w:asciiTheme="minorHAnsi" w:hAnsiTheme="minorHAnsi" w:cstheme="minorBidi"/>
          <w:sz w:val="44"/>
          <w:szCs w:val="44"/>
        </w:rPr>
        <w:t>202</w:t>
      </w:r>
      <w:r w:rsidRPr="0CAFFCC8" w:rsidR="495D941E">
        <w:rPr>
          <w:rStyle w:val="normaltextrun"/>
          <w:rFonts w:asciiTheme="minorHAnsi" w:hAnsiTheme="minorHAnsi" w:cstheme="minorBidi"/>
          <w:sz w:val="44"/>
          <w:szCs w:val="44"/>
        </w:rPr>
        <w:t>2</w:t>
      </w:r>
      <w:r w:rsidRPr="00B5431A">
        <w:rPr>
          <w:rStyle w:val="eop"/>
          <w:rFonts w:asciiTheme="minorHAnsi" w:hAnsiTheme="minorHAnsi" w:cstheme="minorBidi"/>
          <w:sz w:val="44"/>
          <w:szCs w:val="44"/>
        </w:rPr>
        <w:t> </w:t>
      </w:r>
    </w:p>
    <w:p w:rsidRPr="00ED0EE2" w:rsidR="00E32664" w:rsidP="00E32664" w:rsidRDefault="00E32664" w14:paraId="5AB066DD" w14:textId="77777777">
      <w:pPr>
        <w:pStyle w:val="paragraph"/>
        <w:spacing w:before="0" w:beforeAutospacing="0" w:after="0" w:afterAutospacing="0"/>
        <w:jc w:val="center"/>
        <w:textAlignment w:val="baseline"/>
        <w:rPr>
          <w:rFonts w:asciiTheme="minorHAnsi" w:hAnsiTheme="minorHAnsi" w:cstheme="minorHAnsi"/>
        </w:rPr>
      </w:pPr>
      <w:r w:rsidRPr="00ED0EE2">
        <w:rPr>
          <w:rStyle w:val="eop"/>
          <w:rFonts w:asciiTheme="minorHAnsi" w:hAnsiTheme="minorHAnsi" w:cstheme="minorHAnsi"/>
        </w:rPr>
        <w:t> </w:t>
      </w:r>
    </w:p>
    <w:p w:rsidRPr="00ED0EE2" w:rsidR="00E32664" w:rsidP="00E32664" w:rsidRDefault="00E32664" w14:paraId="3C670A9F" w14:textId="77777777">
      <w:pPr>
        <w:pStyle w:val="paragraph"/>
        <w:spacing w:before="0" w:beforeAutospacing="0" w:after="0" w:afterAutospacing="0"/>
        <w:jc w:val="center"/>
        <w:textAlignment w:val="baseline"/>
        <w:rPr>
          <w:rFonts w:asciiTheme="minorHAnsi" w:hAnsiTheme="minorHAnsi" w:cstheme="minorHAnsi"/>
        </w:rPr>
      </w:pPr>
      <w:r w:rsidRPr="00ED0EE2">
        <w:rPr>
          <w:rStyle w:val="eop"/>
          <w:rFonts w:asciiTheme="minorHAnsi" w:hAnsiTheme="minorHAnsi" w:cstheme="minorHAnsi"/>
        </w:rPr>
        <w:t> </w:t>
      </w:r>
    </w:p>
    <w:p w:rsidR="00E32664" w:rsidP="00E32664" w:rsidRDefault="00E32664" w14:paraId="580F4389" w14:textId="6BAEE085">
      <w:pPr>
        <w:pStyle w:val="paragraph"/>
        <w:spacing w:before="0" w:beforeAutospacing="0" w:after="0" w:afterAutospacing="0"/>
        <w:jc w:val="center"/>
        <w:textAlignment w:val="baseline"/>
        <w:rPr>
          <w:rStyle w:val="eop"/>
          <w:rFonts w:asciiTheme="minorHAnsi" w:hAnsiTheme="minorHAnsi" w:cstheme="minorBidi"/>
        </w:rPr>
      </w:pPr>
      <w:r w:rsidRPr="0CAFFCC8">
        <w:rPr>
          <w:rStyle w:val="eop"/>
          <w:rFonts w:asciiTheme="minorHAnsi" w:hAnsiTheme="minorHAnsi" w:cstheme="minorBidi"/>
        </w:rPr>
        <w:t> </w:t>
      </w:r>
    </w:p>
    <w:p w:rsidRPr="00ED0EE2" w:rsidR="00FE0F35" w:rsidP="00E32664" w:rsidRDefault="00FE0F35" w14:paraId="2EE84A8D" w14:textId="77777777">
      <w:pPr>
        <w:pStyle w:val="paragraph"/>
        <w:spacing w:before="0" w:beforeAutospacing="0" w:after="0" w:afterAutospacing="0"/>
        <w:jc w:val="center"/>
        <w:textAlignment w:val="baseline"/>
        <w:rPr>
          <w:rFonts w:asciiTheme="minorHAnsi" w:hAnsiTheme="minorHAnsi" w:cstheme="minorHAnsi"/>
        </w:rPr>
      </w:pPr>
    </w:p>
    <w:p w:rsidR="000C7A9C" w:rsidP="00BD3353" w:rsidRDefault="000C7A9C" w14:paraId="76D62915" w14:textId="77777777">
      <w:pPr>
        <w:pStyle w:val="paragraph"/>
        <w:spacing w:before="0" w:beforeAutospacing="0" w:after="0" w:afterAutospacing="0"/>
        <w:jc w:val="center"/>
        <w:textAlignment w:val="baseline"/>
      </w:pPr>
    </w:p>
    <w:p w:rsidR="000C7A9C" w:rsidP="00BD3353" w:rsidRDefault="000C7A9C" w14:paraId="04630911" w14:textId="77777777">
      <w:pPr>
        <w:pStyle w:val="paragraph"/>
        <w:spacing w:before="0" w:beforeAutospacing="0" w:after="0" w:afterAutospacing="0"/>
        <w:jc w:val="center"/>
        <w:textAlignment w:val="baseline"/>
      </w:pPr>
    </w:p>
    <w:p w:rsidR="000C7A9C" w:rsidP="00BD3353" w:rsidRDefault="000C7A9C" w14:paraId="1EB2131B" w14:textId="77777777">
      <w:pPr>
        <w:pStyle w:val="paragraph"/>
        <w:spacing w:before="0" w:beforeAutospacing="0" w:after="0" w:afterAutospacing="0"/>
        <w:jc w:val="center"/>
        <w:textAlignment w:val="baseline"/>
      </w:pPr>
    </w:p>
    <w:p w:rsidRPr="00ED0EE2" w:rsidR="00E32664" w:rsidP="00BD3353" w:rsidRDefault="00E32664" w14:paraId="5C9ECD70" w14:textId="2AA1DD43">
      <w:pPr>
        <w:pStyle w:val="paragraph"/>
        <w:spacing w:before="0" w:beforeAutospacing="0" w:after="0" w:afterAutospacing="0"/>
        <w:jc w:val="center"/>
        <w:textAlignment w:val="baseline"/>
      </w:pPr>
      <w:r>
        <w:br/>
      </w:r>
      <w:r w:rsidRPr="0CAFFCC8">
        <w:rPr>
          <w:rStyle w:val="eop"/>
          <w:rFonts w:asciiTheme="minorHAnsi" w:hAnsiTheme="minorHAnsi" w:cstheme="minorBidi"/>
        </w:rPr>
        <w:t> </w:t>
      </w:r>
    </w:p>
    <w:p w:rsidRPr="00ED0EE2" w:rsidR="001C676C" w:rsidP="00B5431A" w:rsidRDefault="00B5431A" w14:paraId="6A3A13C6" w14:textId="77777777">
      <w:pPr>
        <w:jc w:val="center"/>
        <w:rPr>
          <w:rFonts w:cstheme="minorHAnsi"/>
          <w:sz w:val="24"/>
          <w:szCs w:val="24"/>
        </w:rPr>
      </w:pPr>
      <w:r>
        <w:rPr>
          <w:noProof/>
        </w:rPr>
        <w:drawing>
          <wp:inline distT="0" distB="0" distL="0" distR="0" wp14:anchorId="0FA2F754" wp14:editId="0CEB94AC">
            <wp:extent cx="2492025" cy="1628775"/>
            <wp:effectExtent l="0" t="0" r="381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99232" cy="1633485"/>
                    </a:xfrm>
                    <a:prstGeom prst="rect">
                      <a:avLst/>
                    </a:prstGeom>
                  </pic:spPr>
                </pic:pic>
              </a:graphicData>
            </a:graphic>
          </wp:inline>
        </w:drawing>
      </w:r>
      <w:r w:rsidRPr="00ED0EE2" w:rsidR="00401296">
        <w:rPr>
          <w:rFonts w:cstheme="minorHAnsi"/>
          <w:sz w:val="24"/>
          <w:szCs w:val="24"/>
        </w:rPr>
        <w:br w:type="page"/>
      </w:r>
    </w:p>
    <w:tbl>
      <w:tblPr>
        <w:tblStyle w:val="TableGrid"/>
        <w:tblW w:w="11250" w:type="dxa"/>
        <w:tblInd w:w="-905" w:type="dxa"/>
        <w:tblLayout w:type="fixed"/>
        <w:tblLook w:val="04A0" w:firstRow="1" w:lastRow="0" w:firstColumn="1" w:lastColumn="0" w:noHBand="0" w:noVBand="1"/>
      </w:tblPr>
      <w:tblGrid>
        <w:gridCol w:w="450"/>
        <w:gridCol w:w="1350"/>
        <w:gridCol w:w="1170"/>
        <w:gridCol w:w="1530"/>
        <w:gridCol w:w="3060"/>
        <w:gridCol w:w="3690"/>
      </w:tblGrid>
      <w:tr w:rsidR="00F050CC" w:rsidTr="43B8B911" w14:paraId="052F50CD" w14:textId="77777777">
        <w:tc>
          <w:tcPr>
            <w:tcW w:w="450" w:type="dxa"/>
            <w:tcMar/>
          </w:tcPr>
          <w:p w:rsidRPr="0005320C" w:rsidR="001C676C" w:rsidP="0005320C" w:rsidRDefault="001C676C" w14:paraId="0D419727" w14:textId="4CD1DBCC">
            <w:pPr>
              <w:rPr>
                <w:rFonts w:cstheme="minorHAnsi"/>
                <w:b/>
                <w:bCs/>
                <w:sz w:val="24"/>
                <w:szCs w:val="24"/>
              </w:rPr>
            </w:pPr>
            <w:r w:rsidRPr="0005320C">
              <w:rPr>
                <w:rFonts w:ascii="Calibri" w:hAnsi="Calibri" w:cs="Calibri"/>
                <w:b/>
                <w:bCs/>
                <w:color w:val="000000"/>
              </w:rPr>
              <w:t>#</w:t>
            </w:r>
          </w:p>
        </w:tc>
        <w:tc>
          <w:tcPr>
            <w:tcW w:w="1350" w:type="dxa"/>
            <w:tcMar/>
          </w:tcPr>
          <w:p w:rsidRPr="0005320C" w:rsidR="001C676C" w:rsidP="00F050CC" w:rsidRDefault="001C676C" w14:paraId="28505DCE" w14:textId="29E9F75A">
            <w:pPr>
              <w:rPr>
                <w:rFonts w:cstheme="minorHAnsi"/>
                <w:b/>
                <w:bCs/>
                <w:sz w:val="24"/>
                <w:szCs w:val="24"/>
              </w:rPr>
            </w:pPr>
            <w:r w:rsidRPr="0005320C">
              <w:rPr>
                <w:rFonts w:ascii="Calibri" w:hAnsi="Calibri" w:cs="Calibri"/>
                <w:b/>
                <w:bCs/>
                <w:color w:val="000000"/>
              </w:rPr>
              <w:t>Feature Class/Relate Table</w:t>
            </w:r>
          </w:p>
        </w:tc>
        <w:tc>
          <w:tcPr>
            <w:tcW w:w="1170" w:type="dxa"/>
            <w:tcMar/>
          </w:tcPr>
          <w:p w:rsidRPr="0005320C" w:rsidR="001C676C" w:rsidP="001C676C" w:rsidRDefault="001C676C" w14:paraId="2E2B68E0" w14:textId="0FC31429">
            <w:pPr>
              <w:jc w:val="center"/>
              <w:rPr>
                <w:rFonts w:cstheme="minorHAnsi"/>
                <w:b/>
                <w:bCs/>
                <w:sz w:val="24"/>
                <w:szCs w:val="24"/>
              </w:rPr>
            </w:pPr>
            <w:r w:rsidRPr="0005320C">
              <w:rPr>
                <w:rFonts w:ascii="Calibri" w:hAnsi="Calibri" w:cs="Calibri"/>
                <w:b/>
                <w:bCs/>
                <w:color w:val="000000"/>
              </w:rPr>
              <w:t>Field Name</w:t>
            </w:r>
          </w:p>
        </w:tc>
        <w:tc>
          <w:tcPr>
            <w:tcW w:w="1530" w:type="dxa"/>
            <w:tcMar/>
          </w:tcPr>
          <w:p w:rsidRPr="0005320C" w:rsidR="001C676C" w:rsidP="001C676C" w:rsidRDefault="001C676C" w14:paraId="52632653" w14:textId="49E921EA">
            <w:pPr>
              <w:jc w:val="center"/>
              <w:rPr>
                <w:rFonts w:cstheme="minorHAnsi"/>
                <w:b/>
                <w:bCs/>
                <w:sz w:val="24"/>
                <w:szCs w:val="24"/>
              </w:rPr>
            </w:pPr>
            <w:r w:rsidRPr="0005320C">
              <w:rPr>
                <w:rFonts w:ascii="Calibri" w:hAnsi="Calibri" w:cs="Calibri"/>
                <w:b/>
                <w:bCs/>
                <w:color w:val="000000"/>
              </w:rPr>
              <w:t>Title</w:t>
            </w:r>
          </w:p>
        </w:tc>
        <w:tc>
          <w:tcPr>
            <w:tcW w:w="3060" w:type="dxa"/>
            <w:tcMar/>
          </w:tcPr>
          <w:p w:rsidRPr="0005320C" w:rsidR="001C676C" w:rsidP="001C676C" w:rsidRDefault="001C676C" w14:paraId="40C22CE6" w14:textId="0FC6F09E">
            <w:pPr>
              <w:jc w:val="center"/>
              <w:rPr>
                <w:rFonts w:cstheme="minorHAnsi"/>
                <w:b/>
                <w:bCs/>
                <w:sz w:val="24"/>
                <w:szCs w:val="24"/>
              </w:rPr>
            </w:pPr>
            <w:r w:rsidRPr="0005320C">
              <w:rPr>
                <w:rFonts w:ascii="Calibri" w:hAnsi="Calibri" w:cs="Calibri"/>
                <w:b/>
                <w:bCs/>
                <w:color w:val="000000"/>
              </w:rPr>
              <w:t>Description of Issues</w:t>
            </w:r>
          </w:p>
        </w:tc>
        <w:tc>
          <w:tcPr>
            <w:tcW w:w="3690" w:type="dxa"/>
            <w:tcMar/>
          </w:tcPr>
          <w:p w:rsidRPr="0005320C" w:rsidR="001C676C" w:rsidP="001C676C" w:rsidRDefault="001C676C" w14:paraId="744138DC" w14:textId="5E09925F">
            <w:pPr>
              <w:jc w:val="center"/>
              <w:rPr>
                <w:rFonts w:cstheme="minorHAnsi"/>
                <w:b/>
                <w:bCs/>
                <w:sz w:val="24"/>
                <w:szCs w:val="24"/>
              </w:rPr>
            </w:pPr>
            <w:r w:rsidRPr="0005320C">
              <w:rPr>
                <w:rFonts w:ascii="Calibri" w:hAnsi="Calibri" w:cs="Calibri"/>
                <w:b/>
                <w:bCs/>
                <w:color w:val="000000"/>
              </w:rPr>
              <w:t>Suggestions</w:t>
            </w:r>
          </w:p>
        </w:tc>
      </w:tr>
      <w:tr w:rsidR="00F050CC" w:rsidTr="43B8B911" w14:paraId="289CE297" w14:textId="77777777">
        <w:tc>
          <w:tcPr>
            <w:tcW w:w="450" w:type="dxa"/>
            <w:tcMar/>
          </w:tcPr>
          <w:p w:rsidRPr="004475C6" w:rsidR="001C676C" w:rsidP="0005320C" w:rsidRDefault="001C676C" w14:paraId="033B8C23" w14:textId="474C72AC">
            <w:pPr>
              <w:rPr>
                <w:rFonts w:cstheme="minorHAnsi"/>
                <w:sz w:val="20"/>
                <w:szCs w:val="20"/>
              </w:rPr>
            </w:pPr>
            <w:r w:rsidRPr="004475C6">
              <w:rPr>
                <w:rFonts w:ascii="Calibri" w:hAnsi="Calibri" w:cs="Calibri"/>
                <w:color w:val="000000"/>
                <w:sz w:val="20"/>
                <w:szCs w:val="20"/>
              </w:rPr>
              <w:t>1</w:t>
            </w:r>
          </w:p>
        </w:tc>
        <w:tc>
          <w:tcPr>
            <w:tcW w:w="1350" w:type="dxa"/>
            <w:tcMar/>
          </w:tcPr>
          <w:p w:rsidRPr="004475C6" w:rsidR="001C676C" w:rsidP="00F050CC" w:rsidRDefault="001C676C" w14:paraId="1E7BCF04" w14:textId="5AD80DEB">
            <w:pPr>
              <w:rPr>
                <w:rFonts w:cstheme="minorHAnsi"/>
                <w:sz w:val="20"/>
                <w:szCs w:val="20"/>
              </w:rPr>
            </w:pPr>
            <w:r w:rsidRPr="004475C6">
              <w:rPr>
                <w:rFonts w:ascii="Calibri" w:hAnsi="Calibri" w:cs="Calibri"/>
                <w:color w:val="000000"/>
                <w:sz w:val="20"/>
                <w:szCs w:val="20"/>
              </w:rPr>
              <w:t>All</w:t>
            </w:r>
          </w:p>
        </w:tc>
        <w:tc>
          <w:tcPr>
            <w:tcW w:w="1170" w:type="dxa"/>
            <w:tcMar/>
          </w:tcPr>
          <w:p w:rsidRPr="004475C6" w:rsidR="001C676C" w:rsidP="00F050CC" w:rsidRDefault="001C676C" w14:paraId="0EC19E0E" w14:textId="2D9ADD9E">
            <w:pPr>
              <w:rPr>
                <w:rFonts w:cstheme="minorHAnsi"/>
                <w:sz w:val="20"/>
                <w:szCs w:val="20"/>
              </w:rPr>
            </w:pPr>
            <w:r w:rsidRPr="004475C6">
              <w:rPr>
                <w:rFonts w:ascii="Calibri" w:hAnsi="Calibri" w:cs="Calibri"/>
                <w:color w:val="000000"/>
                <w:sz w:val="20"/>
                <w:szCs w:val="20"/>
              </w:rPr>
              <w:t>N/A</w:t>
            </w:r>
          </w:p>
        </w:tc>
        <w:tc>
          <w:tcPr>
            <w:tcW w:w="1530" w:type="dxa"/>
            <w:tcMar/>
          </w:tcPr>
          <w:p w:rsidRPr="004475C6" w:rsidR="001C676C" w:rsidP="00F050CC" w:rsidRDefault="001C676C" w14:paraId="34D94226" w14:textId="44219AE1">
            <w:pPr>
              <w:rPr>
                <w:rFonts w:cstheme="minorHAnsi"/>
                <w:sz w:val="20"/>
                <w:szCs w:val="20"/>
              </w:rPr>
            </w:pPr>
            <w:r w:rsidRPr="004475C6">
              <w:rPr>
                <w:rFonts w:ascii="Calibri" w:hAnsi="Calibri" w:cs="Calibri"/>
                <w:color w:val="000000"/>
                <w:sz w:val="20"/>
                <w:szCs w:val="20"/>
              </w:rPr>
              <w:t xml:space="preserve">Lack of Business </w:t>
            </w:r>
            <w:r w:rsidRPr="004475C6" w:rsidR="0005320C">
              <w:rPr>
                <w:rFonts w:ascii="Calibri" w:hAnsi="Calibri" w:cs="Calibri"/>
                <w:color w:val="000000"/>
                <w:sz w:val="20"/>
                <w:szCs w:val="20"/>
              </w:rPr>
              <w:t>Identifiers</w:t>
            </w:r>
          </w:p>
        </w:tc>
        <w:tc>
          <w:tcPr>
            <w:tcW w:w="3060" w:type="dxa"/>
            <w:tcMar/>
          </w:tcPr>
          <w:p w:rsidRPr="004475C6" w:rsidR="001C676C" w:rsidP="0005320C" w:rsidRDefault="001C676C" w14:paraId="0DCB7517" w14:textId="692E50F4">
            <w:pPr>
              <w:rPr>
                <w:rFonts w:cstheme="minorHAnsi"/>
                <w:sz w:val="20"/>
                <w:szCs w:val="20"/>
              </w:rPr>
            </w:pPr>
            <w:r w:rsidRPr="004475C6">
              <w:rPr>
                <w:rFonts w:ascii="Calibri" w:hAnsi="Calibri" w:cs="Calibri"/>
                <w:color w:val="000000"/>
                <w:sz w:val="20"/>
                <w:szCs w:val="20"/>
              </w:rPr>
              <w:t>The Asset Point feature classes contains the primary key (PK) which are the unique identifier for the table feature class.  Like all GIS SDE databases, the primary key is the global identifier (GUID). This is the only way to "join" back information making it not easily traceable back to the GIS database; however, it is required for uniqueness and the joining of tables to the feature classes.</w:t>
            </w:r>
          </w:p>
        </w:tc>
        <w:tc>
          <w:tcPr>
            <w:tcW w:w="3690" w:type="dxa"/>
            <w:tcMar/>
          </w:tcPr>
          <w:p w:rsidRPr="004475C6" w:rsidR="001C676C" w:rsidP="0005320C" w:rsidRDefault="001C676C" w14:paraId="51579932" w14:textId="188FF83E">
            <w:pPr>
              <w:rPr>
                <w:rFonts w:cstheme="minorHAnsi"/>
                <w:sz w:val="20"/>
                <w:szCs w:val="20"/>
              </w:rPr>
            </w:pPr>
            <w:r w:rsidRPr="004475C6">
              <w:rPr>
                <w:rFonts w:ascii="Calibri" w:hAnsi="Calibri" w:cs="Calibri"/>
                <w:color w:val="000000"/>
                <w:sz w:val="20"/>
                <w:szCs w:val="20"/>
              </w:rPr>
              <w:t xml:space="preserve">The GUID is a meaningless attribute to non-GIS users of the GIS data. Assets are named and found via the Facility ID, Facility ID is the </w:t>
            </w:r>
            <w:r w:rsidRPr="004475C6" w:rsidR="0005320C">
              <w:rPr>
                <w:rFonts w:ascii="Calibri" w:hAnsi="Calibri" w:cs="Calibri"/>
                <w:color w:val="000000"/>
                <w:sz w:val="20"/>
                <w:szCs w:val="20"/>
              </w:rPr>
              <w:t>identifier</w:t>
            </w:r>
            <w:r w:rsidRPr="004475C6">
              <w:rPr>
                <w:rFonts w:ascii="Calibri" w:hAnsi="Calibri" w:cs="Calibri"/>
                <w:color w:val="000000"/>
                <w:sz w:val="20"/>
                <w:szCs w:val="20"/>
              </w:rPr>
              <w:t xml:space="preserve"> for assets in the field and used for navigation. There is no way for a user to find </w:t>
            </w:r>
            <w:r w:rsidRPr="004475C6" w:rsidR="00444BDC">
              <w:rPr>
                <w:rFonts w:ascii="Calibri" w:hAnsi="Calibri" w:cs="Calibri"/>
                <w:color w:val="000000"/>
                <w:sz w:val="20"/>
                <w:szCs w:val="20"/>
              </w:rPr>
              <w:t>an</w:t>
            </w:r>
            <w:r w:rsidRPr="004475C6">
              <w:rPr>
                <w:rFonts w:ascii="Calibri" w:hAnsi="Calibri" w:cs="Calibri"/>
                <w:color w:val="000000"/>
                <w:sz w:val="20"/>
                <w:szCs w:val="20"/>
              </w:rPr>
              <w:t xml:space="preserve"> asset without the Facility ID. Since Facility ID is not part of the OEIS schema, it was not included. However, without Facility ID renders the geodatabase useless as it will be impossible to navigate to the asset nor confer with the utility on what assets the agency is referencing. A Business Identifier (</w:t>
            </w:r>
            <w:r w:rsidRPr="004475C6" w:rsidR="0005320C">
              <w:rPr>
                <w:rFonts w:ascii="Calibri" w:hAnsi="Calibri" w:cs="Calibri"/>
                <w:color w:val="000000"/>
                <w:sz w:val="20"/>
                <w:szCs w:val="20"/>
              </w:rPr>
              <w:t>I.e.,</w:t>
            </w:r>
            <w:r w:rsidRPr="004475C6">
              <w:rPr>
                <w:rFonts w:ascii="Calibri" w:hAnsi="Calibri" w:cs="Calibri"/>
                <w:color w:val="000000"/>
                <w:sz w:val="20"/>
                <w:szCs w:val="20"/>
              </w:rPr>
              <w:t xml:space="preserve"> FacilityID, </w:t>
            </w:r>
            <w:r w:rsidRPr="004475C6" w:rsidR="0005320C">
              <w:rPr>
                <w:rFonts w:ascii="Calibri" w:hAnsi="Calibri" w:cs="Calibri"/>
                <w:color w:val="000000"/>
                <w:sz w:val="20"/>
                <w:szCs w:val="20"/>
              </w:rPr>
              <w:t>i.e.,</w:t>
            </w:r>
            <w:r w:rsidRPr="004475C6">
              <w:rPr>
                <w:rFonts w:ascii="Calibri" w:hAnsi="Calibri" w:cs="Calibri"/>
                <w:color w:val="000000"/>
                <w:sz w:val="20"/>
                <w:szCs w:val="20"/>
              </w:rPr>
              <w:t xml:space="preserve"> P123456, Z234345) is needed to fully distinguish and identify from a business perspective the individual assets within the dataset.  This should apply to all Asset Point Feature Classes. Facility ID will be the attribute that can convey the identity of the asset.</w:t>
            </w:r>
          </w:p>
        </w:tc>
      </w:tr>
      <w:tr w:rsidR="00F050CC" w:rsidTr="43B8B911" w14:paraId="03F0092E" w14:textId="77777777">
        <w:tc>
          <w:tcPr>
            <w:tcW w:w="450" w:type="dxa"/>
            <w:tcMar/>
          </w:tcPr>
          <w:p w:rsidRPr="004475C6" w:rsidR="00F050CC" w:rsidP="0005320C" w:rsidRDefault="004475C6" w14:paraId="25AD8303" w14:textId="6BA9670B">
            <w:pPr>
              <w:rPr>
                <w:rFonts w:cstheme="minorHAnsi"/>
                <w:sz w:val="20"/>
                <w:szCs w:val="20"/>
              </w:rPr>
            </w:pPr>
            <w:r w:rsidRPr="004475C6">
              <w:rPr>
                <w:rFonts w:cstheme="minorHAnsi"/>
                <w:sz w:val="20"/>
                <w:szCs w:val="20"/>
              </w:rPr>
              <w:t>2</w:t>
            </w:r>
          </w:p>
        </w:tc>
        <w:tc>
          <w:tcPr>
            <w:tcW w:w="1350" w:type="dxa"/>
            <w:tcMar/>
          </w:tcPr>
          <w:p w:rsidRPr="004475C6" w:rsidR="00F050CC" w:rsidP="00F050CC" w:rsidRDefault="00F050CC" w14:paraId="0C87E0DC" w14:textId="2165B9D7">
            <w:pPr>
              <w:rPr>
                <w:rFonts w:cstheme="minorHAnsi"/>
                <w:sz w:val="20"/>
                <w:szCs w:val="20"/>
              </w:rPr>
            </w:pPr>
            <w:r w:rsidRPr="004475C6">
              <w:rPr>
                <w:rFonts w:ascii="Calibri" w:hAnsi="Calibri" w:cs="Calibri"/>
                <w:color w:val="000000"/>
                <w:sz w:val="20"/>
                <w:szCs w:val="20"/>
              </w:rPr>
              <w:t>All</w:t>
            </w:r>
          </w:p>
        </w:tc>
        <w:tc>
          <w:tcPr>
            <w:tcW w:w="1170" w:type="dxa"/>
            <w:tcMar/>
          </w:tcPr>
          <w:p w:rsidRPr="004475C6" w:rsidR="00F050CC" w:rsidP="00F050CC" w:rsidRDefault="00F050CC" w14:paraId="53CA186F" w14:textId="56973389">
            <w:pPr>
              <w:rPr>
                <w:rFonts w:cstheme="minorHAnsi"/>
                <w:sz w:val="20"/>
                <w:szCs w:val="20"/>
              </w:rPr>
            </w:pPr>
            <w:r w:rsidRPr="004475C6">
              <w:rPr>
                <w:rFonts w:ascii="Calibri" w:hAnsi="Calibri" w:cs="Calibri"/>
                <w:color w:val="000000"/>
                <w:sz w:val="20"/>
                <w:szCs w:val="20"/>
              </w:rPr>
              <w:t>CircuitID</w:t>
            </w:r>
          </w:p>
        </w:tc>
        <w:tc>
          <w:tcPr>
            <w:tcW w:w="1530" w:type="dxa"/>
            <w:tcMar/>
          </w:tcPr>
          <w:p w:rsidRPr="004475C6" w:rsidR="00F050CC" w:rsidP="00F050CC" w:rsidRDefault="00F050CC" w14:paraId="0B18433A" w14:textId="01A10516">
            <w:pPr>
              <w:rPr>
                <w:rFonts w:cstheme="minorHAnsi"/>
                <w:sz w:val="20"/>
                <w:szCs w:val="20"/>
              </w:rPr>
            </w:pPr>
            <w:r w:rsidRPr="004475C6">
              <w:rPr>
                <w:rFonts w:ascii="Calibri" w:hAnsi="Calibri" w:cs="Calibri"/>
                <w:color w:val="000000"/>
                <w:sz w:val="20"/>
                <w:szCs w:val="20"/>
              </w:rPr>
              <w:t>Naming of CircuitID Field</w:t>
            </w:r>
          </w:p>
        </w:tc>
        <w:tc>
          <w:tcPr>
            <w:tcW w:w="3060" w:type="dxa"/>
            <w:tcMar/>
          </w:tcPr>
          <w:p w:rsidRPr="004475C6" w:rsidR="00F050CC" w:rsidP="0005320C" w:rsidRDefault="00F050CC" w14:paraId="194CC934" w14:textId="2FAAA8EC">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 xml:space="preserve">CircuitID within the </w:t>
            </w:r>
            <w:r w:rsidRPr="004475C6" w:rsidR="004475C6">
              <w:rPr>
                <w:rFonts w:ascii="Calibri" w:hAnsi="Calibri" w:cs="Calibri"/>
                <w:color w:val="000000"/>
                <w:sz w:val="20"/>
                <w:szCs w:val="20"/>
              </w:rPr>
              <w:t>utility</w:t>
            </w:r>
            <w:r w:rsidRPr="004475C6">
              <w:rPr>
                <w:rFonts w:ascii="Calibri" w:hAnsi="Calibri" w:cs="Calibri"/>
                <w:color w:val="000000"/>
                <w:sz w:val="20"/>
                <w:szCs w:val="20"/>
              </w:rPr>
              <w:t xml:space="preserve"> refers to the entire tieline/feeder; however, in the schema it is used to represent the conductor span.  This creates </w:t>
            </w:r>
            <w:r w:rsidRPr="004475C6" w:rsidR="004475C6">
              <w:rPr>
                <w:rFonts w:ascii="Calibri" w:hAnsi="Calibri" w:cs="Calibri"/>
                <w:color w:val="000000"/>
                <w:sz w:val="20"/>
                <w:szCs w:val="20"/>
              </w:rPr>
              <w:t>confusion with</w:t>
            </w:r>
            <w:r w:rsidRPr="004475C6">
              <w:rPr>
                <w:rFonts w:ascii="Calibri" w:hAnsi="Calibri" w:cs="Calibri"/>
                <w:color w:val="000000"/>
                <w:sz w:val="20"/>
                <w:szCs w:val="20"/>
              </w:rPr>
              <w:t xml:space="preserve"> the various groups providing or working with the data.</w:t>
            </w:r>
          </w:p>
          <w:p w:rsidRPr="004475C6" w:rsidR="00F050CC" w:rsidP="0005320C" w:rsidRDefault="00F050CC" w14:paraId="31CF89D0" w14:textId="77777777">
            <w:pPr>
              <w:autoSpaceDE w:val="0"/>
              <w:autoSpaceDN w:val="0"/>
              <w:adjustRightInd w:val="0"/>
              <w:rPr>
                <w:rFonts w:ascii="Calibri" w:hAnsi="Calibri" w:cs="Calibri"/>
                <w:color w:val="000000"/>
                <w:sz w:val="20"/>
                <w:szCs w:val="20"/>
              </w:rPr>
            </w:pPr>
          </w:p>
          <w:p w:rsidRPr="004475C6" w:rsidR="00F050CC" w:rsidP="0005320C" w:rsidRDefault="00F050CC" w14:paraId="3CD7C6F0" w14:textId="01E6BF34">
            <w:pPr>
              <w:rPr>
                <w:rFonts w:cstheme="minorHAnsi"/>
                <w:sz w:val="20"/>
                <w:szCs w:val="20"/>
              </w:rPr>
            </w:pPr>
            <w:r w:rsidRPr="004475C6">
              <w:rPr>
                <w:rFonts w:ascii="Calibri" w:hAnsi="Calibri" w:cs="Calibri"/>
                <w:color w:val="000000"/>
                <w:sz w:val="20"/>
                <w:szCs w:val="20"/>
              </w:rPr>
              <w:t>We use CircuitName to populate the tieline/feeder to provide traceability to the GIS database.</w:t>
            </w:r>
          </w:p>
        </w:tc>
        <w:tc>
          <w:tcPr>
            <w:tcW w:w="3690" w:type="dxa"/>
            <w:tcMar/>
          </w:tcPr>
          <w:p w:rsidRPr="004475C6" w:rsidR="00F050CC" w:rsidP="0005320C" w:rsidRDefault="00F050CC" w14:paraId="3CF7A7E0" w14:textId="3FEF79E7">
            <w:pPr>
              <w:rPr>
                <w:rFonts w:cstheme="minorHAnsi"/>
                <w:sz w:val="20"/>
                <w:szCs w:val="20"/>
              </w:rPr>
            </w:pPr>
            <w:r w:rsidRPr="004475C6">
              <w:rPr>
                <w:rFonts w:ascii="Calibri" w:hAnsi="Calibri" w:cs="Calibri"/>
                <w:color w:val="000000"/>
                <w:sz w:val="20"/>
                <w:szCs w:val="20"/>
              </w:rPr>
              <w:t xml:space="preserve">Circuit ID is not a </w:t>
            </w:r>
            <w:r w:rsidRPr="004475C6" w:rsidR="0005320C">
              <w:rPr>
                <w:rFonts w:ascii="Calibri" w:hAnsi="Calibri" w:cs="Calibri"/>
                <w:color w:val="000000"/>
                <w:sz w:val="20"/>
                <w:szCs w:val="20"/>
              </w:rPr>
              <w:t>property</w:t>
            </w:r>
            <w:r w:rsidRPr="004475C6">
              <w:rPr>
                <w:rFonts w:ascii="Calibri" w:hAnsi="Calibri" w:cs="Calibri"/>
                <w:color w:val="000000"/>
                <w:sz w:val="20"/>
                <w:szCs w:val="20"/>
              </w:rPr>
              <w:t xml:space="preserve"> identifier for a circuit span as it references the entire circuit. Circuits are </w:t>
            </w:r>
            <w:r w:rsidRPr="004475C6" w:rsidR="004475C6">
              <w:rPr>
                <w:rFonts w:ascii="Calibri" w:hAnsi="Calibri" w:cs="Calibri"/>
                <w:color w:val="000000"/>
                <w:sz w:val="20"/>
                <w:szCs w:val="20"/>
              </w:rPr>
              <w:t>sectionalized</w:t>
            </w:r>
            <w:r w:rsidRPr="004475C6">
              <w:rPr>
                <w:rFonts w:ascii="Calibri" w:hAnsi="Calibri" w:cs="Calibri"/>
                <w:color w:val="000000"/>
                <w:sz w:val="20"/>
                <w:szCs w:val="20"/>
              </w:rPr>
              <w:t xml:space="preserve"> via devices such as a switch, fuse, etc. To properly identify a circuit span, a unique identifier is required.  </w:t>
            </w:r>
            <w:r w:rsidRPr="004475C6" w:rsidR="004475C6">
              <w:rPr>
                <w:rFonts w:ascii="Calibri" w:hAnsi="Calibri" w:cs="Calibri"/>
                <w:color w:val="000000"/>
                <w:sz w:val="20"/>
                <w:szCs w:val="20"/>
              </w:rPr>
              <w:t>Utilities</w:t>
            </w:r>
            <w:r w:rsidRPr="004475C6">
              <w:rPr>
                <w:rFonts w:ascii="Calibri" w:hAnsi="Calibri" w:cs="Calibri"/>
                <w:color w:val="000000"/>
                <w:sz w:val="20"/>
                <w:szCs w:val="20"/>
              </w:rPr>
              <w:t xml:space="preserve"> usually use some type of combination with the sectionalizing device ID and the circuit to </w:t>
            </w:r>
            <w:r w:rsidRPr="004475C6" w:rsidR="004475C6">
              <w:rPr>
                <w:rFonts w:ascii="Calibri" w:hAnsi="Calibri" w:cs="Calibri"/>
                <w:color w:val="000000"/>
                <w:sz w:val="20"/>
                <w:szCs w:val="20"/>
              </w:rPr>
              <w:t>produce</w:t>
            </w:r>
            <w:r w:rsidRPr="004475C6">
              <w:rPr>
                <w:rFonts w:ascii="Calibri" w:hAnsi="Calibri" w:cs="Calibri"/>
                <w:color w:val="000000"/>
                <w:sz w:val="20"/>
                <w:szCs w:val="20"/>
              </w:rPr>
              <w:t xml:space="preserve"> a proper unique ID. SDG&amp;E can explain this to the OEIS on basic understanding of a </w:t>
            </w:r>
            <w:r w:rsidRPr="004475C6" w:rsidR="004475C6">
              <w:rPr>
                <w:rFonts w:ascii="Calibri" w:hAnsi="Calibri" w:cs="Calibri"/>
                <w:color w:val="000000"/>
                <w:sz w:val="20"/>
                <w:szCs w:val="20"/>
              </w:rPr>
              <w:t>circuit</w:t>
            </w:r>
            <w:r w:rsidRPr="004475C6">
              <w:rPr>
                <w:rFonts w:ascii="Calibri" w:hAnsi="Calibri" w:cs="Calibri"/>
                <w:color w:val="000000"/>
                <w:sz w:val="20"/>
                <w:szCs w:val="20"/>
              </w:rPr>
              <w:t xml:space="preserve"> and how sections can be identified. Rename to CircuitSegmentID to properly associate to conductor types and other information. Need to be able to differentiate between an entire circuit and the segments of the circuit. SDG&amp;E electric transmission data does have a circuit segment id. Distribution circuits have conductor spans.</w:t>
            </w:r>
          </w:p>
        </w:tc>
      </w:tr>
      <w:tr w:rsidR="00F050CC" w:rsidTr="43B8B911" w14:paraId="2955704D" w14:textId="77777777">
        <w:tc>
          <w:tcPr>
            <w:tcW w:w="450" w:type="dxa"/>
            <w:tcMar/>
          </w:tcPr>
          <w:p w:rsidRPr="004475C6" w:rsidR="00F050CC" w:rsidP="0005320C" w:rsidRDefault="004475C6" w14:paraId="2A9CE428" w14:textId="0EA8C6A2">
            <w:pPr>
              <w:rPr>
                <w:rFonts w:cstheme="minorHAnsi"/>
                <w:sz w:val="20"/>
                <w:szCs w:val="20"/>
              </w:rPr>
            </w:pPr>
            <w:r w:rsidRPr="004475C6">
              <w:rPr>
                <w:rFonts w:cstheme="minorHAnsi"/>
                <w:sz w:val="20"/>
                <w:szCs w:val="20"/>
              </w:rPr>
              <w:t>3</w:t>
            </w:r>
          </w:p>
        </w:tc>
        <w:tc>
          <w:tcPr>
            <w:tcW w:w="1350" w:type="dxa"/>
            <w:tcMar/>
          </w:tcPr>
          <w:p w:rsidRPr="004475C6" w:rsidR="00F050CC" w:rsidP="004475C6" w:rsidRDefault="00F050CC" w14:paraId="5FE9A015" w14:textId="0DBDBCE6">
            <w:pPr>
              <w:rPr>
                <w:rFonts w:cstheme="minorHAnsi"/>
                <w:sz w:val="20"/>
                <w:szCs w:val="20"/>
              </w:rPr>
            </w:pPr>
            <w:r w:rsidRPr="004475C6">
              <w:rPr>
                <w:rFonts w:ascii="Calibri" w:hAnsi="Calibri" w:cs="Calibri"/>
                <w:color w:val="000000"/>
                <w:sz w:val="20"/>
                <w:szCs w:val="20"/>
              </w:rPr>
              <w:t>N/A</w:t>
            </w:r>
          </w:p>
        </w:tc>
        <w:tc>
          <w:tcPr>
            <w:tcW w:w="1170" w:type="dxa"/>
            <w:tcMar/>
          </w:tcPr>
          <w:p w:rsidRPr="004475C6" w:rsidR="00F050CC" w:rsidP="004475C6" w:rsidRDefault="00F050CC" w14:paraId="20AF1F65" w14:textId="430486FE">
            <w:pPr>
              <w:rPr>
                <w:rFonts w:cstheme="minorHAnsi"/>
                <w:sz w:val="20"/>
                <w:szCs w:val="20"/>
              </w:rPr>
            </w:pPr>
            <w:r w:rsidRPr="004475C6">
              <w:rPr>
                <w:rFonts w:ascii="Calibri" w:hAnsi="Calibri" w:cs="Calibri"/>
                <w:color w:val="000000"/>
                <w:sz w:val="20"/>
                <w:szCs w:val="20"/>
              </w:rPr>
              <w:t>N/A</w:t>
            </w:r>
          </w:p>
        </w:tc>
        <w:tc>
          <w:tcPr>
            <w:tcW w:w="1530" w:type="dxa"/>
            <w:tcMar/>
          </w:tcPr>
          <w:p w:rsidRPr="004475C6" w:rsidR="00F050CC" w:rsidP="004475C6" w:rsidRDefault="00F050CC" w14:paraId="79543064" w14:textId="1FBB8409">
            <w:pPr>
              <w:rPr>
                <w:rFonts w:cstheme="minorHAnsi"/>
                <w:sz w:val="20"/>
                <w:szCs w:val="20"/>
              </w:rPr>
            </w:pPr>
            <w:r w:rsidRPr="004475C6">
              <w:rPr>
                <w:rFonts w:ascii="Calibri" w:hAnsi="Calibri" w:cs="Calibri"/>
                <w:color w:val="000000"/>
                <w:sz w:val="20"/>
                <w:szCs w:val="20"/>
              </w:rPr>
              <w:t>Status Report Format</w:t>
            </w:r>
          </w:p>
        </w:tc>
        <w:tc>
          <w:tcPr>
            <w:tcW w:w="3060" w:type="dxa"/>
            <w:tcMar/>
          </w:tcPr>
          <w:p w:rsidRPr="004475C6" w:rsidR="00F050CC" w:rsidP="0005320C" w:rsidRDefault="00F050CC" w14:paraId="2DD17034" w14:textId="77C504DD">
            <w:pPr>
              <w:rPr>
                <w:rFonts w:cstheme="minorHAnsi"/>
                <w:sz w:val="20"/>
                <w:szCs w:val="20"/>
              </w:rPr>
            </w:pPr>
            <w:r w:rsidRPr="004475C6">
              <w:rPr>
                <w:rFonts w:ascii="Calibri" w:hAnsi="Calibri" w:cs="Calibri"/>
                <w:color w:val="000000"/>
                <w:sz w:val="20"/>
                <w:szCs w:val="20"/>
              </w:rPr>
              <w:t xml:space="preserve">As per the 2021-Q1 submission, SDG&amp;E will provide a simplified version of the status report in a separate file to OEIS which allows further filtering and comparison of data across feature classes. SDG&amp;E uses this file to provide more uniform responses across similar data fields. </w:t>
            </w:r>
          </w:p>
        </w:tc>
        <w:tc>
          <w:tcPr>
            <w:tcW w:w="3690" w:type="dxa"/>
            <w:tcMar/>
          </w:tcPr>
          <w:p w:rsidRPr="004475C6" w:rsidR="00F050CC" w:rsidP="0005320C" w:rsidRDefault="00F050CC" w14:paraId="56CA48BD" w14:textId="1AA1588C">
            <w:pPr>
              <w:rPr>
                <w:rFonts w:cstheme="minorHAnsi"/>
                <w:sz w:val="20"/>
                <w:szCs w:val="20"/>
              </w:rPr>
            </w:pPr>
            <w:r w:rsidRPr="004475C6">
              <w:rPr>
                <w:rFonts w:ascii="Calibri" w:hAnsi="Calibri" w:cs="Calibri"/>
                <w:color w:val="000000"/>
                <w:sz w:val="20"/>
                <w:szCs w:val="20"/>
              </w:rPr>
              <w:t xml:space="preserve">SDG&amp;E requests that OEIS consider allowing this file as a replacement for the existing status report template for future submissions to allow filtering on all fields within the status report to simplify completion of the status report by the IOUs and review of the status report by OEIS.  SDG&amp;E also request feedback to the issues stated in the status report and </w:t>
            </w:r>
            <w:r w:rsidRPr="004475C6" w:rsidR="004475C6">
              <w:rPr>
                <w:rFonts w:ascii="Calibri" w:hAnsi="Calibri" w:cs="Calibri"/>
                <w:color w:val="000000"/>
                <w:sz w:val="20"/>
                <w:szCs w:val="20"/>
              </w:rPr>
              <w:t>reference</w:t>
            </w:r>
            <w:r w:rsidRPr="004475C6">
              <w:rPr>
                <w:rFonts w:ascii="Calibri" w:hAnsi="Calibri" w:cs="Calibri"/>
                <w:color w:val="000000"/>
                <w:sz w:val="20"/>
                <w:szCs w:val="20"/>
              </w:rPr>
              <w:t xml:space="preserve"> what section the OEIS is referencing </w:t>
            </w:r>
            <w:r w:rsidRPr="004475C6" w:rsidR="00444BDC">
              <w:rPr>
                <w:rFonts w:ascii="Calibri" w:hAnsi="Calibri" w:cs="Calibri"/>
                <w:color w:val="000000"/>
                <w:sz w:val="20"/>
                <w:szCs w:val="20"/>
              </w:rPr>
              <w:t>to</w:t>
            </w:r>
            <w:r w:rsidRPr="004475C6">
              <w:rPr>
                <w:rFonts w:ascii="Calibri" w:hAnsi="Calibri" w:cs="Calibri"/>
                <w:color w:val="000000"/>
                <w:sz w:val="20"/>
                <w:szCs w:val="20"/>
              </w:rPr>
              <w:t xml:space="preserve"> resolve outstanding issues.</w:t>
            </w:r>
          </w:p>
        </w:tc>
      </w:tr>
      <w:tr w:rsidR="00F050CC" w:rsidTr="43B8B911" w14:paraId="1ABB3661" w14:textId="77777777">
        <w:tc>
          <w:tcPr>
            <w:tcW w:w="450" w:type="dxa"/>
            <w:tcMar/>
          </w:tcPr>
          <w:p w:rsidRPr="004475C6" w:rsidR="00F050CC" w:rsidP="0005320C" w:rsidRDefault="004475C6" w14:paraId="4DC1F431" w14:textId="7BD8E8D9">
            <w:pPr>
              <w:rPr>
                <w:rFonts w:cstheme="minorHAnsi"/>
                <w:sz w:val="20"/>
                <w:szCs w:val="20"/>
              </w:rPr>
            </w:pPr>
            <w:r w:rsidRPr="004475C6">
              <w:rPr>
                <w:rFonts w:cstheme="minorHAnsi"/>
                <w:sz w:val="20"/>
                <w:szCs w:val="20"/>
              </w:rPr>
              <w:t>4</w:t>
            </w:r>
          </w:p>
        </w:tc>
        <w:tc>
          <w:tcPr>
            <w:tcW w:w="1350" w:type="dxa"/>
            <w:tcMar/>
          </w:tcPr>
          <w:p w:rsidRPr="004475C6" w:rsidR="00F050CC" w:rsidP="004475C6" w:rsidRDefault="00F050CC" w14:paraId="24C1DAD0" w14:textId="00F90B25">
            <w:pPr>
              <w:rPr>
                <w:rFonts w:cstheme="minorHAnsi"/>
                <w:sz w:val="20"/>
                <w:szCs w:val="20"/>
              </w:rPr>
            </w:pPr>
            <w:r w:rsidRPr="004475C6">
              <w:rPr>
                <w:rFonts w:ascii="Calibri" w:hAnsi="Calibri" w:cs="Calibri"/>
                <w:color w:val="000000"/>
                <w:sz w:val="20"/>
                <w:szCs w:val="20"/>
              </w:rPr>
              <w:t>All</w:t>
            </w:r>
          </w:p>
        </w:tc>
        <w:tc>
          <w:tcPr>
            <w:tcW w:w="1170" w:type="dxa"/>
            <w:tcMar/>
          </w:tcPr>
          <w:p w:rsidRPr="004475C6" w:rsidR="00F050CC" w:rsidP="004475C6" w:rsidRDefault="00F050CC" w14:paraId="3BF41D54" w14:textId="6D2D3260">
            <w:pPr>
              <w:rPr>
                <w:rFonts w:cstheme="minorHAnsi"/>
                <w:sz w:val="20"/>
                <w:szCs w:val="20"/>
              </w:rPr>
            </w:pPr>
            <w:r w:rsidRPr="004475C6">
              <w:rPr>
                <w:rFonts w:ascii="Calibri" w:hAnsi="Calibri" w:cs="Calibri"/>
                <w:color w:val="000000"/>
                <w:sz w:val="20"/>
                <w:szCs w:val="20"/>
              </w:rPr>
              <w:t>N/A</w:t>
            </w:r>
          </w:p>
        </w:tc>
        <w:tc>
          <w:tcPr>
            <w:tcW w:w="1530" w:type="dxa"/>
            <w:tcMar/>
          </w:tcPr>
          <w:p w:rsidRPr="004475C6" w:rsidR="00F050CC" w:rsidP="004475C6" w:rsidRDefault="00F050CC" w14:paraId="1F15E919" w14:textId="1F07D89F">
            <w:pPr>
              <w:rPr>
                <w:rFonts w:cstheme="minorHAnsi"/>
                <w:sz w:val="20"/>
                <w:szCs w:val="20"/>
              </w:rPr>
            </w:pPr>
            <w:r w:rsidRPr="004475C6">
              <w:rPr>
                <w:rFonts w:ascii="Calibri" w:hAnsi="Calibri" w:cs="Calibri"/>
                <w:color w:val="000000"/>
                <w:sz w:val="20"/>
                <w:szCs w:val="20"/>
              </w:rPr>
              <w:t xml:space="preserve">One to Many </w:t>
            </w:r>
            <w:r w:rsidRPr="004475C6" w:rsidR="004475C6">
              <w:rPr>
                <w:rFonts w:ascii="Calibri" w:hAnsi="Calibri" w:cs="Calibri"/>
                <w:color w:val="000000"/>
                <w:sz w:val="20"/>
                <w:szCs w:val="20"/>
              </w:rPr>
              <w:t>relationships</w:t>
            </w:r>
            <w:r w:rsidRPr="004475C6">
              <w:rPr>
                <w:rFonts w:ascii="Calibri" w:hAnsi="Calibri" w:cs="Calibri"/>
                <w:color w:val="000000"/>
                <w:sz w:val="20"/>
                <w:szCs w:val="20"/>
              </w:rPr>
              <w:t xml:space="preserve"> between CircuitID (CircuitSegmentID) to Support Structure to Substation</w:t>
            </w:r>
          </w:p>
        </w:tc>
        <w:tc>
          <w:tcPr>
            <w:tcW w:w="3060" w:type="dxa"/>
            <w:tcMar/>
          </w:tcPr>
          <w:p w:rsidRPr="004475C6" w:rsidR="00F050CC" w:rsidP="0005320C" w:rsidRDefault="00F050CC" w14:paraId="680A01C3" w14:textId="77777777">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SDG&amp;E created a relate table to properly relate support structure (to and from) to their appropriate Substation(s) and CircuitID(s) and have left those field blank in the originating Feature Class.</w:t>
            </w:r>
          </w:p>
          <w:p w:rsidRPr="004475C6" w:rsidR="00F050CC" w:rsidP="0005320C" w:rsidRDefault="00F050CC" w14:paraId="62F2761F" w14:textId="77777777">
            <w:pPr>
              <w:autoSpaceDE w:val="0"/>
              <w:autoSpaceDN w:val="0"/>
              <w:adjustRightInd w:val="0"/>
              <w:rPr>
                <w:rFonts w:ascii="Calibri" w:hAnsi="Calibri" w:cs="Calibri"/>
                <w:color w:val="000000"/>
                <w:sz w:val="20"/>
                <w:szCs w:val="20"/>
              </w:rPr>
            </w:pPr>
          </w:p>
          <w:p w:rsidRPr="004475C6" w:rsidR="00F050CC" w:rsidP="0005320C" w:rsidRDefault="00F050CC" w14:paraId="0AAA6CC4" w14:textId="77777777">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 xml:space="preserve">Applicable Fields: </w:t>
            </w:r>
          </w:p>
          <w:p w:rsidRPr="004475C6" w:rsidR="00F050CC" w:rsidP="0005320C" w:rsidRDefault="00F050CC" w14:paraId="471B4517" w14:textId="77777777">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1. SubstationID</w:t>
            </w:r>
          </w:p>
          <w:p w:rsidRPr="004475C6" w:rsidR="00F050CC" w:rsidP="0005320C" w:rsidRDefault="00F050CC" w14:paraId="7C364B6F" w14:textId="77777777">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2. SubstationName</w:t>
            </w:r>
          </w:p>
          <w:p w:rsidRPr="004475C6" w:rsidR="00F050CC" w:rsidP="0005320C" w:rsidRDefault="00F050CC" w14:paraId="49F8D77C" w14:textId="77777777">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3. CircuitID</w:t>
            </w:r>
          </w:p>
          <w:p w:rsidRPr="004475C6" w:rsidR="00F050CC" w:rsidP="0005320C" w:rsidRDefault="00F050CC" w14:paraId="269C25CC" w14:textId="6A6F9B1E">
            <w:pPr>
              <w:rPr>
                <w:rFonts w:cstheme="minorHAnsi"/>
                <w:sz w:val="20"/>
                <w:szCs w:val="20"/>
              </w:rPr>
            </w:pPr>
            <w:r w:rsidRPr="004475C6">
              <w:rPr>
                <w:rFonts w:ascii="Calibri" w:hAnsi="Calibri" w:cs="Calibri"/>
                <w:color w:val="000000"/>
                <w:sz w:val="20"/>
                <w:szCs w:val="20"/>
              </w:rPr>
              <w:t>4. CircuitName</w:t>
            </w:r>
          </w:p>
        </w:tc>
        <w:tc>
          <w:tcPr>
            <w:tcW w:w="3690" w:type="dxa"/>
            <w:tcMar/>
          </w:tcPr>
          <w:p w:rsidRPr="004475C6" w:rsidR="00F050CC" w:rsidP="0005320C" w:rsidRDefault="00F050CC" w14:paraId="4F62C20C" w14:textId="26E3CAFE">
            <w:pPr>
              <w:rPr>
                <w:rFonts w:cstheme="minorHAnsi"/>
                <w:sz w:val="20"/>
                <w:szCs w:val="20"/>
              </w:rPr>
            </w:pPr>
            <w:r w:rsidRPr="004475C6">
              <w:rPr>
                <w:rFonts w:ascii="Calibri" w:hAnsi="Calibri" w:cs="Calibri"/>
                <w:color w:val="000000"/>
                <w:sz w:val="20"/>
                <w:szCs w:val="20"/>
              </w:rPr>
              <w:t xml:space="preserve">Electric utilities model circuits with 1 to M relationships. For example, a structure can have multiple circuits, substations. This is not a 1 to 1 relationship as stated in the OEIS model. The support structure to circuit and substation relationship must be corrected to accommodate a </w:t>
            </w:r>
            <w:r w:rsidRPr="004475C6" w:rsidR="004475C6">
              <w:rPr>
                <w:rFonts w:ascii="Calibri" w:hAnsi="Calibri" w:cs="Calibri"/>
                <w:color w:val="000000"/>
                <w:sz w:val="20"/>
                <w:szCs w:val="20"/>
              </w:rPr>
              <w:t>one-to-many</w:t>
            </w:r>
            <w:r w:rsidRPr="004475C6">
              <w:rPr>
                <w:rFonts w:ascii="Calibri" w:hAnsi="Calibri" w:cs="Calibri"/>
                <w:color w:val="000000"/>
                <w:sz w:val="20"/>
                <w:szCs w:val="20"/>
              </w:rPr>
              <w:t xml:space="preserve"> relationship </w:t>
            </w:r>
            <w:r w:rsidRPr="004475C6" w:rsidR="00444BDC">
              <w:rPr>
                <w:rFonts w:ascii="Calibri" w:hAnsi="Calibri" w:cs="Calibri"/>
                <w:color w:val="000000"/>
                <w:sz w:val="20"/>
                <w:szCs w:val="20"/>
              </w:rPr>
              <w:t>to</w:t>
            </w:r>
            <w:r w:rsidRPr="004475C6">
              <w:rPr>
                <w:rFonts w:ascii="Calibri" w:hAnsi="Calibri" w:cs="Calibri"/>
                <w:color w:val="000000"/>
                <w:sz w:val="20"/>
                <w:szCs w:val="20"/>
              </w:rPr>
              <w:t xml:space="preserve"> properly model the electric data. A relate table </w:t>
            </w:r>
            <w:r w:rsidRPr="004475C6" w:rsidR="004475C6">
              <w:rPr>
                <w:rFonts w:ascii="Calibri" w:hAnsi="Calibri" w:cs="Calibri"/>
                <w:color w:val="000000"/>
                <w:sz w:val="20"/>
                <w:szCs w:val="20"/>
              </w:rPr>
              <w:t>must</w:t>
            </w:r>
            <w:r w:rsidRPr="004475C6">
              <w:rPr>
                <w:rFonts w:ascii="Calibri" w:hAnsi="Calibri" w:cs="Calibri"/>
                <w:color w:val="000000"/>
                <w:sz w:val="20"/>
                <w:szCs w:val="20"/>
              </w:rPr>
              <w:t xml:space="preserve"> be constructed to properly model the 1 to M relationships. This needs to be corrected as the relationships do not make </w:t>
            </w:r>
            <w:r w:rsidRPr="004475C6" w:rsidR="004475C6">
              <w:rPr>
                <w:rFonts w:ascii="Calibri" w:hAnsi="Calibri" w:cs="Calibri"/>
                <w:color w:val="000000"/>
                <w:sz w:val="20"/>
                <w:szCs w:val="20"/>
              </w:rPr>
              <w:t>sense</w:t>
            </w:r>
            <w:r w:rsidRPr="004475C6">
              <w:rPr>
                <w:rFonts w:ascii="Calibri" w:hAnsi="Calibri" w:cs="Calibri"/>
                <w:color w:val="000000"/>
                <w:sz w:val="20"/>
                <w:szCs w:val="20"/>
              </w:rPr>
              <w:t xml:space="preserve"> with the </w:t>
            </w:r>
            <w:r w:rsidRPr="004475C6" w:rsidR="004475C6">
              <w:rPr>
                <w:rFonts w:ascii="Calibri" w:hAnsi="Calibri" w:cs="Calibri"/>
                <w:color w:val="000000"/>
                <w:sz w:val="20"/>
                <w:szCs w:val="20"/>
              </w:rPr>
              <w:t>current</w:t>
            </w:r>
            <w:r w:rsidRPr="004475C6">
              <w:rPr>
                <w:rFonts w:ascii="Calibri" w:hAnsi="Calibri" w:cs="Calibri"/>
                <w:color w:val="000000"/>
                <w:sz w:val="20"/>
                <w:szCs w:val="20"/>
              </w:rPr>
              <w:t xml:space="preserve"> schema provided. </w:t>
            </w:r>
          </w:p>
        </w:tc>
      </w:tr>
      <w:tr w:rsidR="00F050CC" w:rsidTr="43B8B911" w14:paraId="58D97FD4" w14:textId="77777777">
        <w:tc>
          <w:tcPr>
            <w:tcW w:w="450" w:type="dxa"/>
            <w:tcMar/>
          </w:tcPr>
          <w:p w:rsidRPr="004475C6" w:rsidR="00F050CC" w:rsidP="0005320C" w:rsidRDefault="004475C6" w14:paraId="1B21EFEC" w14:textId="4B69CF48">
            <w:pPr>
              <w:rPr>
                <w:rFonts w:cstheme="minorHAnsi"/>
                <w:sz w:val="20"/>
                <w:szCs w:val="20"/>
              </w:rPr>
            </w:pPr>
            <w:r w:rsidRPr="004475C6">
              <w:rPr>
                <w:rFonts w:cstheme="minorHAnsi"/>
                <w:sz w:val="20"/>
                <w:szCs w:val="20"/>
              </w:rPr>
              <w:t>5</w:t>
            </w:r>
          </w:p>
        </w:tc>
        <w:tc>
          <w:tcPr>
            <w:tcW w:w="1350" w:type="dxa"/>
            <w:tcMar/>
          </w:tcPr>
          <w:p w:rsidRPr="004475C6" w:rsidR="00F050CC" w:rsidP="004475C6" w:rsidRDefault="00F050CC" w14:paraId="7FFDEB8D" w14:textId="57425D50">
            <w:pPr>
              <w:rPr>
                <w:rFonts w:cstheme="minorHAnsi"/>
                <w:sz w:val="20"/>
                <w:szCs w:val="20"/>
              </w:rPr>
            </w:pPr>
            <w:r w:rsidRPr="004475C6">
              <w:rPr>
                <w:rFonts w:ascii="Calibri" w:hAnsi="Calibri" w:cs="Calibri"/>
                <w:color w:val="000000"/>
                <w:sz w:val="20"/>
                <w:szCs w:val="20"/>
              </w:rPr>
              <w:t>Multiple (All Initiative Point Feature Classes)</w:t>
            </w:r>
          </w:p>
        </w:tc>
        <w:tc>
          <w:tcPr>
            <w:tcW w:w="1170" w:type="dxa"/>
            <w:tcMar/>
          </w:tcPr>
          <w:p w:rsidRPr="004475C6" w:rsidR="00F050CC" w:rsidP="004475C6" w:rsidRDefault="00F050CC" w14:paraId="4B42709D" w14:textId="2802A273">
            <w:pPr>
              <w:rPr>
                <w:rFonts w:cstheme="minorHAnsi"/>
                <w:sz w:val="20"/>
                <w:szCs w:val="20"/>
              </w:rPr>
            </w:pPr>
            <w:r w:rsidRPr="004475C6">
              <w:rPr>
                <w:rFonts w:ascii="Calibri" w:hAnsi="Calibri" w:cs="Calibri"/>
                <w:color w:val="000000"/>
                <w:sz w:val="20"/>
                <w:szCs w:val="20"/>
              </w:rPr>
              <w:t>CircuitID</w:t>
            </w:r>
          </w:p>
        </w:tc>
        <w:tc>
          <w:tcPr>
            <w:tcW w:w="1530" w:type="dxa"/>
            <w:tcMar/>
          </w:tcPr>
          <w:p w:rsidRPr="004475C6" w:rsidR="00F050CC" w:rsidP="004475C6" w:rsidRDefault="00F050CC" w14:paraId="4EE7228F" w14:textId="081EEE32">
            <w:pPr>
              <w:rPr>
                <w:rFonts w:cstheme="minorHAnsi"/>
                <w:sz w:val="20"/>
                <w:szCs w:val="20"/>
              </w:rPr>
            </w:pPr>
            <w:r w:rsidRPr="004475C6">
              <w:rPr>
                <w:rFonts w:ascii="Calibri" w:hAnsi="Calibri" w:cs="Calibri"/>
                <w:color w:val="000000"/>
                <w:sz w:val="20"/>
                <w:szCs w:val="20"/>
              </w:rPr>
              <w:t>Reporting CircuitID on Point Feature Class</w:t>
            </w:r>
          </w:p>
        </w:tc>
        <w:tc>
          <w:tcPr>
            <w:tcW w:w="3060" w:type="dxa"/>
            <w:tcMar/>
          </w:tcPr>
          <w:p w:rsidRPr="004475C6" w:rsidR="00F050CC" w:rsidP="0005320C" w:rsidRDefault="00F050CC" w14:paraId="14259487" w14:textId="25A4B488">
            <w:pPr>
              <w:rPr>
                <w:rFonts w:cstheme="minorHAnsi"/>
                <w:sz w:val="20"/>
                <w:szCs w:val="20"/>
              </w:rPr>
            </w:pPr>
            <w:r w:rsidRPr="004475C6">
              <w:rPr>
                <w:rFonts w:ascii="Calibri" w:hAnsi="Calibri" w:cs="Calibri"/>
                <w:color w:val="000000"/>
                <w:sz w:val="20"/>
                <w:szCs w:val="20"/>
              </w:rPr>
              <w:t>As in #4 above, the relationship is to the structure not the circuit structure (CircuitID); therefore, the value will be blank and reference table is to be used to determine which Circuit structure(s) are associated to that support structure</w:t>
            </w:r>
          </w:p>
        </w:tc>
        <w:tc>
          <w:tcPr>
            <w:tcW w:w="3690" w:type="dxa"/>
            <w:tcMar/>
          </w:tcPr>
          <w:p w:rsidRPr="004475C6" w:rsidR="00F050CC" w:rsidP="0005320C" w:rsidRDefault="004475C6" w14:paraId="3AAE7A02" w14:textId="7131A0CA">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Because</w:t>
            </w:r>
            <w:r w:rsidRPr="004475C6" w:rsidR="00F050CC">
              <w:rPr>
                <w:rFonts w:ascii="Calibri" w:hAnsi="Calibri" w:cs="Calibri"/>
                <w:color w:val="000000"/>
                <w:sz w:val="20"/>
                <w:szCs w:val="20"/>
              </w:rPr>
              <w:t xml:space="preserve"> the OEIS schema is incorrect, these errors cascade through the schema. For example, the support structure to circuit and substation relationship must be corrected to accommodate a </w:t>
            </w:r>
            <w:r w:rsidRPr="004475C6">
              <w:rPr>
                <w:rFonts w:ascii="Calibri" w:hAnsi="Calibri" w:cs="Calibri"/>
                <w:color w:val="000000"/>
                <w:sz w:val="20"/>
                <w:szCs w:val="20"/>
              </w:rPr>
              <w:t>one-to-many</w:t>
            </w:r>
            <w:r w:rsidRPr="004475C6" w:rsidR="00F050CC">
              <w:rPr>
                <w:rFonts w:ascii="Calibri" w:hAnsi="Calibri" w:cs="Calibri"/>
                <w:color w:val="000000"/>
                <w:sz w:val="20"/>
                <w:szCs w:val="20"/>
              </w:rPr>
              <w:t xml:space="preserve"> relationship </w:t>
            </w:r>
            <w:r w:rsidRPr="004475C6" w:rsidR="00444BDC">
              <w:rPr>
                <w:rFonts w:ascii="Calibri" w:hAnsi="Calibri" w:cs="Calibri"/>
                <w:color w:val="000000"/>
                <w:sz w:val="20"/>
                <w:szCs w:val="20"/>
              </w:rPr>
              <w:t>to</w:t>
            </w:r>
            <w:r w:rsidRPr="004475C6" w:rsidR="00F050CC">
              <w:rPr>
                <w:rFonts w:ascii="Calibri" w:hAnsi="Calibri" w:cs="Calibri"/>
                <w:color w:val="000000"/>
                <w:sz w:val="20"/>
                <w:szCs w:val="20"/>
              </w:rPr>
              <w:t xml:space="preserve"> properly model the electric data. Therefore, these attributes to not belong on the source layer but belong in the related tables. This basic understanding of electric data is required when creating entity diagrams.</w:t>
            </w:r>
          </w:p>
          <w:p w:rsidRPr="004475C6" w:rsidR="00F050CC" w:rsidP="0005320C" w:rsidRDefault="00F050CC" w14:paraId="528B65D5" w14:textId="77777777">
            <w:pPr>
              <w:autoSpaceDE w:val="0"/>
              <w:autoSpaceDN w:val="0"/>
              <w:adjustRightInd w:val="0"/>
              <w:rPr>
                <w:rFonts w:ascii="Calibri" w:hAnsi="Calibri" w:cs="Calibri"/>
                <w:color w:val="000000"/>
                <w:sz w:val="20"/>
                <w:szCs w:val="20"/>
              </w:rPr>
            </w:pPr>
          </w:p>
          <w:p w:rsidRPr="004475C6" w:rsidR="00F050CC" w:rsidP="0005320C" w:rsidRDefault="00F050CC" w14:paraId="00BFCAF3" w14:textId="79EBD31F">
            <w:pPr>
              <w:rPr>
                <w:rFonts w:cstheme="minorHAnsi"/>
                <w:sz w:val="20"/>
                <w:szCs w:val="20"/>
              </w:rPr>
            </w:pPr>
            <w:r w:rsidRPr="004475C6">
              <w:rPr>
                <w:rFonts w:ascii="Calibri" w:hAnsi="Calibri" w:cs="Calibri"/>
                <w:color w:val="000000"/>
                <w:sz w:val="20"/>
                <w:szCs w:val="20"/>
              </w:rPr>
              <w:t xml:space="preserve">These 1 - 1 fields cause confusion as there are more than one circuit connected to structures. These errors should be </w:t>
            </w:r>
            <w:r w:rsidRPr="004475C6" w:rsidR="004475C6">
              <w:rPr>
                <w:rFonts w:ascii="Calibri" w:hAnsi="Calibri" w:cs="Calibri"/>
                <w:color w:val="000000"/>
                <w:sz w:val="20"/>
                <w:szCs w:val="20"/>
              </w:rPr>
              <w:t>corrected</w:t>
            </w:r>
            <w:r w:rsidRPr="004475C6">
              <w:rPr>
                <w:rFonts w:ascii="Calibri" w:hAnsi="Calibri" w:cs="Calibri"/>
                <w:color w:val="000000"/>
                <w:sz w:val="20"/>
                <w:szCs w:val="20"/>
              </w:rPr>
              <w:t xml:space="preserve"> to remove this field from the feature class</w:t>
            </w:r>
          </w:p>
        </w:tc>
      </w:tr>
      <w:tr w:rsidR="00F050CC" w:rsidTr="43B8B911" w14:paraId="1BE1E0ED" w14:textId="77777777">
        <w:tc>
          <w:tcPr>
            <w:tcW w:w="450" w:type="dxa"/>
            <w:tcMar/>
          </w:tcPr>
          <w:p w:rsidRPr="004475C6" w:rsidR="00F050CC" w:rsidP="0005320C" w:rsidRDefault="004475C6" w14:paraId="2B09C0A9" w14:textId="3541E023">
            <w:pPr>
              <w:rPr>
                <w:rFonts w:cstheme="minorHAnsi"/>
                <w:sz w:val="20"/>
                <w:szCs w:val="20"/>
              </w:rPr>
            </w:pPr>
            <w:r w:rsidRPr="004475C6">
              <w:rPr>
                <w:rFonts w:cstheme="minorHAnsi"/>
                <w:sz w:val="20"/>
                <w:szCs w:val="20"/>
              </w:rPr>
              <w:t>6</w:t>
            </w:r>
          </w:p>
        </w:tc>
        <w:tc>
          <w:tcPr>
            <w:tcW w:w="1350" w:type="dxa"/>
            <w:tcMar/>
          </w:tcPr>
          <w:p w:rsidRPr="004475C6" w:rsidR="00F050CC" w:rsidP="004475C6" w:rsidRDefault="00F050CC" w14:paraId="3030CDC4" w14:textId="288C2343">
            <w:pPr>
              <w:rPr>
                <w:rFonts w:cstheme="minorHAnsi"/>
                <w:sz w:val="20"/>
                <w:szCs w:val="20"/>
              </w:rPr>
            </w:pPr>
            <w:r w:rsidRPr="004475C6">
              <w:rPr>
                <w:rFonts w:ascii="Calibri" w:hAnsi="Calibri" w:cs="Calibri"/>
                <w:color w:val="000000"/>
                <w:sz w:val="20"/>
                <w:szCs w:val="20"/>
              </w:rPr>
              <w:t>Multiple (All Initiative Line Feature Classes)</w:t>
            </w:r>
          </w:p>
        </w:tc>
        <w:tc>
          <w:tcPr>
            <w:tcW w:w="1170" w:type="dxa"/>
            <w:tcMar/>
          </w:tcPr>
          <w:p w:rsidRPr="004475C6" w:rsidR="00F050CC" w:rsidP="004475C6" w:rsidRDefault="00F050CC" w14:paraId="5B529EC9" w14:textId="23317F15">
            <w:pPr>
              <w:rPr>
                <w:rFonts w:cstheme="minorHAnsi"/>
                <w:sz w:val="20"/>
                <w:szCs w:val="20"/>
              </w:rPr>
            </w:pPr>
            <w:r w:rsidRPr="004475C6">
              <w:rPr>
                <w:rFonts w:ascii="Calibri" w:hAnsi="Calibri" w:cs="Calibri"/>
                <w:color w:val="000000"/>
                <w:sz w:val="20"/>
                <w:szCs w:val="20"/>
              </w:rPr>
              <w:t>AssetID</w:t>
            </w:r>
          </w:p>
        </w:tc>
        <w:tc>
          <w:tcPr>
            <w:tcW w:w="1530" w:type="dxa"/>
            <w:tcMar/>
          </w:tcPr>
          <w:p w:rsidRPr="004475C6" w:rsidR="00F050CC" w:rsidP="004475C6" w:rsidRDefault="00F050CC" w14:paraId="0BA262E8" w14:textId="3CE515E1">
            <w:pPr>
              <w:rPr>
                <w:rFonts w:cstheme="minorHAnsi"/>
                <w:sz w:val="20"/>
                <w:szCs w:val="20"/>
              </w:rPr>
            </w:pPr>
            <w:r w:rsidRPr="004475C6">
              <w:rPr>
                <w:rFonts w:ascii="Calibri" w:hAnsi="Calibri" w:cs="Calibri"/>
                <w:color w:val="000000"/>
                <w:sz w:val="20"/>
                <w:szCs w:val="20"/>
              </w:rPr>
              <w:t>Reporting AssetID on LineFeature Class</w:t>
            </w:r>
          </w:p>
        </w:tc>
        <w:tc>
          <w:tcPr>
            <w:tcW w:w="3060" w:type="dxa"/>
            <w:tcMar/>
          </w:tcPr>
          <w:p w:rsidRPr="004475C6" w:rsidR="00F050CC" w:rsidP="0005320C" w:rsidRDefault="00F050CC" w14:paraId="6FB9289C" w14:textId="3CC204CD">
            <w:pPr>
              <w:rPr>
                <w:rFonts w:cstheme="minorHAnsi"/>
                <w:sz w:val="20"/>
                <w:szCs w:val="20"/>
              </w:rPr>
            </w:pPr>
            <w:r w:rsidRPr="004475C6">
              <w:rPr>
                <w:rFonts w:ascii="Calibri" w:hAnsi="Calibri" w:cs="Calibri"/>
                <w:color w:val="000000"/>
                <w:sz w:val="20"/>
                <w:szCs w:val="20"/>
              </w:rPr>
              <w:t xml:space="preserve">As in #4 above, the relationship is to the circuit structure (CircuitID) not the structure; therefore, the value will be blank and reference table is to be used to determine which Structure(s) are associated to that </w:t>
            </w:r>
            <w:r w:rsidRPr="004475C6" w:rsidR="004475C6">
              <w:rPr>
                <w:rFonts w:ascii="Calibri" w:hAnsi="Calibri" w:cs="Calibri"/>
                <w:color w:val="000000"/>
                <w:sz w:val="20"/>
                <w:szCs w:val="20"/>
              </w:rPr>
              <w:t>circuit</w:t>
            </w:r>
            <w:r w:rsidRPr="004475C6">
              <w:rPr>
                <w:rFonts w:ascii="Calibri" w:hAnsi="Calibri" w:cs="Calibri"/>
                <w:color w:val="000000"/>
                <w:sz w:val="20"/>
                <w:szCs w:val="20"/>
              </w:rPr>
              <w:t xml:space="preserve"> structure.</w:t>
            </w:r>
          </w:p>
        </w:tc>
        <w:tc>
          <w:tcPr>
            <w:tcW w:w="3690" w:type="dxa"/>
            <w:tcMar/>
          </w:tcPr>
          <w:p w:rsidRPr="004475C6" w:rsidR="00F050CC" w:rsidP="0005320C" w:rsidRDefault="00F050CC" w14:paraId="0181B777" w14:textId="472D7450">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 xml:space="preserve">The support structure to circuit and substation relationship must be corrected to accommodate a </w:t>
            </w:r>
            <w:r w:rsidRPr="004475C6" w:rsidR="004475C6">
              <w:rPr>
                <w:rFonts w:ascii="Calibri" w:hAnsi="Calibri" w:cs="Calibri"/>
                <w:color w:val="000000"/>
                <w:sz w:val="20"/>
                <w:szCs w:val="20"/>
              </w:rPr>
              <w:t>one-to-many</w:t>
            </w:r>
            <w:r w:rsidRPr="004475C6">
              <w:rPr>
                <w:rFonts w:ascii="Calibri" w:hAnsi="Calibri" w:cs="Calibri"/>
                <w:color w:val="000000"/>
                <w:sz w:val="20"/>
                <w:szCs w:val="20"/>
              </w:rPr>
              <w:t xml:space="preserve"> relationship </w:t>
            </w:r>
            <w:r w:rsidRPr="004475C6" w:rsidR="00444BDC">
              <w:rPr>
                <w:rFonts w:ascii="Calibri" w:hAnsi="Calibri" w:cs="Calibri"/>
                <w:color w:val="000000"/>
                <w:sz w:val="20"/>
                <w:szCs w:val="20"/>
              </w:rPr>
              <w:t>to</w:t>
            </w:r>
            <w:r w:rsidRPr="004475C6">
              <w:rPr>
                <w:rFonts w:ascii="Calibri" w:hAnsi="Calibri" w:cs="Calibri"/>
                <w:color w:val="000000"/>
                <w:sz w:val="20"/>
                <w:szCs w:val="20"/>
              </w:rPr>
              <w:t xml:space="preserve"> properly model the electric data.</w:t>
            </w:r>
          </w:p>
          <w:p w:rsidRPr="004475C6" w:rsidR="00F050CC" w:rsidP="0005320C" w:rsidRDefault="00F050CC" w14:paraId="686805E1" w14:textId="77777777">
            <w:pPr>
              <w:autoSpaceDE w:val="0"/>
              <w:autoSpaceDN w:val="0"/>
              <w:adjustRightInd w:val="0"/>
              <w:rPr>
                <w:rFonts w:ascii="Calibri" w:hAnsi="Calibri" w:cs="Calibri"/>
                <w:color w:val="000000"/>
                <w:sz w:val="20"/>
                <w:szCs w:val="20"/>
              </w:rPr>
            </w:pPr>
          </w:p>
          <w:p w:rsidRPr="004475C6" w:rsidR="00F050CC" w:rsidP="0005320C" w:rsidRDefault="00F050CC" w14:paraId="2D57C9B5" w14:textId="79B664AC">
            <w:pPr>
              <w:rPr>
                <w:rFonts w:cstheme="minorHAnsi"/>
                <w:sz w:val="20"/>
                <w:szCs w:val="20"/>
              </w:rPr>
            </w:pPr>
            <w:r w:rsidRPr="004475C6">
              <w:rPr>
                <w:rFonts w:ascii="Calibri" w:hAnsi="Calibri" w:cs="Calibri"/>
                <w:color w:val="000000"/>
                <w:sz w:val="20"/>
                <w:szCs w:val="20"/>
              </w:rPr>
              <w:t>Alternative is to remove this field from the feature class</w:t>
            </w:r>
          </w:p>
        </w:tc>
      </w:tr>
      <w:tr w:rsidR="00F050CC" w:rsidTr="43B8B911" w14:paraId="68D13A11" w14:textId="77777777">
        <w:tc>
          <w:tcPr>
            <w:tcW w:w="450" w:type="dxa"/>
            <w:tcMar/>
          </w:tcPr>
          <w:p w:rsidRPr="004475C6" w:rsidR="00F050CC" w:rsidP="0005320C" w:rsidRDefault="004475C6" w14:paraId="437E921B" w14:textId="3B407688">
            <w:pPr>
              <w:rPr>
                <w:rFonts w:cstheme="minorHAnsi"/>
                <w:sz w:val="20"/>
                <w:szCs w:val="20"/>
              </w:rPr>
            </w:pPr>
            <w:r w:rsidRPr="004475C6">
              <w:rPr>
                <w:rFonts w:cstheme="minorHAnsi"/>
                <w:sz w:val="20"/>
                <w:szCs w:val="20"/>
              </w:rPr>
              <w:t>7</w:t>
            </w:r>
          </w:p>
        </w:tc>
        <w:tc>
          <w:tcPr>
            <w:tcW w:w="1350" w:type="dxa"/>
            <w:tcMar/>
          </w:tcPr>
          <w:p w:rsidRPr="004475C6" w:rsidR="00F050CC" w:rsidP="004475C6" w:rsidRDefault="00F050CC" w14:paraId="69B7DD83" w14:textId="65412147">
            <w:pPr>
              <w:rPr>
                <w:rFonts w:cstheme="minorHAnsi"/>
                <w:sz w:val="20"/>
                <w:szCs w:val="20"/>
              </w:rPr>
            </w:pPr>
            <w:r w:rsidRPr="004475C6">
              <w:rPr>
                <w:rFonts w:ascii="Calibri" w:hAnsi="Calibri" w:cs="Calibri"/>
                <w:color w:val="000000"/>
                <w:sz w:val="20"/>
                <w:szCs w:val="20"/>
              </w:rPr>
              <w:t>Substation</w:t>
            </w:r>
          </w:p>
        </w:tc>
        <w:tc>
          <w:tcPr>
            <w:tcW w:w="1170" w:type="dxa"/>
            <w:tcMar/>
          </w:tcPr>
          <w:p w:rsidRPr="004475C6" w:rsidR="00F050CC" w:rsidP="004475C6" w:rsidRDefault="00F050CC" w14:paraId="4DB9E446" w14:textId="0EA6984F">
            <w:pPr>
              <w:rPr>
                <w:rFonts w:cstheme="minorHAnsi"/>
                <w:sz w:val="20"/>
                <w:szCs w:val="20"/>
              </w:rPr>
            </w:pPr>
            <w:r w:rsidRPr="004475C6">
              <w:rPr>
                <w:rFonts w:ascii="Calibri" w:hAnsi="Calibri" w:cs="Calibri"/>
                <w:color w:val="000000"/>
                <w:sz w:val="20"/>
                <w:szCs w:val="20"/>
              </w:rPr>
              <w:t>SubstationType</w:t>
            </w:r>
          </w:p>
        </w:tc>
        <w:tc>
          <w:tcPr>
            <w:tcW w:w="1530" w:type="dxa"/>
            <w:tcMar/>
          </w:tcPr>
          <w:p w:rsidRPr="004475C6" w:rsidR="00F050CC" w:rsidP="004475C6" w:rsidRDefault="00F050CC" w14:paraId="6F772AAB" w14:textId="282DB750">
            <w:pPr>
              <w:rPr>
                <w:rFonts w:cstheme="minorHAnsi"/>
                <w:sz w:val="20"/>
                <w:szCs w:val="20"/>
              </w:rPr>
            </w:pPr>
            <w:r w:rsidRPr="004475C6">
              <w:rPr>
                <w:rFonts w:ascii="Calibri" w:hAnsi="Calibri" w:cs="Calibri"/>
                <w:color w:val="000000"/>
                <w:sz w:val="20"/>
                <w:szCs w:val="20"/>
              </w:rPr>
              <w:t>Step Down Type not included</w:t>
            </w:r>
          </w:p>
        </w:tc>
        <w:tc>
          <w:tcPr>
            <w:tcW w:w="3060" w:type="dxa"/>
            <w:tcMar/>
          </w:tcPr>
          <w:p w:rsidRPr="004475C6" w:rsidR="00F050CC" w:rsidP="0005320C" w:rsidRDefault="00F050CC" w14:paraId="49ACC8C6" w14:textId="7CDE3CC5">
            <w:pPr>
              <w:rPr>
                <w:rFonts w:cstheme="minorHAnsi"/>
                <w:sz w:val="20"/>
                <w:szCs w:val="20"/>
              </w:rPr>
            </w:pPr>
            <w:r w:rsidRPr="004475C6">
              <w:rPr>
                <w:rFonts w:ascii="Calibri" w:hAnsi="Calibri" w:cs="Calibri"/>
                <w:color w:val="000000"/>
                <w:sz w:val="20"/>
                <w:szCs w:val="20"/>
              </w:rPr>
              <w:t xml:space="preserve">The SubstationType field does not have a domain value for Step Down substations - prior to Q4 submission SDG&amp;E added the domain "Step Down"; however, Q4 changed to align and refer to them as "Radial".  The only issue is there is no way aside from the missing attributes for step downs to differentiate these from the rest of the Substations.  </w:t>
            </w:r>
          </w:p>
        </w:tc>
        <w:tc>
          <w:tcPr>
            <w:tcW w:w="3690" w:type="dxa"/>
            <w:tcMar/>
          </w:tcPr>
          <w:p w:rsidRPr="004475C6" w:rsidR="00F050CC" w:rsidP="0005320C" w:rsidRDefault="00F050CC" w14:paraId="049F2814" w14:textId="74CE410F">
            <w:pPr>
              <w:rPr>
                <w:rFonts w:cstheme="minorHAnsi"/>
                <w:sz w:val="20"/>
                <w:szCs w:val="20"/>
              </w:rPr>
            </w:pPr>
            <w:r w:rsidRPr="004475C6">
              <w:rPr>
                <w:rFonts w:ascii="Calibri" w:hAnsi="Calibri" w:cs="Calibri"/>
                <w:color w:val="000000"/>
                <w:sz w:val="20"/>
                <w:szCs w:val="20"/>
              </w:rPr>
              <w:t>Add domain value "Step Down" to differentiate from other substation types.  This is a common subtype for substations and should be added to the model.</w:t>
            </w:r>
          </w:p>
        </w:tc>
      </w:tr>
      <w:tr w:rsidR="00F050CC" w:rsidTr="43B8B911" w14:paraId="431A503C" w14:textId="77777777">
        <w:tc>
          <w:tcPr>
            <w:tcW w:w="450" w:type="dxa"/>
            <w:tcMar/>
          </w:tcPr>
          <w:p w:rsidRPr="004475C6" w:rsidR="00F050CC" w:rsidP="0005320C" w:rsidRDefault="004475C6" w14:paraId="23E2B97B" w14:textId="331014C0">
            <w:pPr>
              <w:rPr>
                <w:rFonts w:cstheme="minorHAnsi"/>
                <w:sz w:val="20"/>
                <w:szCs w:val="20"/>
              </w:rPr>
            </w:pPr>
            <w:r w:rsidRPr="004475C6">
              <w:rPr>
                <w:rFonts w:cstheme="minorHAnsi"/>
                <w:sz w:val="20"/>
                <w:szCs w:val="20"/>
              </w:rPr>
              <w:t>8</w:t>
            </w:r>
          </w:p>
        </w:tc>
        <w:tc>
          <w:tcPr>
            <w:tcW w:w="1350" w:type="dxa"/>
            <w:tcMar/>
          </w:tcPr>
          <w:p w:rsidRPr="004475C6" w:rsidR="00F050CC" w:rsidP="004475C6" w:rsidRDefault="00F050CC" w14:paraId="27A2C114" w14:textId="77777777">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PSPS Event Conductor Damage Detail</w:t>
            </w:r>
          </w:p>
          <w:p w:rsidRPr="004475C6" w:rsidR="00F050CC" w:rsidP="00F050CC" w:rsidRDefault="00F050CC" w14:paraId="29D5F402" w14:textId="77777777">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PSPS Event Support Structure Damage Detail</w:t>
            </w:r>
          </w:p>
          <w:p w:rsidRPr="004475C6" w:rsidR="00F050CC" w:rsidP="004475C6" w:rsidRDefault="00F050CC" w14:paraId="4BF26313" w14:textId="0FFEBF1B">
            <w:pPr>
              <w:rPr>
                <w:rFonts w:cstheme="minorHAnsi"/>
                <w:sz w:val="20"/>
                <w:szCs w:val="20"/>
              </w:rPr>
            </w:pPr>
            <w:r w:rsidRPr="004475C6">
              <w:rPr>
                <w:rFonts w:ascii="Calibri" w:hAnsi="Calibri" w:cs="Calibri"/>
                <w:color w:val="000000"/>
                <w:sz w:val="20"/>
                <w:szCs w:val="20"/>
              </w:rPr>
              <w:t>PSPS Event Other Asset Damage Detail</w:t>
            </w:r>
          </w:p>
        </w:tc>
        <w:tc>
          <w:tcPr>
            <w:tcW w:w="1170" w:type="dxa"/>
            <w:tcMar/>
          </w:tcPr>
          <w:p w:rsidRPr="004475C6" w:rsidR="00F050CC" w:rsidP="00F050CC" w:rsidRDefault="00F050CC" w14:paraId="3AF62223" w14:textId="77777777">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 xml:space="preserve">InstallationDate </w:t>
            </w:r>
          </w:p>
          <w:p w:rsidRPr="004475C6" w:rsidR="00F050CC" w:rsidP="00F050CC" w:rsidRDefault="00F050CC" w14:paraId="0F885C74" w14:textId="77777777">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InstallationYear</w:t>
            </w:r>
          </w:p>
          <w:p w:rsidRPr="004475C6" w:rsidR="00F050CC" w:rsidP="004475C6" w:rsidRDefault="00F050CC" w14:paraId="2CCF9D01" w14:textId="7D4F8968">
            <w:pPr>
              <w:rPr>
                <w:rFonts w:cstheme="minorHAnsi"/>
                <w:sz w:val="20"/>
                <w:szCs w:val="20"/>
              </w:rPr>
            </w:pPr>
            <w:r w:rsidRPr="004475C6">
              <w:rPr>
                <w:rFonts w:ascii="Calibri" w:hAnsi="Calibri" w:cs="Calibri"/>
                <w:color w:val="000000"/>
                <w:sz w:val="20"/>
                <w:szCs w:val="20"/>
              </w:rPr>
              <w:t>EstimatedAge</w:t>
            </w:r>
          </w:p>
        </w:tc>
        <w:tc>
          <w:tcPr>
            <w:tcW w:w="1530" w:type="dxa"/>
            <w:tcMar/>
          </w:tcPr>
          <w:p w:rsidRPr="004475C6" w:rsidR="00F050CC" w:rsidP="004475C6" w:rsidRDefault="004475C6" w14:paraId="33C705AF" w14:textId="219BEA29">
            <w:pPr>
              <w:rPr>
                <w:rFonts w:cstheme="minorHAnsi"/>
                <w:sz w:val="20"/>
                <w:szCs w:val="20"/>
              </w:rPr>
            </w:pPr>
            <w:r w:rsidRPr="004475C6">
              <w:rPr>
                <w:rFonts w:ascii="Calibri" w:hAnsi="Calibri" w:cs="Calibri"/>
                <w:color w:val="000000"/>
                <w:sz w:val="20"/>
                <w:szCs w:val="20"/>
              </w:rPr>
              <w:t>Repetitive</w:t>
            </w:r>
            <w:r w:rsidRPr="004475C6" w:rsidR="00F050CC">
              <w:rPr>
                <w:rFonts w:ascii="Calibri" w:hAnsi="Calibri" w:cs="Calibri"/>
                <w:color w:val="000000"/>
                <w:sz w:val="20"/>
                <w:szCs w:val="20"/>
              </w:rPr>
              <w:t xml:space="preserve"> data throughout model</w:t>
            </w:r>
          </w:p>
        </w:tc>
        <w:tc>
          <w:tcPr>
            <w:tcW w:w="3060" w:type="dxa"/>
            <w:tcMar/>
          </w:tcPr>
          <w:p w:rsidRPr="004475C6" w:rsidR="00F050CC" w:rsidP="0005320C" w:rsidRDefault="00F050CC" w14:paraId="7531C7A3" w14:textId="10C776DD">
            <w:pPr>
              <w:rPr>
                <w:rFonts w:cstheme="minorHAnsi"/>
                <w:sz w:val="20"/>
                <w:szCs w:val="20"/>
              </w:rPr>
            </w:pPr>
            <w:r w:rsidRPr="004475C6">
              <w:rPr>
                <w:rFonts w:ascii="Calibri" w:hAnsi="Calibri" w:cs="Calibri"/>
                <w:color w:val="000000"/>
                <w:sz w:val="20"/>
                <w:szCs w:val="20"/>
              </w:rPr>
              <w:t>This is just one example.  The data is available within the Asset Point Feature Classes; however, it is not frequently captured or reported via the PSPS Event data.</w:t>
            </w:r>
          </w:p>
        </w:tc>
        <w:tc>
          <w:tcPr>
            <w:tcW w:w="3690" w:type="dxa"/>
            <w:tcMar/>
          </w:tcPr>
          <w:p w:rsidRPr="004475C6" w:rsidR="00F050CC" w:rsidP="0005320C" w:rsidRDefault="00F050CC" w14:paraId="11C4B9D8" w14:textId="575D6490">
            <w:pPr>
              <w:rPr>
                <w:rFonts w:cstheme="minorHAnsi"/>
                <w:sz w:val="20"/>
                <w:szCs w:val="20"/>
              </w:rPr>
            </w:pPr>
            <w:r w:rsidRPr="004475C6">
              <w:rPr>
                <w:rFonts w:ascii="Calibri" w:hAnsi="Calibri" w:cs="Calibri"/>
                <w:color w:val="000000"/>
                <w:sz w:val="20"/>
                <w:szCs w:val="20"/>
              </w:rPr>
              <w:t xml:space="preserve">Reduce the </w:t>
            </w:r>
            <w:r w:rsidRPr="004475C6" w:rsidR="004475C6">
              <w:rPr>
                <w:rFonts w:ascii="Calibri" w:hAnsi="Calibri" w:cs="Calibri"/>
                <w:color w:val="000000"/>
                <w:sz w:val="20"/>
                <w:szCs w:val="20"/>
              </w:rPr>
              <w:t>number</w:t>
            </w:r>
            <w:r w:rsidRPr="004475C6">
              <w:rPr>
                <w:rFonts w:ascii="Calibri" w:hAnsi="Calibri" w:cs="Calibri"/>
                <w:color w:val="000000"/>
                <w:sz w:val="20"/>
                <w:szCs w:val="20"/>
              </w:rPr>
              <w:t xml:space="preserve"> of repetitive fields as this causes </w:t>
            </w:r>
            <w:r w:rsidRPr="004475C6" w:rsidR="004475C6">
              <w:rPr>
                <w:rFonts w:ascii="Calibri" w:hAnsi="Calibri" w:cs="Calibri"/>
                <w:color w:val="000000"/>
                <w:sz w:val="20"/>
                <w:szCs w:val="20"/>
              </w:rPr>
              <w:t>unnecessary</w:t>
            </w:r>
            <w:r w:rsidRPr="004475C6">
              <w:rPr>
                <w:rFonts w:ascii="Calibri" w:hAnsi="Calibri" w:cs="Calibri"/>
                <w:color w:val="000000"/>
                <w:sz w:val="20"/>
                <w:szCs w:val="20"/>
              </w:rPr>
              <w:t xml:space="preserve"> work is redundant and not needed. Electric GIS data models do not allow for repetitive fields as this causes confusion to the user(s) of the data and can cause bad </w:t>
            </w:r>
            <w:r w:rsidRPr="004475C6" w:rsidR="004475C6">
              <w:rPr>
                <w:rFonts w:ascii="Calibri" w:hAnsi="Calibri" w:cs="Calibri"/>
                <w:color w:val="000000"/>
                <w:sz w:val="20"/>
                <w:szCs w:val="20"/>
              </w:rPr>
              <w:t>assumptions</w:t>
            </w:r>
            <w:r w:rsidRPr="004475C6">
              <w:rPr>
                <w:rFonts w:ascii="Calibri" w:hAnsi="Calibri" w:cs="Calibri"/>
                <w:color w:val="000000"/>
                <w:sz w:val="20"/>
                <w:szCs w:val="20"/>
              </w:rPr>
              <w:t xml:space="preserve"> being made on the data. Attribute fields should be designed and only report where needed for efficiency and consistent interpretation.</w:t>
            </w:r>
          </w:p>
        </w:tc>
      </w:tr>
      <w:tr w:rsidR="00F050CC" w:rsidTr="43B8B911" w14:paraId="4C0F3BB6" w14:textId="77777777">
        <w:tc>
          <w:tcPr>
            <w:tcW w:w="450" w:type="dxa"/>
            <w:tcMar/>
          </w:tcPr>
          <w:p w:rsidRPr="004475C6" w:rsidR="00F050CC" w:rsidP="0005320C" w:rsidRDefault="004475C6" w14:paraId="74FDD9A4" w14:textId="0AF8DF52">
            <w:pPr>
              <w:rPr>
                <w:rFonts w:cstheme="minorHAnsi"/>
                <w:sz w:val="20"/>
                <w:szCs w:val="20"/>
              </w:rPr>
            </w:pPr>
            <w:r w:rsidRPr="004475C6">
              <w:rPr>
                <w:rFonts w:cstheme="minorHAnsi"/>
                <w:sz w:val="20"/>
                <w:szCs w:val="20"/>
              </w:rPr>
              <w:t>9</w:t>
            </w:r>
          </w:p>
        </w:tc>
        <w:tc>
          <w:tcPr>
            <w:tcW w:w="1350" w:type="dxa"/>
            <w:tcMar/>
          </w:tcPr>
          <w:p w:rsidRPr="004475C6" w:rsidR="00F050CC" w:rsidP="004475C6" w:rsidRDefault="00F050CC" w14:paraId="49937059" w14:textId="4C0AE4B8">
            <w:pPr>
              <w:rPr>
                <w:rFonts w:cstheme="minorHAnsi"/>
                <w:sz w:val="20"/>
                <w:szCs w:val="20"/>
              </w:rPr>
            </w:pPr>
            <w:r w:rsidRPr="004475C6">
              <w:rPr>
                <w:rFonts w:ascii="Calibri" w:hAnsi="Calibri" w:cs="Calibri"/>
                <w:color w:val="000000"/>
                <w:sz w:val="20"/>
                <w:szCs w:val="20"/>
              </w:rPr>
              <w:t>Transmission Unplanned Outage</w:t>
            </w:r>
          </w:p>
        </w:tc>
        <w:tc>
          <w:tcPr>
            <w:tcW w:w="1170" w:type="dxa"/>
            <w:tcMar/>
          </w:tcPr>
          <w:p w:rsidRPr="004475C6" w:rsidR="00F050CC" w:rsidP="004475C6" w:rsidRDefault="00F050CC" w14:paraId="3849E544" w14:textId="58F534FE">
            <w:pPr>
              <w:rPr>
                <w:rFonts w:cstheme="minorHAnsi"/>
                <w:sz w:val="20"/>
                <w:szCs w:val="20"/>
              </w:rPr>
            </w:pPr>
            <w:r w:rsidRPr="004475C6">
              <w:rPr>
                <w:rFonts w:ascii="Calibri" w:hAnsi="Calibri" w:cs="Calibri"/>
                <w:color w:val="000000"/>
                <w:sz w:val="20"/>
                <w:szCs w:val="20"/>
              </w:rPr>
              <w:t>MajorEventDay</w:t>
            </w:r>
          </w:p>
        </w:tc>
        <w:tc>
          <w:tcPr>
            <w:tcW w:w="1530" w:type="dxa"/>
            <w:tcMar/>
          </w:tcPr>
          <w:p w:rsidRPr="004475C6" w:rsidR="00F050CC" w:rsidP="43B8B911" w:rsidRDefault="00F050CC" w14:paraId="05ED40DE" w14:textId="1CE511B7">
            <w:pPr>
              <w:rPr>
                <w:rFonts w:cs="Calibri" w:cstheme="minorAscii"/>
                <w:sz w:val="20"/>
                <w:szCs w:val="20"/>
              </w:rPr>
            </w:pPr>
            <w:r w:rsidRPr="43B8B911" w:rsidR="00F050CC">
              <w:rPr>
                <w:rFonts w:ascii="Calibri" w:hAnsi="Calibri" w:cs="Calibri"/>
                <w:color w:val="000000" w:themeColor="text1" w:themeTint="FF" w:themeShade="FF"/>
                <w:sz w:val="20"/>
                <w:szCs w:val="20"/>
              </w:rPr>
              <w:t>Major Event Day does not</w:t>
            </w:r>
            <w:r w:rsidRPr="43B8B911" w:rsidR="552C949D">
              <w:rPr>
                <w:rFonts w:ascii="Calibri" w:hAnsi="Calibri" w:cs="Calibri"/>
                <w:color w:val="000000" w:themeColor="text1" w:themeTint="FF" w:themeShade="FF"/>
                <w:sz w:val="20"/>
                <w:szCs w:val="20"/>
              </w:rPr>
              <w:t xml:space="preserve"> frequently</w:t>
            </w:r>
            <w:r w:rsidRPr="43B8B911" w:rsidR="00F050CC">
              <w:rPr>
                <w:rFonts w:ascii="Calibri" w:hAnsi="Calibri" w:cs="Calibri"/>
                <w:color w:val="000000" w:themeColor="text1" w:themeTint="FF" w:themeShade="FF"/>
                <w:sz w:val="20"/>
                <w:szCs w:val="20"/>
              </w:rPr>
              <w:t xml:space="preserve"> apply to transmission outages</w:t>
            </w:r>
          </w:p>
        </w:tc>
        <w:tc>
          <w:tcPr>
            <w:tcW w:w="3060" w:type="dxa"/>
            <w:tcMar/>
          </w:tcPr>
          <w:p w:rsidRPr="004475C6" w:rsidR="00F050CC" w:rsidP="43B8B911" w:rsidRDefault="00F050CC" w14:paraId="79DE2BFC" w14:textId="1CC3D9E9">
            <w:pPr>
              <w:rPr>
                <w:rFonts w:cs="Calibri" w:cstheme="minorAscii"/>
                <w:sz w:val="20"/>
                <w:szCs w:val="20"/>
              </w:rPr>
            </w:pPr>
            <w:r w:rsidRPr="43B8B911" w:rsidR="00F050CC">
              <w:rPr>
                <w:rFonts w:ascii="Calibri" w:hAnsi="Calibri" w:cs="Calibri"/>
                <w:color w:val="000000" w:themeColor="text1" w:themeTint="FF" w:themeShade="FF"/>
                <w:sz w:val="20"/>
                <w:szCs w:val="20"/>
              </w:rPr>
              <w:t xml:space="preserve">Major Event Day </w:t>
            </w:r>
            <w:r w:rsidRPr="43B8B911" w:rsidR="1158C1E0">
              <w:rPr>
                <w:rFonts w:ascii="Calibri" w:hAnsi="Calibri" w:cs="Calibri"/>
                <w:color w:val="000000" w:themeColor="text1" w:themeTint="FF" w:themeShade="FF"/>
                <w:sz w:val="20"/>
                <w:szCs w:val="20"/>
              </w:rPr>
              <w:t xml:space="preserve">will typically </w:t>
            </w:r>
            <w:r w:rsidRPr="43B8B911" w:rsidR="00F050CC">
              <w:rPr>
                <w:rFonts w:ascii="Calibri" w:hAnsi="Calibri" w:cs="Calibri"/>
                <w:color w:val="000000" w:themeColor="text1" w:themeTint="FF" w:themeShade="FF"/>
                <w:sz w:val="20"/>
                <w:szCs w:val="20"/>
              </w:rPr>
              <w:t>only appl</w:t>
            </w:r>
            <w:r w:rsidRPr="43B8B911" w:rsidR="0379CCF1">
              <w:rPr>
                <w:rFonts w:ascii="Calibri" w:hAnsi="Calibri" w:cs="Calibri"/>
                <w:color w:val="000000" w:themeColor="text1" w:themeTint="FF" w:themeShade="FF"/>
                <w:sz w:val="20"/>
                <w:szCs w:val="20"/>
              </w:rPr>
              <w:t>y</w:t>
            </w:r>
            <w:r w:rsidRPr="43B8B911" w:rsidR="00F050CC">
              <w:rPr>
                <w:rFonts w:ascii="Calibri" w:hAnsi="Calibri" w:cs="Calibri"/>
                <w:color w:val="000000" w:themeColor="text1" w:themeTint="FF" w:themeShade="FF"/>
                <w:sz w:val="20"/>
                <w:szCs w:val="20"/>
              </w:rPr>
              <w:t xml:space="preserve"> to distribution outages and therefore SDG&amp;E will not be able to provide for transmission outages</w:t>
            </w:r>
          </w:p>
        </w:tc>
        <w:tc>
          <w:tcPr>
            <w:tcW w:w="3690" w:type="dxa"/>
            <w:tcMar/>
          </w:tcPr>
          <w:p w:rsidRPr="004475C6" w:rsidR="00F050CC" w:rsidP="43B8B911" w:rsidRDefault="00F050CC" w14:paraId="5B4A4A3F" w14:textId="40D1AE31">
            <w:pPr>
              <w:rPr>
                <w:rFonts w:cs="Calibri" w:cstheme="minorAscii"/>
                <w:sz w:val="20"/>
                <w:szCs w:val="20"/>
              </w:rPr>
            </w:pPr>
            <w:r w:rsidRPr="43B8B911" w:rsidR="6BAB2090">
              <w:rPr>
                <w:rFonts w:ascii="Calibri" w:hAnsi="Calibri" w:cs="Calibri"/>
                <w:color w:val="000000" w:themeColor="text1" w:themeTint="FF" w:themeShade="FF"/>
                <w:sz w:val="20"/>
                <w:szCs w:val="20"/>
              </w:rPr>
              <w:t xml:space="preserve">Consider removing </w:t>
            </w:r>
            <w:r w:rsidRPr="43B8B911" w:rsidR="00F050CC">
              <w:rPr>
                <w:rFonts w:ascii="Calibri" w:hAnsi="Calibri" w:cs="Calibri"/>
                <w:color w:val="000000" w:themeColor="text1" w:themeTint="FF" w:themeShade="FF"/>
                <w:sz w:val="20"/>
                <w:szCs w:val="20"/>
              </w:rPr>
              <w:t>the Major Event Day field from this Feature Class</w:t>
            </w:r>
          </w:p>
        </w:tc>
      </w:tr>
      <w:tr w:rsidR="00F050CC" w:rsidTr="43B8B911" w14:paraId="17DC2EA8" w14:textId="77777777">
        <w:tc>
          <w:tcPr>
            <w:tcW w:w="450" w:type="dxa"/>
            <w:tcMar/>
          </w:tcPr>
          <w:p w:rsidRPr="004475C6" w:rsidR="00F050CC" w:rsidP="0005320C" w:rsidRDefault="004475C6" w14:paraId="7F729360" w14:textId="664125AA">
            <w:pPr>
              <w:rPr>
                <w:rFonts w:cstheme="minorHAnsi"/>
                <w:sz w:val="20"/>
                <w:szCs w:val="20"/>
              </w:rPr>
            </w:pPr>
            <w:r w:rsidRPr="004475C6">
              <w:rPr>
                <w:rFonts w:cstheme="minorHAnsi"/>
                <w:sz w:val="20"/>
                <w:szCs w:val="20"/>
              </w:rPr>
              <w:t>10</w:t>
            </w:r>
          </w:p>
        </w:tc>
        <w:tc>
          <w:tcPr>
            <w:tcW w:w="1350" w:type="dxa"/>
            <w:tcMar/>
          </w:tcPr>
          <w:p w:rsidRPr="004475C6" w:rsidR="00F050CC" w:rsidP="004475C6" w:rsidRDefault="00F050CC" w14:paraId="698CB70B" w14:textId="38F14902">
            <w:pPr>
              <w:rPr>
                <w:rFonts w:cstheme="minorHAnsi"/>
                <w:sz w:val="20"/>
                <w:szCs w:val="20"/>
              </w:rPr>
            </w:pPr>
            <w:r w:rsidRPr="004475C6">
              <w:rPr>
                <w:rFonts w:ascii="Calibri" w:hAnsi="Calibri" w:cs="Calibri"/>
                <w:color w:val="000000"/>
                <w:sz w:val="20"/>
                <w:szCs w:val="20"/>
              </w:rPr>
              <w:t>Risk Event Asset Log</w:t>
            </w:r>
          </w:p>
        </w:tc>
        <w:tc>
          <w:tcPr>
            <w:tcW w:w="1170" w:type="dxa"/>
            <w:tcMar/>
          </w:tcPr>
          <w:p w:rsidRPr="004475C6" w:rsidR="00F050CC" w:rsidP="004475C6" w:rsidRDefault="00F050CC" w14:paraId="565713DC" w14:textId="1B8A959D">
            <w:pPr>
              <w:rPr>
                <w:rFonts w:cstheme="minorHAnsi"/>
                <w:sz w:val="20"/>
                <w:szCs w:val="20"/>
              </w:rPr>
            </w:pPr>
            <w:r w:rsidRPr="004475C6">
              <w:rPr>
                <w:rFonts w:ascii="Calibri" w:hAnsi="Calibri" w:cs="Calibri"/>
                <w:color w:val="000000"/>
                <w:sz w:val="20"/>
                <w:szCs w:val="20"/>
              </w:rPr>
              <w:t>AssetID</w:t>
            </w:r>
          </w:p>
        </w:tc>
        <w:tc>
          <w:tcPr>
            <w:tcW w:w="1530" w:type="dxa"/>
            <w:tcMar/>
          </w:tcPr>
          <w:p w:rsidRPr="004475C6" w:rsidR="00F050CC" w:rsidP="004475C6" w:rsidRDefault="00F050CC" w14:paraId="65A1CA38" w14:textId="2E9A713E">
            <w:pPr>
              <w:rPr>
                <w:rFonts w:cstheme="minorHAnsi"/>
                <w:sz w:val="20"/>
                <w:szCs w:val="20"/>
              </w:rPr>
            </w:pPr>
            <w:r w:rsidRPr="004475C6">
              <w:rPr>
                <w:rFonts w:ascii="Calibri" w:hAnsi="Calibri" w:cs="Calibri"/>
                <w:color w:val="000000"/>
                <w:sz w:val="20"/>
                <w:szCs w:val="20"/>
              </w:rPr>
              <w:t>Clarification on intention of Asset Point identifiers</w:t>
            </w:r>
          </w:p>
        </w:tc>
        <w:tc>
          <w:tcPr>
            <w:tcW w:w="3060" w:type="dxa"/>
            <w:tcMar/>
          </w:tcPr>
          <w:p w:rsidRPr="004475C6" w:rsidR="00F050CC" w:rsidP="0005320C" w:rsidRDefault="00F050CC" w14:paraId="75F71CC1" w14:textId="0B2A0F38">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 xml:space="preserve">This Relate Table has the following fields which all need to relate back to the Asset Point Feature Class(s); however, in some cases it is not applicable </w:t>
            </w:r>
            <w:r w:rsidRPr="004475C6" w:rsidR="004475C6">
              <w:rPr>
                <w:rFonts w:ascii="Calibri" w:hAnsi="Calibri" w:cs="Calibri"/>
                <w:color w:val="000000"/>
                <w:sz w:val="20"/>
                <w:szCs w:val="20"/>
              </w:rPr>
              <w:t>i.e.,</w:t>
            </w:r>
            <w:r w:rsidRPr="004475C6">
              <w:rPr>
                <w:rFonts w:ascii="Calibri" w:hAnsi="Calibri" w:cs="Calibri"/>
                <w:color w:val="000000"/>
                <w:sz w:val="20"/>
                <w:szCs w:val="20"/>
              </w:rPr>
              <w:t xml:space="preserve"> jumpers:</w:t>
            </w:r>
          </w:p>
          <w:p w:rsidRPr="004475C6" w:rsidR="00F050CC" w:rsidP="0005320C" w:rsidRDefault="00F050CC" w14:paraId="24171206" w14:textId="77777777">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1. IsolationDeviceID</w:t>
            </w:r>
          </w:p>
          <w:p w:rsidRPr="004475C6" w:rsidR="00F050CC" w:rsidP="0005320C" w:rsidRDefault="00F050CC" w14:paraId="241B380A" w14:textId="77777777">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2. DamageDeviceID</w:t>
            </w:r>
          </w:p>
          <w:p w:rsidRPr="004475C6" w:rsidR="00F050CC" w:rsidP="0005320C" w:rsidRDefault="00F050CC" w14:paraId="43419287" w14:textId="77777777">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3. AssetID</w:t>
            </w:r>
          </w:p>
          <w:p w:rsidRPr="004475C6" w:rsidR="00F050CC" w:rsidP="0005320C" w:rsidRDefault="00F050CC" w14:paraId="459F160A" w14:textId="77777777">
            <w:pPr>
              <w:autoSpaceDE w:val="0"/>
              <w:autoSpaceDN w:val="0"/>
              <w:adjustRightInd w:val="0"/>
              <w:rPr>
                <w:rFonts w:ascii="Calibri" w:hAnsi="Calibri" w:cs="Calibri"/>
                <w:color w:val="000000"/>
                <w:sz w:val="20"/>
                <w:szCs w:val="20"/>
              </w:rPr>
            </w:pPr>
          </w:p>
          <w:p w:rsidRPr="004475C6" w:rsidR="00F050CC" w:rsidP="0005320C" w:rsidRDefault="00F050CC" w14:paraId="0AD7A462" w14:textId="031D650A">
            <w:pPr>
              <w:rPr>
                <w:rFonts w:cstheme="minorHAnsi"/>
                <w:sz w:val="20"/>
                <w:szCs w:val="20"/>
              </w:rPr>
            </w:pPr>
            <w:r w:rsidRPr="004475C6">
              <w:rPr>
                <w:rFonts w:ascii="Calibri" w:hAnsi="Calibri" w:cs="Calibri"/>
                <w:color w:val="000000"/>
                <w:sz w:val="20"/>
                <w:szCs w:val="20"/>
              </w:rPr>
              <w:t>Need clarification on what is expected for Asset ID if we use FromDeviceID and ToDeviceID to identify the from to structures</w:t>
            </w:r>
          </w:p>
        </w:tc>
        <w:tc>
          <w:tcPr>
            <w:tcW w:w="3690" w:type="dxa"/>
            <w:tcMar/>
          </w:tcPr>
          <w:p w:rsidRPr="004475C6" w:rsidR="00F050CC" w:rsidP="0005320C" w:rsidRDefault="00F050CC" w14:paraId="0DC9F582" w14:textId="19B9D739">
            <w:pPr>
              <w:rPr>
                <w:rFonts w:cstheme="minorHAnsi"/>
                <w:sz w:val="20"/>
                <w:szCs w:val="20"/>
              </w:rPr>
            </w:pPr>
            <w:r w:rsidRPr="004475C6">
              <w:rPr>
                <w:rFonts w:ascii="Calibri" w:hAnsi="Calibri" w:cs="Calibri"/>
                <w:color w:val="000000"/>
                <w:sz w:val="20"/>
                <w:szCs w:val="20"/>
              </w:rPr>
              <w:t>See above regarding the proper way to model 1 to M relationships. The primary keys need to be properly related before any data can be populated and linked back to the asset. This part of the OEIS model is broken and needs refinement. SDG&amp;E can help educate the OEIS on the proper way to model this aspect of the data model.</w:t>
            </w:r>
          </w:p>
        </w:tc>
      </w:tr>
      <w:tr w:rsidR="00F050CC" w:rsidTr="43B8B911" w14:paraId="5B7E059E" w14:textId="77777777">
        <w:tc>
          <w:tcPr>
            <w:tcW w:w="450" w:type="dxa"/>
            <w:tcMar/>
          </w:tcPr>
          <w:p w:rsidRPr="004475C6" w:rsidR="00F050CC" w:rsidP="0005320C" w:rsidRDefault="004475C6" w14:paraId="74F69FDF" w14:textId="25A7E9F2">
            <w:pPr>
              <w:rPr>
                <w:rFonts w:cstheme="minorHAnsi"/>
                <w:sz w:val="20"/>
                <w:szCs w:val="20"/>
              </w:rPr>
            </w:pPr>
            <w:r w:rsidRPr="004475C6">
              <w:rPr>
                <w:rFonts w:cstheme="minorHAnsi"/>
                <w:sz w:val="20"/>
                <w:szCs w:val="20"/>
              </w:rPr>
              <w:t>11</w:t>
            </w:r>
          </w:p>
        </w:tc>
        <w:tc>
          <w:tcPr>
            <w:tcW w:w="1350" w:type="dxa"/>
            <w:tcMar/>
          </w:tcPr>
          <w:p w:rsidRPr="004475C6" w:rsidR="00F050CC" w:rsidP="004475C6" w:rsidRDefault="00F050CC" w14:paraId="34601ABC" w14:textId="33D952DD">
            <w:pPr>
              <w:rPr>
                <w:rFonts w:cstheme="minorHAnsi"/>
                <w:sz w:val="20"/>
                <w:szCs w:val="20"/>
              </w:rPr>
            </w:pPr>
            <w:r w:rsidRPr="004475C6">
              <w:rPr>
                <w:rFonts w:ascii="Calibri" w:hAnsi="Calibri" w:cs="Calibri"/>
                <w:color w:val="000000"/>
                <w:sz w:val="20"/>
                <w:szCs w:val="20"/>
              </w:rPr>
              <w:t>Vegetation Inspection Point</w:t>
            </w:r>
          </w:p>
        </w:tc>
        <w:tc>
          <w:tcPr>
            <w:tcW w:w="1170" w:type="dxa"/>
            <w:tcMar/>
          </w:tcPr>
          <w:p w:rsidRPr="004475C6" w:rsidR="00F050CC" w:rsidP="004475C6" w:rsidRDefault="00F050CC" w14:paraId="65EE675A" w14:textId="334CABCC">
            <w:pPr>
              <w:rPr>
                <w:rFonts w:cstheme="minorHAnsi"/>
                <w:sz w:val="20"/>
                <w:szCs w:val="20"/>
              </w:rPr>
            </w:pPr>
            <w:r w:rsidRPr="004475C6">
              <w:rPr>
                <w:rFonts w:ascii="Calibri" w:hAnsi="Calibri" w:cs="Calibri"/>
                <w:color w:val="000000"/>
                <w:sz w:val="20"/>
                <w:szCs w:val="20"/>
              </w:rPr>
              <w:t>N/A</w:t>
            </w:r>
          </w:p>
        </w:tc>
        <w:tc>
          <w:tcPr>
            <w:tcW w:w="1530" w:type="dxa"/>
            <w:tcMar/>
          </w:tcPr>
          <w:p w:rsidRPr="004475C6" w:rsidR="00F050CC" w:rsidP="004475C6" w:rsidRDefault="00F050CC" w14:paraId="05FFC55C" w14:textId="1F677DD7">
            <w:pPr>
              <w:rPr>
                <w:rFonts w:cstheme="minorHAnsi"/>
                <w:sz w:val="20"/>
                <w:szCs w:val="20"/>
              </w:rPr>
            </w:pPr>
            <w:r w:rsidRPr="004475C6">
              <w:rPr>
                <w:rFonts w:ascii="Calibri" w:hAnsi="Calibri" w:cs="Calibri"/>
                <w:color w:val="000000"/>
                <w:sz w:val="20"/>
                <w:szCs w:val="20"/>
              </w:rPr>
              <w:t>Missing TreeID</w:t>
            </w:r>
          </w:p>
        </w:tc>
        <w:tc>
          <w:tcPr>
            <w:tcW w:w="3060" w:type="dxa"/>
            <w:tcMar/>
          </w:tcPr>
          <w:p w:rsidRPr="004475C6" w:rsidR="00F050CC" w:rsidP="0005320C" w:rsidRDefault="00F050CC" w14:paraId="40430FD9" w14:textId="60535494">
            <w:pPr>
              <w:rPr>
                <w:rFonts w:cstheme="minorHAnsi"/>
                <w:sz w:val="20"/>
                <w:szCs w:val="20"/>
              </w:rPr>
            </w:pPr>
            <w:r w:rsidRPr="004475C6">
              <w:rPr>
                <w:rFonts w:ascii="Calibri" w:hAnsi="Calibri" w:cs="Calibri"/>
                <w:color w:val="000000"/>
                <w:sz w:val="20"/>
                <w:szCs w:val="20"/>
              </w:rPr>
              <w:t>TreeID exists in the Vegetation Management Project Point Feature Class; however, it does not exist in the Vegetation Inspection Point Feature Class.</w:t>
            </w:r>
          </w:p>
        </w:tc>
        <w:tc>
          <w:tcPr>
            <w:tcW w:w="3690" w:type="dxa"/>
            <w:tcMar/>
          </w:tcPr>
          <w:p w:rsidRPr="004475C6" w:rsidR="00F050CC" w:rsidP="0005320C" w:rsidRDefault="00F050CC" w14:paraId="67C3BEDD" w14:textId="77E0A9CC">
            <w:pPr>
              <w:rPr>
                <w:rFonts w:cstheme="minorHAnsi"/>
                <w:sz w:val="20"/>
                <w:szCs w:val="20"/>
              </w:rPr>
            </w:pPr>
            <w:r w:rsidRPr="004475C6">
              <w:rPr>
                <w:rFonts w:ascii="Calibri" w:hAnsi="Calibri" w:cs="Calibri"/>
                <w:color w:val="000000"/>
                <w:sz w:val="20"/>
                <w:szCs w:val="20"/>
              </w:rPr>
              <w:t>TreeID should be added as a field in the Vegetation Inspection Point Feature Class.  This is because the Vegetation Programs are managed by their own unique ID and can be associated to a Support Structure (Asset ID) and/or a Conductor Span (CircuitID).  This will provide the traceability back to the source GIS System and the unique identifier used in that system.</w:t>
            </w:r>
          </w:p>
        </w:tc>
      </w:tr>
      <w:tr w:rsidR="00F050CC" w:rsidTr="43B8B911" w14:paraId="3ED73215" w14:textId="77777777">
        <w:tc>
          <w:tcPr>
            <w:tcW w:w="450" w:type="dxa"/>
            <w:tcMar/>
          </w:tcPr>
          <w:p w:rsidRPr="004475C6" w:rsidR="00F050CC" w:rsidP="0005320C" w:rsidRDefault="004475C6" w14:paraId="0CAA565E" w14:textId="20E5E8EE">
            <w:pPr>
              <w:rPr>
                <w:rFonts w:cstheme="minorHAnsi"/>
                <w:sz w:val="20"/>
                <w:szCs w:val="20"/>
              </w:rPr>
            </w:pPr>
            <w:r w:rsidRPr="004475C6">
              <w:rPr>
                <w:rFonts w:cstheme="minorHAnsi"/>
                <w:sz w:val="20"/>
                <w:szCs w:val="20"/>
              </w:rPr>
              <w:t>12</w:t>
            </w:r>
          </w:p>
        </w:tc>
        <w:tc>
          <w:tcPr>
            <w:tcW w:w="1350" w:type="dxa"/>
            <w:tcMar/>
          </w:tcPr>
          <w:p w:rsidRPr="004475C6" w:rsidR="00F050CC" w:rsidP="004475C6" w:rsidRDefault="00F050CC" w14:paraId="7DC01110" w14:textId="3B2A6B42">
            <w:pPr>
              <w:rPr>
                <w:rFonts w:cstheme="minorHAnsi"/>
                <w:sz w:val="20"/>
                <w:szCs w:val="20"/>
              </w:rPr>
            </w:pPr>
            <w:r w:rsidRPr="004475C6">
              <w:rPr>
                <w:rFonts w:ascii="Calibri" w:hAnsi="Calibri" w:cs="Calibri"/>
                <w:color w:val="000000"/>
                <w:sz w:val="20"/>
                <w:szCs w:val="20"/>
              </w:rPr>
              <w:t>N/A</w:t>
            </w:r>
          </w:p>
        </w:tc>
        <w:tc>
          <w:tcPr>
            <w:tcW w:w="1170" w:type="dxa"/>
            <w:tcMar/>
          </w:tcPr>
          <w:p w:rsidRPr="004475C6" w:rsidR="00F050CC" w:rsidP="004475C6" w:rsidRDefault="00495978" w14:paraId="4C5B8680" w14:textId="45834767">
            <w:pPr>
              <w:rPr>
                <w:rFonts w:cstheme="minorHAnsi"/>
                <w:sz w:val="20"/>
                <w:szCs w:val="20"/>
              </w:rPr>
            </w:pPr>
            <w:r>
              <w:rPr>
                <w:rFonts w:ascii="Calibri" w:hAnsi="Calibri" w:cs="Calibri"/>
                <w:color w:val="000000"/>
                <w:sz w:val="20"/>
                <w:szCs w:val="20"/>
              </w:rPr>
              <w:t>N</w:t>
            </w:r>
            <w:r w:rsidRPr="004475C6" w:rsidR="00F050CC">
              <w:rPr>
                <w:rFonts w:ascii="Calibri" w:hAnsi="Calibri" w:cs="Calibri"/>
                <w:color w:val="000000"/>
                <w:sz w:val="20"/>
                <w:szCs w:val="20"/>
              </w:rPr>
              <w:t>/A</w:t>
            </w:r>
          </w:p>
        </w:tc>
        <w:tc>
          <w:tcPr>
            <w:tcW w:w="1530" w:type="dxa"/>
            <w:tcMar/>
          </w:tcPr>
          <w:p w:rsidRPr="004475C6" w:rsidR="00F050CC" w:rsidP="004475C6" w:rsidRDefault="00F050CC" w14:paraId="6E43C7B8" w14:textId="6E22C013">
            <w:pPr>
              <w:rPr>
                <w:rFonts w:cstheme="minorHAnsi"/>
                <w:sz w:val="20"/>
                <w:szCs w:val="20"/>
              </w:rPr>
            </w:pPr>
            <w:r w:rsidRPr="004475C6">
              <w:rPr>
                <w:rFonts w:ascii="Calibri" w:hAnsi="Calibri" w:cs="Calibri"/>
                <w:color w:val="000000"/>
                <w:sz w:val="20"/>
                <w:szCs w:val="20"/>
              </w:rPr>
              <w:t>Addition of Trees as an Asset Feature Class</w:t>
            </w:r>
          </w:p>
        </w:tc>
        <w:tc>
          <w:tcPr>
            <w:tcW w:w="3060" w:type="dxa"/>
            <w:tcMar/>
          </w:tcPr>
          <w:p w:rsidRPr="004475C6" w:rsidR="00F050CC" w:rsidP="0005320C" w:rsidRDefault="00F050CC" w14:paraId="3951DB46" w14:textId="462F9CDA">
            <w:pPr>
              <w:rPr>
                <w:rFonts w:cstheme="minorHAnsi"/>
                <w:sz w:val="20"/>
                <w:szCs w:val="20"/>
              </w:rPr>
            </w:pPr>
            <w:r w:rsidRPr="004475C6">
              <w:rPr>
                <w:rFonts w:ascii="Calibri" w:hAnsi="Calibri" w:cs="Calibri"/>
                <w:color w:val="000000"/>
                <w:sz w:val="20"/>
                <w:szCs w:val="20"/>
              </w:rPr>
              <w:t xml:space="preserve">The Vegetation Programs are managed in a system where they track the activities by Entity (Unique Identifier).  An Entity can represent a Tree that represents one or more units, it can represent a Brush at a pole.  </w:t>
            </w:r>
          </w:p>
        </w:tc>
        <w:tc>
          <w:tcPr>
            <w:tcW w:w="3690" w:type="dxa"/>
            <w:tcMar/>
          </w:tcPr>
          <w:p w:rsidRPr="004475C6" w:rsidR="00F050CC" w:rsidP="43B8B911" w:rsidRDefault="00F050CC" w14:paraId="1455E8F8" w14:textId="4F8EE529">
            <w:pPr>
              <w:rPr>
                <w:rFonts w:cs="Calibri" w:cstheme="minorAscii"/>
                <w:sz w:val="20"/>
                <w:szCs w:val="20"/>
              </w:rPr>
            </w:pPr>
            <w:r w:rsidRPr="43B8B911" w:rsidR="00F050CC">
              <w:rPr>
                <w:rFonts w:ascii="Calibri" w:hAnsi="Calibri" w:cs="Calibri"/>
                <w:color w:val="000000" w:themeColor="text1" w:themeTint="FF" w:themeShade="FF"/>
                <w:sz w:val="20"/>
                <w:szCs w:val="20"/>
              </w:rPr>
              <w:t xml:space="preserve">SDG&amp;E maps the location of the trees as a point GIS layer. Trees should be added to the OEIS data model </w:t>
            </w:r>
            <w:r w:rsidRPr="43B8B911" w:rsidR="00444BDC">
              <w:rPr>
                <w:rFonts w:ascii="Calibri" w:hAnsi="Calibri" w:cs="Calibri"/>
                <w:color w:val="000000" w:themeColor="text1" w:themeTint="FF" w:themeShade="FF"/>
                <w:sz w:val="20"/>
                <w:szCs w:val="20"/>
              </w:rPr>
              <w:t>for</w:t>
            </w:r>
            <w:r w:rsidRPr="43B8B911" w:rsidR="00F050CC">
              <w:rPr>
                <w:rFonts w:ascii="Calibri" w:hAnsi="Calibri" w:cs="Calibri"/>
                <w:color w:val="000000" w:themeColor="text1" w:themeTint="FF" w:themeShade="FF"/>
                <w:sz w:val="20"/>
                <w:szCs w:val="20"/>
              </w:rPr>
              <w:t xml:space="preserve"> this part of the database to make sense. This is how SDG&amp;E tracks their vegetation activities. </w:t>
            </w:r>
          </w:p>
        </w:tc>
      </w:tr>
      <w:tr w:rsidR="00F050CC" w:rsidTr="43B8B911" w14:paraId="086AFE6A" w14:textId="77777777">
        <w:tc>
          <w:tcPr>
            <w:tcW w:w="450" w:type="dxa"/>
            <w:tcMar/>
          </w:tcPr>
          <w:p w:rsidRPr="004475C6" w:rsidR="00F050CC" w:rsidP="0005320C" w:rsidRDefault="004475C6" w14:paraId="60A92E1D" w14:textId="5701C451">
            <w:pPr>
              <w:rPr>
                <w:rFonts w:cstheme="minorHAnsi"/>
                <w:sz w:val="20"/>
                <w:szCs w:val="20"/>
              </w:rPr>
            </w:pPr>
            <w:r w:rsidRPr="004475C6">
              <w:rPr>
                <w:rFonts w:cstheme="minorHAnsi"/>
                <w:sz w:val="20"/>
                <w:szCs w:val="20"/>
              </w:rPr>
              <w:t>13</w:t>
            </w:r>
          </w:p>
        </w:tc>
        <w:tc>
          <w:tcPr>
            <w:tcW w:w="1350" w:type="dxa"/>
            <w:tcMar/>
          </w:tcPr>
          <w:p w:rsidRPr="004475C6" w:rsidR="00F050CC" w:rsidP="004475C6" w:rsidRDefault="00F050CC" w14:paraId="555AEA3F" w14:textId="2510FE47">
            <w:pPr>
              <w:rPr>
                <w:rFonts w:cstheme="minorHAnsi"/>
                <w:sz w:val="20"/>
                <w:szCs w:val="20"/>
              </w:rPr>
            </w:pPr>
            <w:r w:rsidRPr="004475C6">
              <w:rPr>
                <w:rFonts w:ascii="Calibri" w:hAnsi="Calibri" w:cs="Calibri"/>
                <w:color w:val="000000"/>
                <w:sz w:val="20"/>
                <w:szCs w:val="20"/>
              </w:rPr>
              <w:t>Multiple</w:t>
            </w:r>
          </w:p>
        </w:tc>
        <w:tc>
          <w:tcPr>
            <w:tcW w:w="1170" w:type="dxa"/>
            <w:tcMar/>
          </w:tcPr>
          <w:p w:rsidRPr="004475C6" w:rsidR="00F050CC" w:rsidP="004475C6" w:rsidRDefault="00F050CC" w14:paraId="1BD95951" w14:textId="17F7BFBD">
            <w:pPr>
              <w:rPr>
                <w:rFonts w:cstheme="minorHAnsi"/>
                <w:sz w:val="20"/>
                <w:szCs w:val="20"/>
              </w:rPr>
            </w:pPr>
            <w:r w:rsidRPr="004475C6">
              <w:rPr>
                <w:rFonts w:ascii="Calibri" w:hAnsi="Calibri" w:cs="Calibri"/>
                <w:color w:val="000000"/>
                <w:sz w:val="20"/>
                <w:szCs w:val="20"/>
              </w:rPr>
              <w:t>InspectionTechnology</w:t>
            </w:r>
          </w:p>
        </w:tc>
        <w:tc>
          <w:tcPr>
            <w:tcW w:w="1530" w:type="dxa"/>
            <w:tcMar/>
          </w:tcPr>
          <w:p w:rsidRPr="004475C6" w:rsidR="00F050CC" w:rsidP="004475C6" w:rsidRDefault="00F050CC" w14:paraId="7C443783" w14:textId="16837640">
            <w:pPr>
              <w:rPr>
                <w:rFonts w:cstheme="minorHAnsi"/>
                <w:sz w:val="20"/>
                <w:szCs w:val="20"/>
              </w:rPr>
            </w:pPr>
            <w:r w:rsidRPr="004475C6">
              <w:rPr>
                <w:rFonts w:ascii="Calibri" w:hAnsi="Calibri" w:cs="Calibri"/>
                <w:color w:val="000000"/>
                <w:sz w:val="20"/>
                <w:szCs w:val="20"/>
              </w:rPr>
              <w:t>Purpose of InspectionTechnology</w:t>
            </w:r>
          </w:p>
        </w:tc>
        <w:tc>
          <w:tcPr>
            <w:tcW w:w="3060" w:type="dxa"/>
            <w:tcMar/>
          </w:tcPr>
          <w:p w:rsidRPr="004475C6" w:rsidR="00F050CC" w:rsidP="43B8B911" w:rsidRDefault="00F050CC" w14:paraId="60129A8B" w14:textId="5E28EB4A">
            <w:pPr>
              <w:rPr>
                <w:rFonts w:cs="Calibri" w:cstheme="minorAscii"/>
                <w:sz w:val="20"/>
                <w:szCs w:val="20"/>
              </w:rPr>
            </w:pPr>
            <w:r w:rsidRPr="43B8B911" w:rsidR="00F050CC">
              <w:rPr>
                <w:rFonts w:ascii="Calibri" w:hAnsi="Calibri" w:cs="Calibri"/>
                <w:color w:val="000000" w:themeColor="text1" w:themeTint="FF" w:themeShade="FF"/>
                <w:sz w:val="20"/>
                <w:szCs w:val="20"/>
              </w:rPr>
              <w:t xml:space="preserve">The domain values </w:t>
            </w:r>
            <w:r w:rsidRPr="43B8B911" w:rsidR="300C9F84">
              <w:rPr>
                <w:rFonts w:ascii="Calibri" w:hAnsi="Calibri" w:cs="Calibri"/>
                <w:color w:val="000000" w:themeColor="text1" w:themeTint="FF" w:themeShade="FF"/>
                <w:sz w:val="20"/>
                <w:szCs w:val="20"/>
              </w:rPr>
              <w:t>do</w:t>
            </w:r>
            <w:r w:rsidRPr="43B8B911" w:rsidR="00F050CC">
              <w:rPr>
                <w:rFonts w:ascii="Calibri" w:hAnsi="Calibri" w:cs="Calibri"/>
                <w:color w:val="000000" w:themeColor="text1" w:themeTint="FF" w:themeShade="FF"/>
                <w:sz w:val="20"/>
                <w:szCs w:val="20"/>
              </w:rPr>
              <w:t xml:space="preserve"> not represent the technology used to perform the inspections.  This is all done by other field-based systems. </w:t>
            </w:r>
            <w:r w:rsidRPr="43B8B911" w:rsidR="004475C6">
              <w:rPr>
                <w:rFonts w:ascii="Calibri" w:hAnsi="Calibri" w:cs="Calibri"/>
                <w:color w:val="000000" w:themeColor="text1" w:themeTint="FF" w:themeShade="FF"/>
                <w:sz w:val="20"/>
                <w:szCs w:val="20"/>
              </w:rPr>
              <w:t>Therefore,</w:t>
            </w:r>
            <w:r w:rsidRPr="43B8B911" w:rsidR="00F050CC">
              <w:rPr>
                <w:rFonts w:ascii="Calibri" w:hAnsi="Calibri" w:cs="Calibri"/>
                <w:color w:val="000000" w:themeColor="text1" w:themeTint="FF" w:themeShade="FF"/>
                <w:sz w:val="20"/>
                <w:szCs w:val="20"/>
              </w:rPr>
              <w:t xml:space="preserve"> </w:t>
            </w:r>
            <w:r w:rsidRPr="43B8B911" w:rsidR="004475C6">
              <w:rPr>
                <w:rFonts w:ascii="Calibri" w:hAnsi="Calibri" w:cs="Calibri"/>
                <w:color w:val="000000" w:themeColor="text1" w:themeTint="FF" w:themeShade="FF"/>
                <w:sz w:val="20"/>
                <w:szCs w:val="20"/>
              </w:rPr>
              <w:t>matrixing</w:t>
            </w:r>
            <w:r w:rsidRPr="43B8B911" w:rsidR="00F050CC">
              <w:rPr>
                <w:rFonts w:ascii="Calibri" w:hAnsi="Calibri" w:cs="Calibri"/>
                <w:color w:val="000000" w:themeColor="text1" w:themeTint="FF" w:themeShade="FF"/>
                <w:sz w:val="20"/>
                <w:szCs w:val="20"/>
              </w:rPr>
              <w:t xml:space="preserve"> back to SDG&amp;E attributes could not be completed.</w:t>
            </w:r>
          </w:p>
        </w:tc>
        <w:tc>
          <w:tcPr>
            <w:tcW w:w="3690" w:type="dxa"/>
            <w:tcMar/>
          </w:tcPr>
          <w:p w:rsidRPr="004475C6" w:rsidR="00F050CC" w:rsidP="43B8B911" w:rsidRDefault="00F050CC" w14:paraId="44BFAD5F" w14:textId="20A05F3A">
            <w:pPr>
              <w:rPr>
                <w:rFonts w:ascii="Calibri" w:hAnsi="Calibri" w:cs="Calibri"/>
                <w:color w:val="000000" w:themeColor="text1" w:themeTint="FF" w:themeShade="FF"/>
                <w:sz w:val="20"/>
                <w:szCs w:val="20"/>
              </w:rPr>
            </w:pPr>
            <w:r w:rsidRPr="43B8B911" w:rsidR="00F050CC">
              <w:rPr>
                <w:rFonts w:ascii="Calibri" w:hAnsi="Calibri" w:cs="Calibri"/>
                <w:color w:val="000000" w:themeColor="text1" w:themeTint="FF" w:themeShade="FF"/>
                <w:sz w:val="20"/>
                <w:szCs w:val="20"/>
              </w:rPr>
              <w:t xml:space="preserve">Provide more explanation </w:t>
            </w:r>
            <w:r w:rsidRPr="43B8B911" w:rsidR="046B3916">
              <w:rPr>
                <w:rFonts w:ascii="Calibri" w:hAnsi="Calibri" w:cs="Calibri"/>
                <w:color w:val="000000" w:themeColor="text1" w:themeTint="FF" w:themeShade="FF"/>
                <w:sz w:val="20"/>
                <w:szCs w:val="20"/>
              </w:rPr>
              <w:t>of</w:t>
            </w:r>
            <w:r w:rsidRPr="43B8B911" w:rsidR="00F050CC">
              <w:rPr>
                <w:rFonts w:ascii="Calibri" w:hAnsi="Calibri" w:cs="Calibri"/>
                <w:color w:val="000000" w:themeColor="text1" w:themeTint="FF" w:themeShade="FF"/>
                <w:sz w:val="20"/>
                <w:szCs w:val="20"/>
              </w:rPr>
              <w:t xml:space="preserve"> what the purpose of this field is and what is acceptable in </w:t>
            </w:r>
            <w:r w:rsidRPr="43B8B911" w:rsidR="00747334">
              <w:rPr>
                <w:rFonts w:ascii="Calibri" w:hAnsi="Calibri" w:cs="Calibri"/>
                <w:color w:val="000000" w:themeColor="text1" w:themeTint="FF" w:themeShade="FF"/>
                <w:sz w:val="20"/>
                <w:szCs w:val="20"/>
              </w:rPr>
              <w:t>other</w:t>
            </w:r>
            <w:r w:rsidRPr="43B8B911" w:rsidR="00F050CC">
              <w:rPr>
                <w:rFonts w:ascii="Calibri" w:hAnsi="Calibri" w:cs="Calibri"/>
                <w:color w:val="000000" w:themeColor="text1" w:themeTint="FF" w:themeShade="FF"/>
                <w:sz w:val="20"/>
                <w:szCs w:val="20"/>
              </w:rPr>
              <w:t xml:space="preserve"> options. SDG&amp;E cannot use the domains provided and can provide the </w:t>
            </w:r>
            <w:r w:rsidRPr="43B8B911" w:rsidR="004475C6">
              <w:rPr>
                <w:rFonts w:ascii="Calibri" w:hAnsi="Calibri" w:cs="Calibri"/>
                <w:color w:val="000000" w:themeColor="text1" w:themeTint="FF" w:themeShade="FF"/>
                <w:sz w:val="20"/>
                <w:szCs w:val="20"/>
              </w:rPr>
              <w:t>appropriate</w:t>
            </w:r>
            <w:r w:rsidRPr="43B8B911" w:rsidR="00F050CC">
              <w:rPr>
                <w:rFonts w:ascii="Calibri" w:hAnsi="Calibri" w:cs="Calibri"/>
                <w:color w:val="000000" w:themeColor="text1" w:themeTint="FF" w:themeShade="FF"/>
                <w:sz w:val="20"/>
                <w:szCs w:val="20"/>
              </w:rPr>
              <w:t xml:space="preserve"> domains that would </w:t>
            </w:r>
            <w:r w:rsidRPr="43B8B911" w:rsidR="23312167">
              <w:rPr>
                <w:rFonts w:ascii="Calibri" w:hAnsi="Calibri" w:cs="Calibri"/>
                <w:color w:val="000000" w:themeColor="text1" w:themeTint="FF" w:themeShade="FF"/>
                <w:sz w:val="20"/>
                <w:szCs w:val="20"/>
              </w:rPr>
              <w:t>provide more value</w:t>
            </w:r>
            <w:r w:rsidRPr="43B8B911" w:rsidR="00F050CC">
              <w:rPr>
                <w:rFonts w:ascii="Calibri" w:hAnsi="Calibri" w:cs="Calibri"/>
                <w:color w:val="000000" w:themeColor="text1" w:themeTint="FF" w:themeShade="FF"/>
                <w:sz w:val="20"/>
                <w:szCs w:val="20"/>
              </w:rPr>
              <w:t>.</w:t>
            </w:r>
          </w:p>
        </w:tc>
      </w:tr>
      <w:tr w:rsidR="00F050CC" w:rsidTr="43B8B911" w14:paraId="10E15B56" w14:textId="77777777">
        <w:tc>
          <w:tcPr>
            <w:tcW w:w="450" w:type="dxa"/>
            <w:tcMar/>
          </w:tcPr>
          <w:p w:rsidRPr="004475C6" w:rsidR="00F050CC" w:rsidP="0005320C" w:rsidRDefault="004475C6" w14:paraId="0BAEE760" w14:textId="05C6AD3D">
            <w:pPr>
              <w:rPr>
                <w:rFonts w:cstheme="minorHAnsi"/>
                <w:sz w:val="20"/>
                <w:szCs w:val="20"/>
              </w:rPr>
            </w:pPr>
            <w:r w:rsidRPr="004475C6">
              <w:rPr>
                <w:rFonts w:cstheme="minorHAnsi"/>
                <w:sz w:val="20"/>
                <w:szCs w:val="20"/>
              </w:rPr>
              <w:t>14</w:t>
            </w:r>
          </w:p>
        </w:tc>
        <w:tc>
          <w:tcPr>
            <w:tcW w:w="1350" w:type="dxa"/>
            <w:tcMar/>
          </w:tcPr>
          <w:p w:rsidRPr="004475C6" w:rsidR="00F050CC" w:rsidP="004475C6" w:rsidRDefault="00F050CC" w14:paraId="4FEF108F" w14:textId="7DE574C4">
            <w:pPr>
              <w:rPr>
                <w:rFonts w:cstheme="minorHAnsi"/>
                <w:sz w:val="20"/>
                <w:szCs w:val="20"/>
              </w:rPr>
            </w:pPr>
            <w:r w:rsidRPr="004475C6">
              <w:rPr>
                <w:rFonts w:ascii="Calibri" w:hAnsi="Calibri" w:cs="Calibri"/>
                <w:color w:val="000000"/>
                <w:sz w:val="20"/>
                <w:szCs w:val="20"/>
              </w:rPr>
              <w:t>N/A</w:t>
            </w:r>
          </w:p>
        </w:tc>
        <w:tc>
          <w:tcPr>
            <w:tcW w:w="1170" w:type="dxa"/>
            <w:tcMar/>
          </w:tcPr>
          <w:p w:rsidRPr="004475C6" w:rsidR="00F050CC" w:rsidP="004475C6" w:rsidRDefault="00F050CC" w14:paraId="215B311E" w14:textId="66BD72D8">
            <w:pPr>
              <w:rPr>
                <w:rFonts w:cstheme="minorHAnsi"/>
                <w:sz w:val="20"/>
                <w:szCs w:val="20"/>
              </w:rPr>
            </w:pPr>
            <w:r w:rsidRPr="004475C6">
              <w:rPr>
                <w:rFonts w:ascii="Calibri" w:hAnsi="Calibri" w:cs="Calibri"/>
                <w:color w:val="000000"/>
                <w:sz w:val="20"/>
                <w:szCs w:val="20"/>
              </w:rPr>
              <w:t>N/A</w:t>
            </w:r>
          </w:p>
        </w:tc>
        <w:tc>
          <w:tcPr>
            <w:tcW w:w="1530" w:type="dxa"/>
            <w:tcMar/>
          </w:tcPr>
          <w:p w:rsidRPr="004475C6" w:rsidR="00F050CC" w:rsidP="004475C6" w:rsidRDefault="00F050CC" w14:paraId="42780658" w14:textId="0CEBBB30">
            <w:pPr>
              <w:rPr>
                <w:rFonts w:cstheme="minorHAnsi"/>
                <w:sz w:val="20"/>
                <w:szCs w:val="20"/>
              </w:rPr>
            </w:pPr>
            <w:r w:rsidRPr="004475C6">
              <w:rPr>
                <w:rFonts w:ascii="Calibri" w:hAnsi="Calibri" w:cs="Calibri"/>
                <w:color w:val="000000"/>
                <w:sz w:val="20"/>
                <w:szCs w:val="20"/>
              </w:rPr>
              <w:t>Importance of proper sentence structure</w:t>
            </w:r>
          </w:p>
        </w:tc>
        <w:tc>
          <w:tcPr>
            <w:tcW w:w="3060" w:type="dxa"/>
            <w:tcMar/>
          </w:tcPr>
          <w:p w:rsidRPr="004475C6" w:rsidR="00F050CC" w:rsidP="0005320C" w:rsidRDefault="00F050CC" w14:paraId="11982B86" w14:textId="3C15DB8A">
            <w:pPr>
              <w:rPr>
                <w:rFonts w:cstheme="minorHAnsi"/>
                <w:sz w:val="20"/>
                <w:szCs w:val="20"/>
              </w:rPr>
            </w:pPr>
            <w:r w:rsidRPr="004475C6">
              <w:rPr>
                <w:rFonts w:ascii="Calibri" w:hAnsi="Calibri" w:cs="Calibri"/>
                <w:color w:val="000000"/>
                <w:sz w:val="20"/>
                <w:szCs w:val="20"/>
              </w:rPr>
              <w:t xml:space="preserve">The addresses (as an example) are typically stored in all upper case.  There is no easy way to convert to mixed case. </w:t>
            </w:r>
            <w:r w:rsidRPr="004475C6" w:rsidR="004475C6">
              <w:rPr>
                <w:rFonts w:ascii="Calibri" w:hAnsi="Calibri" w:cs="Calibri"/>
                <w:color w:val="000000"/>
                <w:sz w:val="20"/>
                <w:szCs w:val="20"/>
              </w:rPr>
              <w:t>i.e.,</w:t>
            </w:r>
            <w:r w:rsidRPr="004475C6">
              <w:rPr>
                <w:rFonts w:ascii="Calibri" w:hAnsi="Calibri" w:cs="Calibri"/>
                <w:color w:val="000000"/>
                <w:sz w:val="20"/>
                <w:szCs w:val="20"/>
              </w:rPr>
              <w:t xml:space="preserve"> SDG&amp;E becomes </w:t>
            </w:r>
            <w:r w:rsidRPr="004475C6" w:rsidR="004475C6">
              <w:rPr>
                <w:rFonts w:ascii="Calibri" w:hAnsi="Calibri" w:cs="Calibri"/>
                <w:color w:val="000000"/>
                <w:sz w:val="20"/>
                <w:szCs w:val="20"/>
              </w:rPr>
              <w:t>SDG&amp;E</w:t>
            </w:r>
            <w:r w:rsidRPr="004475C6">
              <w:rPr>
                <w:rFonts w:ascii="Calibri" w:hAnsi="Calibri" w:cs="Calibri"/>
                <w:color w:val="000000"/>
                <w:sz w:val="20"/>
                <w:szCs w:val="20"/>
              </w:rPr>
              <w:t>, AT&amp;T becomes A</w:t>
            </w:r>
            <w:r w:rsidR="004475C6">
              <w:rPr>
                <w:rFonts w:ascii="Calibri" w:hAnsi="Calibri" w:cs="Calibri"/>
                <w:color w:val="000000"/>
                <w:sz w:val="20"/>
                <w:szCs w:val="20"/>
              </w:rPr>
              <w:t>T</w:t>
            </w:r>
            <w:r w:rsidRPr="004475C6">
              <w:rPr>
                <w:rFonts w:ascii="Calibri" w:hAnsi="Calibri" w:cs="Calibri"/>
                <w:color w:val="000000"/>
                <w:sz w:val="20"/>
                <w:szCs w:val="20"/>
              </w:rPr>
              <w:t xml:space="preserve">&amp;T.  </w:t>
            </w:r>
          </w:p>
        </w:tc>
        <w:tc>
          <w:tcPr>
            <w:tcW w:w="3690" w:type="dxa"/>
            <w:tcMar/>
          </w:tcPr>
          <w:p w:rsidRPr="004475C6" w:rsidR="00F050CC" w:rsidP="43B8B911" w:rsidRDefault="00F050CC" w14:paraId="15CA6715" w14:textId="2A2BF36E">
            <w:pPr>
              <w:rPr>
                <w:rFonts w:cs="Calibri" w:cstheme="minorAscii"/>
                <w:sz w:val="20"/>
                <w:szCs w:val="20"/>
              </w:rPr>
            </w:pPr>
            <w:r w:rsidRPr="43B8B911" w:rsidR="00F050CC">
              <w:rPr>
                <w:rFonts w:ascii="Calibri" w:hAnsi="Calibri" w:cs="Calibri"/>
                <w:color w:val="000000" w:themeColor="text1" w:themeTint="FF" w:themeShade="FF"/>
                <w:sz w:val="20"/>
                <w:szCs w:val="20"/>
              </w:rPr>
              <w:t>Leave in all upper case - this is not a</w:t>
            </w:r>
            <w:r w:rsidRPr="43B8B911" w:rsidR="49D8B39D">
              <w:rPr>
                <w:rFonts w:ascii="Calibri" w:hAnsi="Calibri" w:cs="Calibri"/>
                <w:color w:val="000000" w:themeColor="text1" w:themeTint="FF" w:themeShade="FF"/>
                <w:sz w:val="20"/>
                <w:szCs w:val="20"/>
              </w:rPr>
              <w:t>n issue whose remedy would provide additional value</w:t>
            </w:r>
            <w:r w:rsidRPr="43B8B911" w:rsidR="00F050CC">
              <w:rPr>
                <w:rFonts w:ascii="Calibri" w:hAnsi="Calibri" w:cs="Calibri"/>
                <w:color w:val="000000" w:themeColor="text1" w:themeTint="FF" w:themeShade="FF"/>
                <w:sz w:val="20"/>
                <w:szCs w:val="20"/>
              </w:rPr>
              <w:t>.</w:t>
            </w:r>
          </w:p>
        </w:tc>
      </w:tr>
      <w:tr w:rsidR="00F050CC" w:rsidTr="43B8B911" w14:paraId="05EA7EC9" w14:textId="77777777">
        <w:tc>
          <w:tcPr>
            <w:tcW w:w="450" w:type="dxa"/>
            <w:tcMar/>
          </w:tcPr>
          <w:p w:rsidRPr="004475C6" w:rsidR="00F050CC" w:rsidP="0005320C" w:rsidRDefault="004475C6" w14:paraId="3079A964" w14:textId="7798C732">
            <w:pPr>
              <w:rPr>
                <w:rFonts w:cstheme="minorHAnsi"/>
                <w:sz w:val="20"/>
                <w:szCs w:val="20"/>
              </w:rPr>
            </w:pPr>
            <w:r w:rsidRPr="004475C6">
              <w:rPr>
                <w:rFonts w:cstheme="minorHAnsi"/>
                <w:sz w:val="20"/>
                <w:szCs w:val="20"/>
              </w:rPr>
              <w:t>15</w:t>
            </w:r>
          </w:p>
        </w:tc>
        <w:tc>
          <w:tcPr>
            <w:tcW w:w="1350" w:type="dxa"/>
            <w:tcMar/>
          </w:tcPr>
          <w:p w:rsidRPr="004475C6" w:rsidR="00F050CC" w:rsidP="004475C6" w:rsidRDefault="00F050CC" w14:paraId="46642F2E" w14:textId="54E3F7CF">
            <w:pPr>
              <w:rPr>
                <w:rFonts w:cstheme="minorHAnsi"/>
                <w:sz w:val="20"/>
                <w:szCs w:val="20"/>
              </w:rPr>
            </w:pPr>
            <w:r w:rsidRPr="004475C6">
              <w:rPr>
                <w:rFonts w:ascii="Calibri" w:hAnsi="Calibri" w:cs="Calibri"/>
                <w:color w:val="000000"/>
                <w:sz w:val="20"/>
                <w:szCs w:val="20"/>
              </w:rPr>
              <w:t>All</w:t>
            </w:r>
          </w:p>
        </w:tc>
        <w:tc>
          <w:tcPr>
            <w:tcW w:w="1170" w:type="dxa"/>
            <w:tcMar/>
          </w:tcPr>
          <w:p w:rsidRPr="004475C6" w:rsidR="00F050CC" w:rsidP="004475C6" w:rsidRDefault="00F050CC" w14:paraId="0C72C6FD" w14:textId="48A698D7">
            <w:pPr>
              <w:rPr>
                <w:rFonts w:cstheme="minorHAnsi"/>
                <w:sz w:val="20"/>
                <w:szCs w:val="20"/>
              </w:rPr>
            </w:pPr>
            <w:r w:rsidRPr="004475C6">
              <w:rPr>
                <w:rFonts w:ascii="Calibri" w:hAnsi="Calibri" w:cs="Calibri"/>
                <w:color w:val="000000"/>
                <w:sz w:val="20"/>
                <w:szCs w:val="20"/>
              </w:rPr>
              <w:t>N/A</w:t>
            </w:r>
          </w:p>
        </w:tc>
        <w:tc>
          <w:tcPr>
            <w:tcW w:w="1530" w:type="dxa"/>
            <w:tcMar/>
          </w:tcPr>
          <w:p w:rsidRPr="004475C6" w:rsidR="00F050CC" w:rsidP="004475C6" w:rsidRDefault="00F050CC" w14:paraId="2A489222" w14:textId="3A424560">
            <w:pPr>
              <w:rPr>
                <w:rFonts w:cstheme="minorHAnsi"/>
                <w:sz w:val="20"/>
                <w:szCs w:val="20"/>
              </w:rPr>
            </w:pPr>
            <w:r w:rsidRPr="004475C6">
              <w:rPr>
                <w:rFonts w:ascii="Calibri" w:hAnsi="Calibri" w:cs="Calibri"/>
                <w:color w:val="000000"/>
                <w:sz w:val="20"/>
                <w:szCs w:val="20"/>
              </w:rPr>
              <w:t>Representation of Retired Data</w:t>
            </w:r>
          </w:p>
        </w:tc>
        <w:tc>
          <w:tcPr>
            <w:tcW w:w="3060" w:type="dxa"/>
            <w:tcMar/>
          </w:tcPr>
          <w:p w:rsidRPr="004475C6" w:rsidR="00F050CC" w:rsidP="0005320C" w:rsidRDefault="00F050CC" w14:paraId="3D1ADAFF" w14:textId="6F24D6CF">
            <w:pPr>
              <w:rPr>
                <w:rFonts w:cstheme="minorHAnsi"/>
                <w:sz w:val="20"/>
                <w:szCs w:val="20"/>
              </w:rPr>
            </w:pPr>
            <w:r w:rsidRPr="004475C6">
              <w:rPr>
                <w:rFonts w:ascii="Calibri" w:hAnsi="Calibri" w:cs="Calibri"/>
                <w:color w:val="000000"/>
                <w:sz w:val="20"/>
                <w:szCs w:val="20"/>
              </w:rPr>
              <w:t xml:space="preserve">Some data is classified as NULL </w:t>
            </w:r>
            <w:r w:rsidRPr="004475C6" w:rsidR="004475C6">
              <w:rPr>
                <w:rFonts w:ascii="Calibri" w:hAnsi="Calibri" w:cs="Calibri"/>
                <w:color w:val="000000"/>
                <w:sz w:val="20"/>
                <w:szCs w:val="20"/>
              </w:rPr>
              <w:t>because</w:t>
            </w:r>
            <w:r w:rsidRPr="004475C6">
              <w:rPr>
                <w:rFonts w:ascii="Calibri" w:hAnsi="Calibri" w:cs="Calibri"/>
                <w:color w:val="000000"/>
                <w:sz w:val="20"/>
                <w:szCs w:val="20"/>
              </w:rPr>
              <w:t xml:space="preserve"> not all asset data is archived. GIS does not store retired assets</w:t>
            </w:r>
          </w:p>
        </w:tc>
        <w:tc>
          <w:tcPr>
            <w:tcW w:w="3690" w:type="dxa"/>
            <w:tcMar/>
          </w:tcPr>
          <w:p w:rsidRPr="004475C6" w:rsidR="00F050CC" w:rsidP="0005320C" w:rsidRDefault="00F050CC" w14:paraId="4A504EC4" w14:textId="1EA3278E">
            <w:pPr>
              <w:rPr>
                <w:rFonts w:cstheme="minorHAnsi"/>
                <w:sz w:val="20"/>
                <w:szCs w:val="20"/>
              </w:rPr>
            </w:pPr>
            <w:r w:rsidRPr="004475C6">
              <w:rPr>
                <w:rFonts w:ascii="Calibri" w:hAnsi="Calibri" w:cs="Calibri"/>
                <w:color w:val="000000"/>
                <w:sz w:val="20"/>
                <w:szCs w:val="20"/>
              </w:rPr>
              <w:t xml:space="preserve">The GIS system at most </w:t>
            </w:r>
            <w:r w:rsidRPr="004475C6" w:rsidR="004475C6">
              <w:rPr>
                <w:rFonts w:ascii="Calibri" w:hAnsi="Calibri" w:cs="Calibri"/>
                <w:color w:val="000000"/>
                <w:sz w:val="20"/>
                <w:szCs w:val="20"/>
              </w:rPr>
              <w:t>utilities</w:t>
            </w:r>
            <w:r w:rsidRPr="004475C6">
              <w:rPr>
                <w:rFonts w:ascii="Calibri" w:hAnsi="Calibri" w:cs="Calibri"/>
                <w:color w:val="000000"/>
                <w:sz w:val="20"/>
                <w:szCs w:val="20"/>
              </w:rPr>
              <w:t xml:space="preserve"> </w:t>
            </w:r>
            <w:r w:rsidRPr="004475C6" w:rsidR="004475C6">
              <w:rPr>
                <w:rFonts w:ascii="Calibri" w:hAnsi="Calibri" w:cs="Calibri"/>
                <w:color w:val="000000"/>
                <w:sz w:val="20"/>
                <w:szCs w:val="20"/>
              </w:rPr>
              <w:t>is</w:t>
            </w:r>
            <w:r w:rsidRPr="004475C6">
              <w:rPr>
                <w:rFonts w:ascii="Calibri" w:hAnsi="Calibri" w:cs="Calibri"/>
                <w:color w:val="000000"/>
                <w:sz w:val="20"/>
                <w:szCs w:val="20"/>
              </w:rPr>
              <w:t xml:space="preserve"> the "As-Built" model and not the "As-switched" model which is the OMS system. The GIS does not "archive" assets so one can look back in time and find structures that have been undergrounded for example. Therefore, this information will be coded as NULL. </w:t>
            </w:r>
          </w:p>
        </w:tc>
      </w:tr>
      <w:tr w:rsidR="00F050CC" w:rsidTr="43B8B911" w14:paraId="6088B9FE" w14:textId="77777777">
        <w:tc>
          <w:tcPr>
            <w:tcW w:w="450" w:type="dxa"/>
            <w:tcMar/>
          </w:tcPr>
          <w:p w:rsidRPr="004475C6" w:rsidR="00F050CC" w:rsidP="0005320C" w:rsidRDefault="004475C6" w14:paraId="100EA6BC" w14:textId="0FDE7764">
            <w:pPr>
              <w:rPr>
                <w:rFonts w:cstheme="minorHAnsi"/>
                <w:sz w:val="20"/>
                <w:szCs w:val="20"/>
              </w:rPr>
            </w:pPr>
            <w:r w:rsidRPr="004475C6">
              <w:rPr>
                <w:rFonts w:cstheme="minorHAnsi"/>
                <w:sz w:val="20"/>
                <w:szCs w:val="20"/>
              </w:rPr>
              <w:t>16</w:t>
            </w:r>
          </w:p>
        </w:tc>
        <w:tc>
          <w:tcPr>
            <w:tcW w:w="1350" w:type="dxa"/>
            <w:tcMar/>
          </w:tcPr>
          <w:p w:rsidRPr="004475C6" w:rsidR="00F050CC" w:rsidP="004475C6" w:rsidRDefault="00F050CC" w14:paraId="7E036160" w14:textId="77777777">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Critical Facility</w:t>
            </w:r>
          </w:p>
          <w:p w:rsidRPr="004475C6" w:rsidR="00F050CC" w:rsidP="004475C6" w:rsidRDefault="00F050CC" w14:paraId="1D1F393D" w14:textId="62BBA65F">
            <w:pPr>
              <w:rPr>
                <w:rFonts w:cstheme="minorHAnsi"/>
                <w:sz w:val="20"/>
                <w:szCs w:val="20"/>
              </w:rPr>
            </w:pPr>
            <w:r w:rsidRPr="004475C6">
              <w:rPr>
                <w:rFonts w:ascii="Calibri" w:hAnsi="Calibri" w:cs="Calibri"/>
                <w:color w:val="000000"/>
                <w:sz w:val="20"/>
                <w:szCs w:val="20"/>
              </w:rPr>
              <w:t>Customer Meter</w:t>
            </w:r>
          </w:p>
        </w:tc>
        <w:tc>
          <w:tcPr>
            <w:tcW w:w="1170" w:type="dxa"/>
            <w:tcMar/>
          </w:tcPr>
          <w:p w:rsidRPr="004475C6" w:rsidR="00F050CC" w:rsidP="004475C6" w:rsidRDefault="00F050CC" w14:paraId="51E3A2D0" w14:textId="77777777">
            <w:pPr>
              <w:rPr>
                <w:rFonts w:cstheme="minorHAnsi"/>
                <w:sz w:val="20"/>
                <w:szCs w:val="20"/>
              </w:rPr>
            </w:pPr>
          </w:p>
        </w:tc>
        <w:tc>
          <w:tcPr>
            <w:tcW w:w="1530" w:type="dxa"/>
            <w:tcMar/>
          </w:tcPr>
          <w:p w:rsidRPr="004475C6" w:rsidR="00F050CC" w:rsidP="004475C6" w:rsidRDefault="00F050CC" w14:paraId="24E9F49C" w14:textId="53EA6626">
            <w:pPr>
              <w:rPr>
                <w:rFonts w:cstheme="minorHAnsi"/>
                <w:sz w:val="20"/>
                <w:szCs w:val="20"/>
              </w:rPr>
            </w:pPr>
            <w:r w:rsidRPr="004475C6">
              <w:rPr>
                <w:rFonts w:ascii="Calibri" w:hAnsi="Calibri" w:cs="Calibri"/>
                <w:color w:val="000000"/>
                <w:sz w:val="20"/>
                <w:szCs w:val="20"/>
              </w:rPr>
              <w:t>We do not map to the meter. Only Primary meters are mapped (~650 assets). Does the OEIS want SDG&amp;E meter locations in the HFTD?</w:t>
            </w:r>
          </w:p>
        </w:tc>
        <w:tc>
          <w:tcPr>
            <w:tcW w:w="3060" w:type="dxa"/>
            <w:tcMar/>
          </w:tcPr>
          <w:p w:rsidRPr="004475C6" w:rsidR="00F050CC" w:rsidP="0005320C" w:rsidRDefault="00F050CC" w14:paraId="3E59BF7E" w14:textId="625D9F43">
            <w:pPr>
              <w:rPr>
                <w:rFonts w:cstheme="minorHAnsi"/>
                <w:sz w:val="20"/>
                <w:szCs w:val="20"/>
              </w:rPr>
            </w:pPr>
            <w:r w:rsidRPr="004475C6">
              <w:rPr>
                <w:rFonts w:ascii="Calibri" w:hAnsi="Calibri" w:cs="Calibri"/>
                <w:color w:val="000000"/>
                <w:sz w:val="20"/>
                <w:szCs w:val="20"/>
              </w:rPr>
              <w:t>SDG&amp;E maps GIS assets within the San Diego County assessor parcel landbase based on a UTM, Feet coordinate system. Customers are related to transformers which are associated with meters. Customer addresses are geocoded based on street reference data. APNs are not stored in the GIS or CIS systems.</w:t>
            </w:r>
          </w:p>
        </w:tc>
        <w:tc>
          <w:tcPr>
            <w:tcW w:w="3690" w:type="dxa"/>
            <w:tcMar/>
          </w:tcPr>
          <w:p w:rsidRPr="004475C6" w:rsidR="00F050CC" w:rsidP="0005320C" w:rsidRDefault="00F050CC" w14:paraId="14140ECE" w14:textId="09FA852A">
            <w:pPr>
              <w:rPr>
                <w:rFonts w:cstheme="minorHAnsi"/>
                <w:sz w:val="20"/>
                <w:szCs w:val="20"/>
              </w:rPr>
            </w:pPr>
            <w:r w:rsidRPr="004475C6">
              <w:rPr>
                <w:rFonts w:ascii="Calibri" w:hAnsi="Calibri" w:cs="Calibri"/>
                <w:color w:val="000000"/>
                <w:sz w:val="20"/>
                <w:szCs w:val="20"/>
              </w:rPr>
              <w:t xml:space="preserve">SDG&amp;E (as the other CA electric utilities) map to the TRANSFORMER not the METER. There is no spatial relationship between the METER and the TRANSFORMER. METERS can be generally represented by geocoding the customer address. However, this is not accurate enough to overlay to produce attributes such as APN, or census tract ID and other relationships. Some of the information would be correct and some of the information would not be correct due to the process of geocoding. APN's can be generated by spatially relating the customer address locations. However, this process would </w:t>
            </w:r>
            <w:r w:rsidRPr="004475C6" w:rsidR="004475C6">
              <w:rPr>
                <w:rFonts w:ascii="Calibri" w:hAnsi="Calibri" w:cs="Calibri"/>
                <w:color w:val="000000"/>
                <w:sz w:val="20"/>
                <w:szCs w:val="20"/>
              </w:rPr>
              <w:t>to</w:t>
            </w:r>
            <w:r w:rsidRPr="004475C6">
              <w:rPr>
                <w:rFonts w:ascii="Calibri" w:hAnsi="Calibri" w:cs="Calibri"/>
                <w:color w:val="000000"/>
                <w:sz w:val="20"/>
                <w:szCs w:val="20"/>
              </w:rPr>
              <w:t xml:space="preserve"> be 100% accurate.  Some feature classes are mapped to non-GIS assets like Critical Facility, </w:t>
            </w:r>
            <w:r w:rsidRPr="004475C6" w:rsidR="004475C6">
              <w:rPr>
                <w:rFonts w:ascii="Calibri" w:hAnsi="Calibri" w:cs="Calibri"/>
                <w:color w:val="000000"/>
                <w:sz w:val="20"/>
                <w:szCs w:val="20"/>
              </w:rPr>
              <w:t>Initiative</w:t>
            </w:r>
            <w:r w:rsidRPr="004475C6">
              <w:rPr>
                <w:rFonts w:ascii="Calibri" w:hAnsi="Calibri" w:cs="Calibri"/>
                <w:color w:val="000000"/>
                <w:sz w:val="20"/>
                <w:szCs w:val="20"/>
              </w:rPr>
              <w:t xml:space="preserve"> [Grants program by generator]</w:t>
            </w:r>
            <w:r w:rsidR="0021078E">
              <w:rPr>
                <w:rFonts w:ascii="Calibri" w:hAnsi="Calibri" w:cs="Calibri"/>
                <w:color w:val="000000"/>
                <w:sz w:val="20"/>
                <w:szCs w:val="20"/>
              </w:rPr>
              <w:t>.</w:t>
            </w:r>
          </w:p>
        </w:tc>
      </w:tr>
      <w:tr w:rsidR="7DA6771B" w:rsidTr="43B8B911" w14:paraId="43E411FA" w14:textId="77777777">
        <w:tc>
          <w:tcPr>
            <w:tcW w:w="450" w:type="dxa"/>
            <w:tcMar/>
          </w:tcPr>
          <w:p w:rsidR="77D092AB" w:rsidP="7DA6771B" w:rsidRDefault="77D092AB" w14:paraId="46ED0C54" w14:textId="48060641">
            <w:pPr>
              <w:rPr>
                <w:sz w:val="20"/>
                <w:szCs w:val="20"/>
              </w:rPr>
            </w:pPr>
            <w:r w:rsidRPr="7DA6771B">
              <w:rPr>
                <w:sz w:val="20"/>
                <w:szCs w:val="20"/>
              </w:rPr>
              <w:t>17</w:t>
            </w:r>
          </w:p>
        </w:tc>
        <w:tc>
          <w:tcPr>
            <w:tcW w:w="1350" w:type="dxa"/>
            <w:tcMar/>
          </w:tcPr>
          <w:p w:rsidR="26FFA1DF" w:rsidP="7DA6771B" w:rsidRDefault="26FFA1DF" w14:paraId="1C056480" w14:textId="1C625D15">
            <w:pPr>
              <w:rPr>
                <w:rFonts w:ascii="Calibri" w:hAnsi="Calibri" w:cs="Calibri"/>
                <w:color w:val="000000" w:themeColor="text1"/>
                <w:sz w:val="20"/>
                <w:szCs w:val="20"/>
              </w:rPr>
            </w:pPr>
            <w:r w:rsidRPr="7DA6771B">
              <w:rPr>
                <w:rFonts w:ascii="Calibri" w:hAnsi="Calibri" w:cs="Calibri"/>
                <w:color w:val="000000" w:themeColor="text1"/>
                <w:sz w:val="20"/>
                <w:szCs w:val="20"/>
              </w:rPr>
              <w:t>Customer Meter</w:t>
            </w:r>
          </w:p>
        </w:tc>
        <w:tc>
          <w:tcPr>
            <w:tcW w:w="1170" w:type="dxa"/>
            <w:tcMar/>
          </w:tcPr>
          <w:p w:rsidR="26FFA1DF" w:rsidP="7DA6771B" w:rsidRDefault="26FFA1DF" w14:paraId="0FD3E741" w14:textId="00A1A1AA">
            <w:pPr>
              <w:rPr>
                <w:rFonts w:ascii="Calibri" w:hAnsi="Calibri" w:cs="Calibri"/>
                <w:color w:val="000000" w:themeColor="text1"/>
                <w:sz w:val="20"/>
                <w:szCs w:val="20"/>
              </w:rPr>
            </w:pPr>
            <w:r w:rsidRPr="7DA6771B">
              <w:rPr>
                <w:rFonts w:ascii="Calibri" w:hAnsi="Calibri" w:cs="Calibri"/>
                <w:color w:val="000000" w:themeColor="text1"/>
                <w:sz w:val="20"/>
                <w:szCs w:val="20"/>
              </w:rPr>
              <w:t>N/A</w:t>
            </w:r>
          </w:p>
        </w:tc>
        <w:tc>
          <w:tcPr>
            <w:tcW w:w="1530" w:type="dxa"/>
            <w:tcMar/>
          </w:tcPr>
          <w:p w:rsidR="26FFA1DF" w:rsidP="7DA6771B" w:rsidRDefault="26FFA1DF" w14:paraId="1B30F0F2" w14:textId="299BAC37">
            <w:pPr>
              <w:rPr>
                <w:rFonts w:ascii="Calibri" w:hAnsi="Calibri" w:cs="Calibri"/>
                <w:color w:val="000000" w:themeColor="text1"/>
                <w:sz w:val="20"/>
                <w:szCs w:val="20"/>
              </w:rPr>
            </w:pPr>
            <w:r w:rsidRPr="7DA6771B">
              <w:rPr>
                <w:rFonts w:ascii="Calibri" w:hAnsi="Calibri" w:cs="Calibri"/>
                <w:color w:val="000000" w:themeColor="text1"/>
                <w:sz w:val="20"/>
                <w:szCs w:val="20"/>
              </w:rPr>
              <w:t xml:space="preserve">No way to differentiate Primary Meter from Customer Meter </w:t>
            </w:r>
          </w:p>
        </w:tc>
        <w:tc>
          <w:tcPr>
            <w:tcW w:w="3060" w:type="dxa"/>
            <w:tcMar/>
          </w:tcPr>
          <w:p w:rsidR="26FFA1DF" w:rsidP="7DA6771B" w:rsidRDefault="26FFA1DF" w14:paraId="5865244A" w14:textId="5C53254D">
            <w:pPr>
              <w:spacing w:line="259" w:lineRule="auto"/>
              <w:rPr>
                <w:rFonts w:ascii="Calibri" w:hAnsi="Calibri" w:cs="Calibri"/>
                <w:color w:val="000000" w:themeColor="text1"/>
                <w:sz w:val="20"/>
                <w:szCs w:val="20"/>
              </w:rPr>
            </w:pPr>
            <w:r w:rsidRPr="7DA6771B">
              <w:rPr>
                <w:rFonts w:ascii="Calibri" w:hAnsi="Calibri" w:cs="Calibri"/>
                <w:color w:val="000000" w:themeColor="text1"/>
                <w:sz w:val="20"/>
                <w:szCs w:val="20"/>
              </w:rPr>
              <w:t xml:space="preserve">Primary meters are part of our electrical distribution network; however, customer meters are not.  We merged both meters into the Customer Meter feature class to fulfill the requirements of the schema; however, there is no way to </w:t>
            </w:r>
            <w:r w:rsidRPr="7DA6771B" w:rsidR="28621208">
              <w:rPr>
                <w:rFonts w:ascii="Calibri" w:hAnsi="Calibri" w:cs="Calibri"/>
                <w:color w:val="000000" w:themeColor="text1"/>
                <w:sz w:val="20"/>
                <w:szCs w:val="20"/>
              </w:rPr>
              <w:t>differentiate</w:t>
            </w:r>
            <w:r w:rsidRPr="7DA6771B">
              <w:rPr>
                <w:rFonts w:ascii="Calibri" w:hAnsi="Calibri" w:cs="Calibri"/>
                <w:color w:val="000000" w:themeColor="text1"/>
                <w:sz w:val="20"/>
                <w:szCs w:val="20"/>
              </w:rPr>
              <w:t xml:space="preserve"> the two </w:t>
            </w:r>
            <w:r w:rsidRPr="7DA6771B" w:rsidR="3B427EAC">
              <w:rPr>
                <w:rFonts w:ascii="Calibri" w:hAnsi="Calibri" w:cs="Calibri"/>
                <w:color w:val="000000" w:themeColor="text1"/>
                <w:sz w:val="20"/>
                <w:szCs w:val="20"/>
              </w:rPr>
              <w:t>different</w:t>
            </w:r>
            <w:r w:rsidRPr="7DA6771B" w:rsidR="4E8AB885">
              <w:rPr>
                <w:rFonts w:ascii="Calibri" w:hAnsi="Calibri" w:cs="Calibri"/>
                <w:color w:val="000000" w:themeColor="text1"/>
                <w:sz w:val="20"/>
                <w:szCs w:val="20"/>
              </w:rPr>
              <w:t xml:space="preserve"> types of meters</w:t>
            </w:r>
          </w:p>
        </w:tc>
        <w:tc>
          <w:tcPr>
            <w:tcW w:w="3690" w:type="dxa"/>
            <w:tcMar/>
          </w:tcPr>
          <w:p w:rsidR="26FFA1DF" w:rsidP="7DA6771B" w:rsidRDefault="26FFA1DF" w14:paraId="34CBE531" w14:textId="6E55272D">
            <w:pPr>
              <w:rPr>
                <w:rFonts w:ascii="Calibri" w:hAnsi="Calibri" w:cs="Calibri"/>
                <w:color w:val="000000" w:themeColor="text1"/>
                <w:sz w:val="20"/>
                <w:szCs w:val="20"/>
              </w:rPr>
            </w:pPr>
            <w:r w:rsidRPr="7DA6771B">
              <w:rPr>
                <w:rFonts w:ascii="Calibri" w:hAnsi="Calibri" w:cs="Calibri"/>
                <w:color w:val="000000" w:themeColor="text1"/>
                <w:sz w:val="20"/>
                <w:szCs w:val="20"/>
              </w:rPr>
              <w:t>Provide a type to differentiate between primary and customer meters.</w:t>
            </w:r>
          </w:p>
        </w:tc>
      </w:tr>
      <w:tr w:rsidR="00F050CC" w:rsidTr="43B8B911" w14:paraId="19F97D2C" w14:textId="77777777">
        <w:tc>
          <w:tcPr>
            <w:tcW w:w="450" w:type="dxa"/>
            <w:tcMar/>
          </w:tcPr>
          <w:p w:rsidRPr="004475C6" w:rsidR="00F050CC" w:rsidP="7DA6771B" w:rsidRDefault="004475C6" w14:paraId="22193599" w14:textId="11E43719">
            <w:pPr>
              <w:rPr>
                <w:sz w:val="20"/>
                <w:szCs w:val="20"/>
              </w:rPr>
            </w:pPr>
            <w:r w:rsidRPr="7DA6771B">
              <w:rPr>
                <w:sz w:val="20"/>
                <w:szCs w:val="20"/>
              </w:rPr>
              <w:t>1</w:t>
            </w:r>
            <w:r w:rsidRPr="7DA6771B" w:rsidR="08E1B2EE">
              <w:rPr>
                <w:sz w:val="20"/>
                <w:szCs w:val="20"/>
              </w:rPr>
              <w:t>8</w:t>
            </w:r>
          </w:p>
        </w:tc>
        <w:tc>
          <w:tcPr>
            <w:tcW w:w="1350" w:type="dxa"/>
            <w:tcMar/>
          </w:tcPr>
          <w:p w:rsidRPr="004475C6" w:rsidR="00F050CC" w:rsidP="004475C6" w:rsidRDefault="00F050CC" w14:paraId="3C29F910" w14:textId="4F7C8762">
            <w:pPr>
              <w:rPr>
                <w:rFonts w:cstheme="minorHAnsi"/>
                <w:sz w:val="20"/>
                <w:szCs w:val="20"/>
              </w:rPr>
            </w:pPr>
            <w:r w:rsidRPr="004475C6">
              <w:rPr>
                <w:rFonts w:ascii="Calibri" w:hAnsi="Calibri" w:cs="Calibri"/>
                <w:color w:val="000000"/>
                <w:sz w:val="20"/>
                <w:szCs w:val="20"/>
              </w:rPr>
              <w:t>Critical Facility</w:t>
            </w:r>
          </w:p>
        </w:tc>
        <w:tc>
          <w:tcPr>
            <w:tcW w:w="1170" w:type="dxa"/>
            <w:tcMar/>
          </w:tcPr>
          <w:p w:rsidRPr="004475C6" w:rsidR="00F050CC" w:rsidP="004475C6" w:rsidRDefault="00F050CC" w14:paraId="3144A36B" w14:textId="7762A107">
            <w:pPr>
              <w:rPr>
                <w:rFonts w:cstheme="minorHAnsi"/>
                <w:sz w:val="20"/>
                <w:szCs w:val="20"/>
              </w:rPr>
            </w:pPr>
            <w:r w:rsidRPr="004475C6">
              <w:rPr>
                <w:rFonts w:ascii="Calibri" w:hAnsi="Calibri" w:cs="Calibri"/>
                <w:color w:val="000000"/>
                <w:sz w:val="20"/>
                <w:szCs w:val="20"/>
              </w:rPr>
              <w:t>Facility Category</w:t>
            </w:r>
          </w:p>
        </w:tc>
        <w:tc>
          <w:tcPr>
            <w:tcW w:w="1530" w:type="dxa"/>
            <w:tcMar/>
          </w:tcPr>
          <w:p w:rsidRPr="004475C6" w:rsidR="00F050CC" w:rsidP="004475C6" w:rsidRDefault="00F050CC" w14:paraId="313E1A16" w14:textId="1DC86F00">
            <w:pPr>
              <w:rPr>
                <w:rFonts w:cstheme="minorHAnsi"/>
                <w:sz w:val="20"/>
                <w:szCs w:val="20"/>
              </w:rPr>
            </w:pPr>
            <w:r w:rsidRPr="004475C6">
              <w:rPr>
                <w:rFonts w:ascii="Calibri" w:hAnsi="Calibri" w:cs="Calibri"/>
                <w:color w:val="000000"/>
                <w:sz w:val="20"/>
                <w:szCs w:val="20"/>
              </w:rPr>
              <w:t>Expand Facility Category Domain</w:t>
            </w:r>
          </w:p>
        </w:tc>
        <w:tc>
          <w:tcPr>
            <w:tcW w:w="3060" w:type="dxa"/>
            <w:tcMar/>
          </w:tcPr>
          <w:p w:rsidRPr="004475C6" w:rsidR="00F050CC" w:rsidP="0005320C" w:rsidRDefault="00F050CC" w14:paraId="367B8C25" w14:textId="2D3C3A07">
            <w:pPr>
              <w:rPr>
                <w:rFonts w:cstheme="minorHAnsi"/>
                <w:sz w:val="20"/>
                <w:szCs w:val="20"/>
              </w:rPr>
            </w:pPr>
            <w:r w:rsidRPr="004475C6">
              <w:rPr>
                <w:rFonts w:ascii="Calibri" w:hAnsi="Calibri" w:cs="Calibri"/>
                <w:color w:val="000000"/>
                <w:sz w:val="20"/>
                <w:szCs w:val="20"/>
              </w:rPr>
              <w:t xml:space="preserve">There are not enough categories to cover all types of Critical Facilities.  </w:t>
            </w:r>
            <w:r w:rsidRPr="004475C6" w:rsidR="004475C6">
              <w:rPr>
                <w:rFonts w:ascii="Calibri" w:hAnsi="Calibri" w:cs="Calibri"/>
                <w:color w:val="000000"/>
                <w:sz w:val="20"/>
                <w:szCs w:val="20"/>
              </w:rPr>
              <w:t>Therefore,</w:t>
            </w:r>
            <w:r w:rsidRPr="004475C6">
              <w:rPr>
                <w:rFonts w:ascii="Calibri" w:hAnsi="Calibri" w:cs="Calibri"/>
                <w:color w:val="000000"/>
                <w:sz w:val="20"/>
                <w:szCs w:val="20"/>
              </w:rPr>
              <w:t xml:space="preserve"> </w:t>
            </w:r>
            <w:r w:rsidRPr="004475C6" w:rsidR="004475C6">
              <w:rPr>
                <w:rFonts w:ascii="Calibri" w:hAnsi="Calibri" w:cs="Calibri"/>
                <w:color w:val="000000"/>
                <w:sz w:val="20"/>
                <w:szCs w:val="20"/>
              </w:rPr>
              <w:t>matrixing</w:t>
            </w:r>
            <w:r w:rsidRPr="004475C6">
              <w:rPr>
                <w:rFonts w:ascii="Calibri" w:hAnsi="Calibri" w:cs="Calibri"/>
                <w:color w:val="000000"/>
                <w:sz w:val="20"/>
                <w:szCs w:val="20"/>
              </w:rPr>
              <w:t xml:space="preserve"> back to SDG&amp;E attributes could not be completed.</w:t>
            </w:r>
          </w:p>
        </w:tc>
        <w:tc>
          <w:tcPr>
            <w:tcW w:w="3690" w:type="dxa"/>
            <w:tcMar/>
          </w:tcPr>
          <w:p w:rsidRPr="004475C6" w:rsidR="00F050CC" w:rsidP="0005320C" w:rsidRDefault="00F050CC" w14:paraId="7E4FCB9C" w14:textId="77777777">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Propose to add the following:</w:t>
            </w:r>
          </w:p>
          <w:p w:rsidRPr="004475C6" w:rsidR="00F050CC" w:rsidP="0005320C" w:rsidRDefault="00F050CC" w14:paraId="56431FB9" w14:textId="77777777">
            <w:pPr>
              <w:autoSpaceDE w:val="0"/>
              <w:autoSpaceDN w:val="0"/>
              <w:adjustRightInd w:val="0"/>
              <w:rPr>
                <w:rFonts w:ascii="Calibri" w:hAnsi="Calibri" w:cs="Calibri"/>
                <w:color w:val="000000"/>
                <w:sz w:val="20"/>
                <w:szCs w:val="20"/>
              </w:rPr>
            </w:pPr>
            <w:r w:rsidRPr="004475C6">
              <w:rPr>
                <w:rFonts w:ascii="Calibri" w:hAnsi="Calibri" w:cs="Calibri"/>
                <w:color w:val="000000"/>
                <w:sz w:val="20"/>
                <w:szCs w:val="20"/>
              </w:rPr>
              <w:t>Tribal - to represent Native American Tribal Governments</w:t>
            </w:r>
          </w:p>
          <w:p w:rsidRPr="004475C6" w:rsidR="00F050CC" w:rsidP="0005320C" w:rsidRDefault="00F050CC" w14:paraId="3CBC2C3A" w14:textId="6AD35E7E">
            <w:pPr>
              <w:rPr>
                <w:rFonts w:cstheme="minorHAnsi"/>
                <w:sz w:val="20"/>
                <w:szCs w:val="20"/>
              </w:rPr>
            </w:pPr>
            <w:r w:rsidRPr="004475C6">
              <w:rPr>
                <w:rFonts w:ascii="Calibri" w:hAnsi="Calibri" w:cs="Calibri"/>
                <w:color w:val="000000"/>
                <w:sz w:val="20"/>
                <w:szCs w:val="20"/>
              </w:rPr>
              <w:t>Non-Profit - Emergency Food Org, Shelters, Voting Stations</w:t>
            </w:r>
            <w:r w:rsidR="0021078E">
              <w:rPr>
                <w:rFonts w:ascii="Calibri" w:hAnsi="Calibri" w:cs="Calibri"/>
                <w:color w:val="000000"/>
                <w:sz w:val="20"/>
                <w:szCs w:val="20"/>
              </w:rPr>
              <w:t>.</w:t>
            </w:r>
          </w:p>
        </w:tc>
      </w:tr>
    </w:tbl>
    <w:p w:rsidRPr="00ED0EE2" w:rsidR="00401296" w:rsidP="00B5431A" w:rsidRDefault="00401296" w14:paraId="2C078E63" w14:textId="5ACC49DA">
      <w:pPr>
        <w:jc w:val="center"/>
        <w:rPr>
          <w:rFonts w:cstheme="minorHAnsi"/>
          <w:sz w:val="24"/>
          <w:szCs w:val="24"/>
        </w:rPr>
      </w:pPr>
    </w:p>
    <w:sectPr w:rsidRPr="00ED0EE2" w:rsidR="0040129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C1464"/>
    <w:multiLevelType w:val="hybridMultilevel"/>
    <w:tmpl w:val="1AAC8108"/>
    <w:lvl w:ilvl="0" w:tplc="78ACBCB8">
      <w:start w:val="1"/>
      <w:numFmt w:val="decimal"/>
      <w:lvlText w:val="%1."/>
      <w:lvlJc w:val="left"/>
      <w:rPr>
        <w:sz w:val="24"/>
        <w:szCs w:val="24"/>
      </w:rPr>
    </w:lvl>
    <w:lvl w:ilvl="1" w:tplc="85B011F4">
      <w:start w:val="1"/>
      <w:numFmt w:val="bullet"/>
      <w:lvlText w:val=""/>
      <w:lvlJc w:val="left"/>
      <w:pPr>
        <w:tabs>
          <w:tab w:val="num" w:pos="1440"/>
        </w:tabs>
        <w:ind w:left="1440" w:hanging="360"/>
      </w:pPr>
      <w:rPr>
        <w:rFonts w:hint="default" w:ascii="Symbol" w:hAnsi="Symbol"/>
        <w:sz w:val="20"/>
      </w:rPr>
    </w:lvl>
    <w:lvl w:ilvl="2" w:tplc="212AC724">
      <w:start w:val="1"/>
      <w:numFmt w:val="bullet"/>
      <w:lvlText w:val=""/>
      <w:lvlJc w:val="left"/>
      <w:pPr>
        <w:tabs>
          <w:tab w:val="num" w:pos="2160"/>
        </w:tabs>
        <w:ind w:left="2160" w:hanging="360"/>
      </w:pPr>
      <w:rPr>
        <w:rFonts w:hint="default" w:ascii="Symbol" w:hAnsi="Symbol"/>
        <w:sz w:val="20"/>
      </w:rPr>
    </w:lvl>
    <w:lvl w:ilvl="3" w:tplc="2C482F28" w:tentative="1">
      <w:start w:val="1"/>
      <w:numFmt w:val="bullet"/>
      <w:lvlText w:val=""/>
      <w:lvlJc w:val="left"/>
      <w:pPr>
        <w:tabs>
          <w:tab w:val="num" w:pos="2880"/>
        </w:tabs>
        <w:ind w:left="2880" w:hanging="360"/>
      </w:pPr>
      <w:rPr>
        <w:rFonts w:hint="default" w:ascii="Symbol" w:hAnsi="Symbol"/>
        <w:sz w:val="20"/>
      </w:rPr>
    </w:lvl>
    <w:lvl w:ilvl="4" w:tplc="80281322" w:tentative="1">
      <w:start w:val="1"/>
      <w:numFmt w:val="bullet"/>
      <w:lvlText w:val=""/>
      <w:lvlJc w:val="left"/>
      <w:pPr>
        <w:tabs>
          <w:tab w:val="num" w:pos="3600"/>
        </w:tabs>
        <w:ind w:left="3600" w:hanging="360"/>
      </w:pPr>
      <w:rPr>
        <w:rFonts w:hint="default" w:ascii="Symbol" w:hAnsi="Symbol"/>
        <w:sz w:val="20"/>
      </w:rPr>
    </w:lvl>
    <w:lvl w:ilvl="5" w:tplc="4B626FE4" w:tentative="1">
      <w:start w:val="1"/>
      <w:numFmt w:val="bullet"/>
      <w:lvlText w:val=""/>
      <w:lvlJc w:val="left"/>
      <w:pPr>
        <w:tabs>
          <w:tab w:val="num" w:pos="4320"/>
        </w:tabs>
        <w:ind w:left="4320" w:hanging="360"/>
      </w:pPr>
      <w:rPr>
        <w:rFonts w:hint="default" w:ascii="Symbol" w:hAnsi="Symbol"/>
        <w:sz w:val="20"/>
      </w:rPr>
    </w:lvl>
    <w:lvl w:ilvl="6" w:tplc="0E44BE24" w:tentative="1">
      <w:start w:val="1"/>
      <w:numFmt w:val="bullet"/>
      <w:lvlText w:val=""/>
      <w:lvlJc w:val="left"/>
      <w:pPr>
        <w:tabs>
          <w:tab w:val="num" w:pos="5040"/>
        </w:tabs>
        <w:ind w:left="5040" w:hanging="360"/>
      </w:pPr>
      <w:rPr>
        <w:rFonts w:hint="default" w:ascii="Symbol" w:hAnsi="Symbol"/>
        <w:sz w:val="20"/>
      </w:rPr>
    </w:lvl>
    <w:lvl w:ilvl="7" w:tplc="078860C4" w:tentative="1">
      <w:start w:val="1"/>
      <w:numFmt w:val="bullet"/>
      <w:lvlText w:val=""/>
      <w:lvlJc w:val="left"/>
      <w:pPr>
        <w:tabs>
          <w:tab w:val="num" w:pos="5760"/>
        </w:tabs>
        <w:ind w:left="5760" w:hanging="360"/>
      </w:pPr>
      <w:rPr>
        <w:rFonts w:hint="default" w:ascii="Symbol" w:hAnsi="Symbol"/>
        <w:sz w:val="20"/>
      </w:rPr>
    </w:lvl>
    <w:lvl w:ilvl="8" w:tplc="A13CF750"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1827863"/>
    <w:multiLevelType w:val="hybridMultilevel"/>
    <w:tmpl w:val="96B04B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28C7033"/>
    <w:multiLevelType w:val="hybridMultilevel"/>
    <w:tmpl w:val="4CC475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88C3395"/>
    <w:multiLevelType w:val="hybridMultilevel"/>
    <w:tmpl w:val="36C6BE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CEA1CB9"/>
    <w:multiLevelType w:val="multilevel"/>
    <w:tmpl w:val="42369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84BED5"/>
    <w:rsid w:val="00002BE8"/>
    <w:rsid w:val="0005320C"/>
    <w:rsid w:val="00061D8F"/>
    <w:rsid w:val="0008702A"/>
    <w:rsid w:val="000A315D"/>
    <w:rsid w:val="000C7A9C"/>
    <w:rsid w:val="0016158B"/>
    <w:rsid w:val="001C676C"/>
    <w:rsid w:val="0021078E"/>
    <w:rsid w:val="00285D6C"/>
    <w:rsid w:val="002F72D4"/>
    <w:rsid w:val="00401296"/>
    <w:rsid w:val="00444BDC"/>
    <w:rsid w:val="004475C6"/>
    <w:rsid w:val="00495978"/>
    <w:rsid w:val="005D4703"/>
    <w:rsid w:val="00607AFB"/>
    <w:rsid w:val="006B55B9"/>
    <w:rsid w:val="00713C37"/>
    <w:rsid w:val="00747334"/>
    <w:rsid w:val="007D398D"/>
    <w:rsid w:val="007F63A6"/>
    <w:rsid w:val="00873E27"/>
    <w:rsid w:val="008B07B5"/>
    <w:rsid w:val="0090027B"/>
    <w:rsid w:val="00914DB5"/>
    <w:rsid w:val="009368AA"/>
    <w:rsid w:val="009A3618"/>
    <w:rsid w:val="009C185A"/>
    <w:rsid w:val="00B5431A"/>
    <w:rsid w:val="00B7352D"/>
    <w:rsid w:val="00BD3353"/>
    <w:rsid w:val="00CA6DF1"/>
    <w:rsid w:val="00E132E7"/>
    <w:rsid w:val="00E32664"/>
    <w:rsid w:val="00E809B6"/>
    <w:rsid w:val="00E97A77"/>
    <w:rsid w:val="00EB0335"/>
    <w:rsid w:val="00ED0EE2"/>
    <w:rsid w:val="00ED1CE0"/>
    <w:rsid w:val="00F050CC"/>
    <w:rsid w:val="00FE0F35"/>
    <w:rsid w:val="02614E9A"/>
    <w:rsid w:val="0379CCF1"/>
    <w:rsid w:val="046B3916"/>
    <w:rsid w:val="08E1B2EE"/>
    <w:rsid w:val="0A61E343"/>
    <w:rsid w:val="0B2D539F"/>
    <w:rsid w:val="0CAFFCC8"/>
    <w:rsid w:val="0E84BED5"/>
    <w:rsid w:val="1158C1E0"/>
    <w:rsid w:val="1164959F"/>
    <w:rsid w:val="1201C181"/>
    <w:rsid w:val="13FA791A"/>
    <w:rsid w:val="17738D8C"/>
    <w:rsid w:val="1E6B49D7"/>
    <w:rsid w:val="209D21A9"/>
    <w:rsid w:val="23312167"/>
    <w:rsid w:val="26FFA1DF"/>
    <w:rsid w:val="28621208"/>
    <w:rsid w:val="28DAB73E"/>
    <w:rsid w:val="2A87CBEE"/>
    <w:rsid w:val="2D89F981"/>
    <w:rsid w:val="2E024745"/>
    <w:rsid w:val="300C9F84"/>
    <w:rsid w:val="34A228A7"/>
    <w:rsid w:val="3B427EAC"/>
    <w:rsid w:val="3DC17E14"/>
    <w:rsid w:val="3DE60323"/>
    <w:rsid w:val="40398A8B"/>
    <w:rsid w:val="40D89E41"/>
    <w:rsid w:val="43B8B911"/>
    <w:rsid w:val="495D941E"/>
    <w:rsid w:val="49D8B39D"/>
    <w:rsid w:val="4ADE12EC"/>
    <w:rsid w:val="4B411ADD"/>
    <w:rsid w:val="4E82C08D"/>
    <w:rsid w:val="4E8AB885"/>
    <w:rsid w:val="4F39C94D"/>
    <w:rsid w:val="513BB535"/>
    <w:rsid w:val="5433B177"/>
    <w:rsid w:val="552C949D"/>
    <w:rsid w:val="58389E25"/>
    <w:rsid w:val="62C36CFD"/>
    <w:rsid w:val="644DB67A"/>
    <w:rsid w:val="64E1E73C"/>
    <w:rsid w:val="6BAB2090"/>
    <w:rsid w:val="6C6EAEC5"/>
    <w:rsid w:val="7663C380"/>
    <w:rsid w:val="77D092AB"/>
    <w:rsid w:val="77FDD598"/>
    <w:rsid w:val="7A0CF3E9"/>
    <w:rsid w:val="7A6ED659"/>
    <w:rsid w:val="7DA6771B"/>
    <w:rsid w:val="7FDB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BED5"/>
  <w15:chartTrackingRefBased/>
  <w15:docId w15:val="{9B0B13A1-3DEC-4161-AB59-E8D527A5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32664"/>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E32664"/>
  </w:style>
  <w:style w:type="character" w:styleId="normaltextrun" w:customStyle="1">
    <w:name w:val="normaltextrun"/>
    <w:basedOn w:val="DefaultParagraphFont"/>
    <w:rsid w:val="00E32664"/>
  </w:style>
  <w:style w:type="paragraph" w:styleId="xmsolistparagraph" w:customStyle="1">
    <w:name w:val="x_msolistparagraph"/>
    <w:basedOn w:val="Normal"/>
    <w:rsid w:val="0090027B"/>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Mention">
    <w:name w:val="Mention"/>
    <w:basedOn w:val="DefaultParagraphFont"/>
    <w:uiPriority w:val="99"/>
    <w:unhideWhenUsed/>
    <w:rsid w:val="0090027B"/>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D3353"/>
    <w:pPr>
      <w:spacing w:after="0" w:line="240" w:lineRule="auto"/>
    </w:pPr>
  </w:style>
  <w:style w:type="paragraph" w:styleId="CommentSubject">
    <w:name w:val="annotation subject"/>
    <w:basedOn w:val="CommentText"/>
    <w:next w:val="CommentText"/>
    <w:link w:val="CommentSubjectChar"/>
    <w:uiPriority w:val="99"/>
    <w:semiHidden/>
    <w:unhideWhenUsed/>
    <w:rsid w:val="007D398D"/>
    <w:rPr>
      <w:b/>
      <w:bCs/>
    </w:rPr>
  </w:style>
  <w:style w:type="character" w:styleId="CommentSubjectChar" w:customStyle="1">
    <w:name w:val="Comment Subject Char"/>
    <w:basedOn w:val="CommentTextChar"/>
    <w:link w:val="CommentSubject"/>
    <w:uiPriority w:val="99"/>
    <w:semiHidden/>
    <w:rsid w:val="007D398D"/>
    <w:rPr>
      <w:b/>
      <w:bCs/>
      <w:sz w:val="20"/>
      <w:szCs w:val="20"/>
    </w:rPr>
  </w:style>
  <w:style w:type="character" w:styleId="UnresolvedMention">
    <w:name w:val="Unresolved Mention"/>
    <w:basedOn w:val="DefaultParagraphFont"/>
    <w:uiPriority w:val="99"/>
    <w:unhideWhenUsed/>
    <w:rsid w:val="007D398D"/>
    <w:rPr>
      <w:color w:val="605E5C"/>
      <w:shd w:val="clear" w:color="auto" w:fill="E1DFDD"/>
    </w:rPr>
  </w:style>
  <w:style w:type="table" w:styleId="TableGrid">
    <w:name w:val="Table Grid"/>
    <w:basedOn w:val="TableNormal"/>
    <w:uiPriority w:val="39"/>
    <w:rsid w:val="001C676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6504">
      <w:bodyDiv w:val="1"/>
      <w:marLeft w:val="0"/>
      <w:marRight w:val="0"/>
      <w:marTop w:val="0"/>
      <w:marBottom w:val="0"/>
      <w:divBdr>
        <w:top w:val="none" w:sz="0" w:space="0" w:color="auto"/>
        <w:left w:val="none" w:sz="0" w:space="0" w:color="auto"/>
        <w:bottom w:val="none" w:sz="0" w:space="0" w:color="auto"/>
        <w:right w:val="none" w:sz="0" w:space="0" w:color="auto"/>
      </w:divBdr>
      <w:divsChild>
        <w:div w:id="189101965">
          <w:marLeft w:val="0"/>
          <w:marRight w:val="0"/>
          <w:marTop w:val="0"/>
          <w:marBottom w:val="0"/>
          <w:divBdr>
            <w:top w:val="none" w:sz="0" w:space="0" w:color="auto"/>
            <w:left w:val="none" w:sz="0" w:space="0" w:color="auto"/>
            <w:bottom w:val="none" w:sz="0" w:space="0" w:color="auto"/>
            <w:right w:val="none" w:sz="0" w:space="0" w:color="auto"/>
          </w:divBdr>
        </w:div>
        <w:div w:id="480776763">
          <w:marLeft w:val="0"/>
          <w:marRight w:val="0"/>
          <w:marTop w:val="0"/>
          <w:marBottom w:val="0"/>
          <w:divBdr>
            <w:top w:val="none" w:sz="0" w:space="0" w:color="auto"/>
            <w:left w:val="none" w:sz="0" w:space="0" w:color="auto"/>
            <w:bottom w:val="none" w:sz="0" w:space="0" w:color="auto"/>
            <w:right w:val="none" w:sz="0" w:space="0" w:color="auto"/>
          </w:divBdr>
        </w:div>
        <w:div w:id="1059550133">
          <w:marLeft w:val="0"/>
          <w:marRight w:val="0"/>
          <w:marTop w:val="0"/>
          <w:marBottom w:val="0"/>
          <w:divBdr>
            <w:top w:val="none" w:sz="0" w:space="0" w:color="auto"/>
            <w:left w:val="none" w:sz="0" w:space="0" w:color="auto"/>
            <w:bottom w:val="none" w:sz="0" w:space="0" w:color="auto"/>
            <w:right w:val="none" w:sz="0" w:space="0" w:color="auto"/>
          </w:divBdr>
        </w:div>
        <w:div w:id="1856572139">
          <w:marLeft w:val="0"/>
          <w:marRight w:val="0"/>
          <w:marTop w:val="0"/>
          <w:marBottom w:val="0"/>
          <w:divBdr>
            <w:top w:val="none" w:sz="0" w:space="0" w:color="auto"/>
            <w:left w:val="none" w:sz="0" w:space="0" w:color="auto"/>
            <w:bottom w:val="none" w:sz="0" w:space="0" w:color="auto"/>
            <w:right w:val="none" w:sz="0" w:space="0" w:color="auto"/>
          </w:divBdr>
        </w:div>
      </w:divsChild>
    </w:div>
    <w:div w:id="204760477">
      <w:bodyDiv w:val="1"/>
      <w:marLeft w:val="0"/>
      <w:marRight w:val="0"/>
      <w:marTop w:val="0"/>
      <w:marBottom w:val="0"/>
      <w:divBdr>
        <w:top w:val="none" w:sz="0" w:space="0" w:color="auto"/>
        <w:left w:val="none" w:sz="0" w:space="0" w:color="auto"/>
        <w:bottom w:val="none" w:sz="0" w:space="0" w:color="auto"/>
        <w:right w:val="none" w:sz="0" w:space="0" w:color="auto"/>
      </w:divBdr>
      <w:divsChild>
        <w:div w:id="229926269">
          <w:marLeft w:val="0"/>
          <w:marRight w:val="0"/>
          <w:marTop w:val="0"/>
          <w:marBottom w:val="0"/>
          <w:divBdr>
            <w:top w:val="none" w:sz="0" w:space="0" w:color="auto"/>
            <w:left w:val="none" w:sz="0" w:space="0" w:color="auto"/>
            <w:bottom w:val="none" w:sz="0" w:space="0" w:color="auto"/>
            <w:right w:val="none" w:sz="0" w:space="0" w:color="auto"/>
          </w:divBdr>
        </w:div>
        <w:div w:id="245501312">
          <w:marLeft w:val="0"/>
          <w:marRight w:val="0"/>
          <w:marTop w:val="0"/>
          <w:marBottom w:val="0"/>
          <w:divBdr>
            <w:top w:val="none" w:sz="0" w:space="0" w:color="auto"/>
            <w:left w:val="none" w:sz="0" w:space="0" w:color="auto"/>
            <w:bottom w:val="none" w:sz="0" w:space="0" w:color="auto"/>
            <w:right w:val="none" w:sz="0" w:space="0" w:color="auto"/>
          </w:divBdr>
        </w:div>
        <w:div w:id="872576048">
          <w:marLeft w:val="0"/>
          <w:marRight w:val="0"/>
          <w:marTop w:val="0"/>
          <w:marBottom w:val="0"/>
          <w:divBdr>
            <w:top w:val="none" w:sz="0" w:space="0" w:color="auto"/>
            <w:left w:val="none" w:sz="0" w:space="0" w:color="auto"/>
            <w:bottom w:val="none" w:sz="0" w:space="0" w:color="auto"/>
            <w:right w:val="none" w:sz="0" w:space="0" w:color="auto"/>
          </w:divBdr>
        </w:div>
        <w:div w:id="1568027558">
          <w:marLeft w:val="0"/>
          <w:marRight w:val="0"/>
          <w:marTop w:val="0"/>
          <w:marBottom w:val="0"/>
          <w:divBdr>
            <w:top w:val="none" w:sz="0" w:space="0" w:color="auto"/>
            <w:left w:val="none" w:sz="0" w:space="0" w:color="auto"/>
            <w:bottom w:val="none" w:sz="0" w:space="0" w:color="auto"/>
            <w:right w:val="none" w:sz="0" w:space="0" w:color="auto"/>
          </w:divBdr>
        </w:div>
      </w:divsChild>
    </w:div>
    <w:div w:id="1112288328">
      <w:bodyDiv w:val="1"/>
      <w:marLeft w:val="0"/>
      <w:marRight w:val="0"/>
      <w:marTop w:val="0"/>
      <w:marBottom w:val="0"/>
      <w:divBdr>
        <w:top w:val="none" w:sz="0" w:space="0" w:color="auto"/>
        <w:left w:val="none" w:sz="0" w:space="0" w:color="auto"/>
        <w:bottom w:val="none" w:sz="0" w:space="0" w:color="auto"/>
        <w:right w:val="none" w:sz="0" w:space="0" w:color="auto"/>
      </w:divBdr>
      <w:divsChild>
        <w:div w:id="254477872">
          <w:marLeft w:val="0"/>
          <w:marRight w:val="0"/>
          <w:marTop w:val="0"/>
          <w:marBottom w:val="0"/>
          <w:divBdr>
            <w:top w:val="none" w:sz="0" w:space="0" w:color="auto"/>
            <w:left w:val="none" w:sz="0" w:space="0" w:color="auto"/>
            <w:bottom w:val="none" w:sz="0" w:space="0" w:color="auto"/>
            <w:right w:val="none" w:sz="0" w:space="0" w:color="auto"/>
          </w:divBdr>
        </w:div>
        <w:div w:id="269432696">
          <w:marLeft w:val="0"/>
          <w:marRight w:val="0"/>
          <w:marTop w:val="0"/>
          <w:marBottom w:val="0"/>
          <w:divBdr>
            <w:top w:val="none" w:sz="0" w:space="0" w:color="auto"/>
            <w:left w:val="none" w:sz="0" w:space="0" w:color="auto"/>
            <w:bottom w:val="none" w:sz="0" w:space="0" w:color="auto"/>
            <w:right w:val="none" w:sz="0" w:space="0" w:color="auto"/>
          </w:divBdr>
        </w:div>
        <w:div w:id="411899471">
          <w:marLeft w:val="0"/>
          <w:marRight w:val="0"/>
          <w:marTop w:val="0"/>
          <w:marBottom w:val="0"/>
          <w:divBdr>
            <w:top w:val="none" w:sz="0" w:space="0" w:color="auto"/>
            <w:left w:val="none" w:sz="0" w:space="0" w:color="auto"/>
            <w:bottom w:val="none" w:sz="0" w:space="0" w:color="auto"/>
            <w:right w:val="none" w:sz="0" w:space="0" w:color="auto"/>
          </w:divBdr>
        </w:div>
        <w:div w:id="573245608">
          <w:marLeft w:val="0"/>
          <w:marRight w:val="0"/>
          <w:marTop w:val="0"/>
          <w:marBottom w:val="0"/>
          <w:divBdr>
            <w:top w:val="none" w:sz="0" w:space="0" w:color="auto"/>
            <w:left w:val="none" w:sz="0" w:space="0" w:color="auto"/>
            <w:bottom w:val="none" w:sz="0" w:space="0" w:color="auto"/>
            <w:right w:val="none" w:sz="0" w:space="0" w:color="auto"/>
          </w:divBdr>
        </w:div>
        <w:div w:id="799035389">
          <w:marLeft w:val="0"/>
          <w:marRight w:val="0"/>
          <w:marTop w:val="0"/>
          <w:marBottom w:val="0"/>
          <w:divBdr>
            <w:top w:val="none" w:sz="0" w:space="0" w:color="auto"/>
            <w:left w:val="none" w:sz="0" w:space="0" w:color="auto"/>
            <w:bottom w:val="none" w:sz="0" w:space="0" w:color="auto"/>
            <w:right w:val="none" w:sz="0" w:space="0" w:color="auto"/>
          </w:divBdr>
        </w:div>
        <w:div w:id="901909971">
          <w:marLeft w:val="0"/>
          <w:marRight w:val="0"/>
          <w:marTop w:val="0"/>
          <w:marBottom w:val="0"/>
          <w:divBdr>
            <w:top w:val="none" w:sz="0" w:space="0" w:color="auto"/>
            <w:left w:val="none" w:sz="0" w:space="0" w:color="auto"/>
            <w:bottom w:val="none" w:sz="0" w:space="0" w:color="auto"/>
            <w:right w:val="none" w:sz="0" w:space="0" w:color="auto"/>
          </w:divBdr>
        </w:div>
        <w:div w:id="986663070">
          <w:marLeft w:val="0"/>
          <w:marRight w:val="0"/>
          <w:marTop w:val="0"/>
          <w:marBottom w:val="0"/>
          <w:divBdr>
            <w:top w:val="none" w:sz="0" w:space="0" w:color="auto"/>
            <w:left w:val="none" w:sz="0" w:space="0" w:color="auto"/>
            <w:bottom w:val="none" w:sz="0" w:space="0" w:color="auto"/>
            <w:right w:val="none" w:sz="0" w:space="0" w:color="auto"/>
          </w:divBdr>
        </w:div>
        <w:div w:id="1022822712">
          <w:marLeft w:val="0"/>
          <w:marRight w:val="0"/>
          <w:marTop w:val="0"/>
          <w:marBottom w:val="0"/>
          <w:divBdr>
            <w:top w:val="none" w:sz="0" w:space="0" w:color="auto"/>
            <w:left w:val="none" w:sz="0" w:space="0" w:color="auto"/>
            <w:bottom w:val="none" w:sz="0" w:space="0" w:color="auto"/>
            <w:right w:val="none" w:sz="0" w:space="0" w:color="auto"/>
          </w:divBdr>
        </w:div>
        <w:div w:id="1347486913">
          <w:marLeft w:val="0"/>
          <w:marRight w:val="0"/>
          <w:marTop w:val="0"/>
          <w:marBottom w:val="0"/>
          <w:divBdr>
            <w:top w:val="none" w:sz="0" w:space="0" w:color="auto"/>
            <w:left w:val="none" w:sz="0" w:space="0" w:color="auto"/>
            <w:bottom w:val="none" w:sz="0" w:space="0" w:color="auto"/>
            <w:right w:val="none" w:sz="0" w:space="0" w:color="auto"/>
          </w:divBdr>
        </w:div>
        <w:div w:id="1632201036">
          <w:marLeft w:val="0"/>
          <w:marRight w:val="0"/>
          <w:marTop w:val="0"/>
          <w:marBottom w:val="0"/>
          <w:divBdr>
            <w:top w:val="none" w:sz="0" w:space="0" w:color="auto"/>
            <w:left w:val="none" w:sz="0" w:space="0" w:color="auto"/>
            <w:bottom w:val="none" w:sz="0" w:space="0" w:color="auto"/>
            <w:right w:val="none" w:sz="0" w:space="0" w:color="auto"/>
          </w:divBdr>
        </w:div>
        <w:div w:id="1689015546">
          <w:marLeft w:val="0"/>
          <w:marRight w:val="0"/>
          <w:marTop w:val="0"/>
          <w:marBottom w:val="0"/>
          <w:divBdr>
            <w:top w:val="none" w:sz="0" w:space="0" w:color="auto"/>
            <w:left w:val="none" w:sz="0" w:space="0" w:color="auto"/>
            <w:bottom w:val="none" w:sz="0" w:space="0" w:color="auto"/>
            <w:right w:val="none" w:sz="0" w:space="0" w:color="auto"/>
          </w:divBdr>
        </w:div>
        <w:div w:id="1728449789">
          <w:marLeft w:val="0"/>
          <w:marRight w:val="0"/>
          <w:marTop w:val="0"/>
          <w:marBottom w:val="0"/>
          <w:divBdr>
            <w:top w:val="none" w:sz="0" w:space="0" w:color="auto"/>
            <w:left w:val="none" w:sz="0" w:space="0" w:color="auto"/>
            <w:bottom w:val="none" w:sz="0" w:space="0" w:color="auto"/>
            <w:right w:val="none" w:sz="0" w:space="0" w:color="auto"/>
          </w:divBdr>
        </w:div>
        <w:div w:id="1752198881">
          <w:marLeft w:val="0"/>
          <w:marRight w:val="0"/>
          <w:marTop w:val="0"/>
          <w:marBottom w:val="0"/>
          <w:divBdr>
            <w:top w:val="none" w:sz="0" w:space="0" w:color="auto"/>
            <w:left w:val="none" w:sz="0" w:space="0" w:color="auto"/>
            <w:bottom w:val="none" w:sz="0" w:space="0" w:color="auto"/>
            <w:right w:val="none" w:sz="0" w:space="0" w:color="auto"/>
          </w:divBdr>
        </w:div>
        <w:div w:id="1859613883">
          <w:marLeft w:val="0"/>
          <w:marRight w:val="0"/>
          <w:marTop w:val="0"/>
          <w:marBottom w:val="0"/>
          <w:divBdr>
            <w:top w:val="none" w:sz="0" w:space="0" w:color="auto"/>
            <w:left w:val="none" w:sz="0" w:space="0" w:color="auto"/>
            <w:bottom w:val="none" w:sz="0" w:space="0" w:color="auto"/>
            <w:right w:val="none" w:sz="0" w:space="0" w:color="auto"/>
          </w:divBdr>
        </w:div>
        <w:div w:id="1860269579">
          <w:marLeft w:val="0"/>
          <w:marRight w:val="0"/>
          <w:marTop w:val="0"/>
          <w:marBottom w:val="0"/>
          <w:divBdr>
            <w:top w:val="none" w:sz="0" w:space="0" w:color="auto"/>
            <w:left w:val="none" w:sz="0" w:space="0" w:color="auto"/>
            <w:bottom w:val="none" w:sz="0" w:space="0" w:color="auto"/>
            <w:right w:val="none" w:sz="0" w:space="0" w:color="auto"/>
          </w:divBdr>
        </w:div>
        <w:div w:id="203935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C5B34FB2B05C498322EC0E0E7F8BBD" ma:contentTypeVersion="13" ma:contentTypeDescription="Create a new document." ma:contentTypeScope="" ma:versionID="35348b1fb14a9f36c67915547cc06658">
  <xsd:schema xmlns:xsd="http://www.w3.org/2001/XMLSchema" xmlns:xs="http://www.w3.org/2001/XMLSchema" xmlns:p="http://schemas.microsoft.com/office/2006/metadata/properties" xmlns:ns2="2104ad18-0c40-4759-978d-9031b6355d10" xmlns:ns3="80a17f64-e774-4a01-b2f5-de7df872f7b3" targetNamespace="http://schemas.microsoft.com/office/2006/metadata/properties" ma:root="true" ma:fieldsID="a74602aa40dd929294faf41716f5ba75" ns2:_="" ns3:_="">
    <xsd:import namespace="2104ad18-0c40-4759-978d-9031b6355d10"/>
    <xsd:import namespace="80a17f64-e774-4a01-b2f5-de7df872f7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4ad18-0c40-4759-978d-9031b6355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a17f64-e774-4a01-b2f5-de7df872f7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69E6D-A227-4409-8DC9-98010637D76A}">
  <ds:schemaRefs>
    <ds:schemaRef ds:uri="http://schemas.microsoft.com/sharepoint/v3/contenttype/forms"/>
  </ds:schemaRefs>
</ds:datastoreItem>
</file>

<file path=customXml/itemProps2.xml><?xml version="1.0" encoding="utf-8"?>
<ds:datastoreItem xmlns:ds="http://schemas.openxmlformats.org/officeDocument/2006/customXml" ds:itemID="{9C9ED288-2B25-4CB5-B710-28CADB4C530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104ad18-0c40-4759-978d-9031b6355d10"/>
    <ds:schemaRef ds:uri="80a17f64-e774-4a01-b2f5-de7df872f7b3"/>
    <ds:schemaRef ds:uri="http://www.w3.org/XML/1998/namespace"/>
    <ds:schemaRef ds:uri="http://purl.org/dc/dcmitype/"/>
  </ds:schemaRefs>
</ds:datastoreItem>
</file>

<file path=customXml/itemProps3.xml><?xml version="1.0" encoding="utf-8"?>
<ds:datastoreItem xmlns:ds="http://schemas.openxmlformats.org/officeDocument/2006/customXml" ds:itemID="{74C5AEC8-B850-4230-BE8D-D5D70E7C7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4ad18-0c40-4759-978d-9031b6355d10"/>
    <ds:schemaRef ds:uri="80a17f64-e774-4a01-b2f5-de7df872f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Strutner, Maddy</dc:creator>
  <keywords/>
  <dc:description/>
  <lastModifiedBy>Gahagan, Shaun</lastModifiedBy>
  <revision>43</revision>
  <dcterms:created xsi:type="dcterms:W3CDTF">2022-01-19T18:11:00.0000000Z</dcterms:created>
  <dcterms:modified xsi:type="dcterms:W3CDTF">2022-02-01T03:27:05.3239904Z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0x0101007BC5B34FB2B05C498322EC0E0E7F8BBD</vt:lpwstr>
  </property>
</Properties>
</file>