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SB 254 Questions/Topics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collection and measurement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How does OEIS anticipate that requirements around tracking cost-per-avoided-ignition will impact the need for utilities to develop more detailed ignition tracking databases? Are there any plans for data sharing across utilities?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will cost-per-avoided-ignition methodologies interact with other previous/established methodologies - RSE/CBA/MAVF/etc?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 what extent will utilities have flexibility in the way in which they calculate cost per avoided ignition? What differentiation would be expected across different geographies?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Is there an opportunity to use experimental design/pilots to improve calculation of mitigation effectiveness, including variation by mitigation type and geography?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Will there be consistency in expectation in the level granularity for mitigation effectiveness - by territory, by circuit, etc.?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WMP Filing and Cost Recovery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there consideration that cost per avoided ignition may be used as a part of determination of cost recovery?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what extent will utilities have the option to file WMPs more frequently than every 4 years, or file updates? Will they be able to submit for cost recovery for WMP investments between cycles?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Transmission Build Out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what extent is resilience and multi-hazard exposure being considered as a part of tax credits in additional funds for transmission build out?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