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3AFE7" w14:textId="14AAC504" w:rsidR="005675F0" w:rsidRPr="005675F0" w:rsidRDefault="005675F0" w:rsidP="005675F0">
      <w:pPr>
        <w:jc w:val="center"/>
        <w:rPr>
          <w:rFonts w:ascii="Century Gothic" w:eastAsia="Times New Roman" w:hAnsi="Century Gothic"/>
          <w:b/>
          <w:caps/>
          <w:color w:val="1CADE4"/>
          <w:spacing w:val="10"/>
          <w:kern w:val="28"/>
          <w:sz w:val="72"/>
          <w:szCs w:val="72"/>
        </w:rPr>
      </w:pPr>
      <w:r w:rsidRPr="005675F0">
        <w:rPr>
          <w:rFonts w:ascii="Century Gothic" w:eastAsia="Times New Roman" w:hAnsi="Century Gothic"/>
          <w:b/>
          <w:caps/>
          <w:noProof/>
          <w:color w:val="1CADE4"/>
          <w:spacing w:val="10"/>
          <w:kern w:val="28"/>
          <w:sz w:val="72"/>
          <w:szCs w:val="72"/>
        </w:rPr>
        <w:drawing>
          <wp:inline distT="0" distB="0" distL="0" distR="0" wp14:anchorId="575442CE" wp14:editId="267FECC3">
            <wp:extent cx="5924550" cy="1466850"/>
            <wp:effectExtent l="0" t="0" r="0" b="0"/>
            <wp:docPr id="37" name="Picture 37"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Text&#10;&#10;Description automatically generated with low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24550" cy="1466850"/>
                    </a:xfrm>
                    <a:prstGeom prst="rect">
                      <a:avLst/>
                    </a:prstGeom>
                    <a:noFill/>
                    <a:ln>
                      <a:noFill/>
                    </a:ln>
                  </pic:spPr>
                </pic:pic>
              </a:graphicData>
            </a:graphic>
          </wp:inline>
        </w:drawing>
      </w:r>
    </w:p>
    <w:p w14:paraId="7AD00D4D" w14:textId="77777777" w:rsidR="005675F0" w:rsidRPr="005675F0" w:rsidRDefault="005675F0" w:rsidP="005675F0">
      <w:pPr>
        <w:jc w:val="center"/>
        <w:rPr>
          <w:rFonts w:ascii="Century Gothic" w:eastAsia="Times New Roman" w:hAnsi="Century Gothic"/>
          <w:b/>
          <w:caps/>
          <w:color w:val="1CADE4"/>
          <w:spacing w:val="10"/>
          <w:kern w:val="28"/>
          <w:sz w:val="72"/>
          <w:szCs w:val="72"/>
        </w:rPr>
      </w:pPr>
    </w:p>
    <w:p w14:paraId="1A9B41C1" w14:textId="77777777" w:rsidR="005675F0" w:rsidRPr="005675F0" w:rsidRDefault="005675F0" w:rsidP="005675F0">
      <w:pPr>
        <w:jc w:val="center"/>
        <w:rPr>
          <w:rFonts w:ascii="Century Gothic" w:eastAsia="Times New Roman" w:hAnsi="Century Gothic"/>
          <w:b/>
          <w:caps/>
          <w:spacing w:val="10"/>
          <w:kern w:val="28"/>
          <w:sz w:val="72"/>
          <w:szCs w:val="72"/>
        </w:rPr>
      </w:pPr>
      <w:r w:rsidRPr="005675F0">
        <w:rPr>
          <w:rFonts w:ascii="Century Gothic" w:eastAsia="Times New Roman" w:hAnsi="Century Gothic"/>
          <w:b/>
          <w:caps/>
          <w:spacing w:val="10"/>
          <w:kern w:val="28"/>
          <w:sz w:val="72"/>
          <w:szCs w:val="72"/>
        </w:rPr>
        <w:t>Wildfire</w:t>
      </w:r>
    </w:p>
    <w:p w14:paraId="5136497A" w14:textId="77777777" w:rsidR="005675F0" w:rsidRPr="005675F0" w:rsidRDefault="005675F0" w:rsidP="005675F0">
      <w:pPr>
        <w:jc w:val="center"/>
        <w:rPr>
          <w:rFonts w:ascii="Century Gothic" w:eastAsia="Times New Roman" w:hAnsi="Century Gothic"/>
          <w:b/>
          <w:caps/>
          <w:spacing w:val="10"/>
          <w:kern w:val="28"/>
          <w:sz w:val="72"/>
          <w:szCs w:val="72"/>
        </w:rPr>
      </w:pPr>
      <w:r w:rsidRPr="005675F0">
        <w:rPr>
          <w:rFonts w:ascii="Century Gothic" w:eastAsia="Times New Roman" w:hAnsi="Century Gothic"/>
          <w:b/>
          <w:caps/>
          <w:spacing w:val="10"/>
          <w:kern w:val="28"/>
          <w:sz w:val="72"/>
          <w:szCs w:val="72"/>
        </w:rPr>
        <w:t>Mitigation</w:t>
      </w:r>
    </w:p>
    <w:p w14:paraId="538AAD74" w14:textId="77777777" w:rsidR="00D976DC" w:rsidRDefault="005675F0" w:rsidP="005675F0">
      <w:pPr>
        <w:jc w:val="center"/>
        <w:rPr>
          <w:rFonts w:ascii="Century Gothic" w:eastAsia="Times New Roman" w:hAnsi="Century Gothic"/>
          <w:b/>
          <w:caps/>
          <w:spacing w:val="10"/>
          <w:kern w:val="28"/>
          <w:sz w:val="72"/>
          <w:szCs w:val="72"/>
        </w:rPr>
      </w:pPr>
      <w:r w:rsidRPr="005675F0">
        <w:rPr>
          <w:rFonts w:ascii="Century Gothic" w:eastAsia="Times New Roman" w:hAnsi="Century Gothic"/>
          <w:b/>
          <w:caps/>
          <w:spacing w:val="10"/>
          <w:kern w:val="28"/>
          <w:sz w:val="72"/>
          <w:szCs w:val="72"/>
        </w:rPr>
        <w:t>Plan</w:t>
      </w:r>
      <w:r w:rsidR="00591BF3">
        <w:rPr>
          <w:rFonts w:ascii="Century Gothic" w:eastAsia="Times New Roman" w:hAnsi="Century Gothic"/>
          <w:b/>
          <w:caps/>
          <w:spacing w:val="10"/>
          <w:kern w:val="28"/>
          <w:sz w:val="72"/>
          <w:szCs w:val="72"/>
        </w:rPr>
        <w:t xml:space="preserve"> </w:t>
      </w:r>
    </w:p>
    <w:p w14:paraId="2AADA849" w14:textId="6C5386D0" w:rsidR="005675F0" w:rsidRPr="005675F0" w:rsidRDefault="0032336A" w:rsidP="005675F0">
      <w:pPr>
        <w:jc w:val="center"/>
        <w:rPr>
          <w:rFonts w:ascii="Century Gothic" w:eastAsia="Times New Roman" w:hAnsi="Century Gothic"/>
          <w:b/>
          <w:caps/>
          <w:spacing w:val="10"/>
          <w:kern w:val="28"/>
          <w:sz w:val="72"/>
          <w:szCs w:val="72"/>
        </w:rPr>
      </w:pPr>
      <w:r>
        <w:rPr>
          <w:rFonts w:ascii="Century Gothic" w:eastAsia="Times New Roman" w:hAnsi="Century Gothic"/>
          <w:b/>
          <w:caps/>
          <w:spacing w:val="10"/>
          <w:kern w:val="28"/>
          <w:sz w:val="72"/>
          <w:szCs w:val="72"/>
        </w:rPr>
        <w:t>202</w:t>
      </w:r>
      <w:r w:rsidR="00A2377A">
        <w:rPr>
          <w:rFonts w:ascii="Century Gothic" w:eastAsia="Times New Roman" w:hAnsi="Century Gothic"/>
          <w:b/>
          <w:caps/>
          <w:spacing w:val="10"/>
          <w:kern w:val="28"/>
          <w:sz w:val="72"/>
          <w:szCs w:val="72"/>
        </w:rPr>
        <w:t>6</w:t>
      </w:r>
    </w:p>
    <w:p w14:paraId="631DBFA0" w14:textId="77777777" w:rsidR="005675F0" w:rsidRPr="005675F0" w:rsidRDefault="005675F0" w:rsidP="005675F0">
      <w:pPr>
        <w:rPr>
          <w:rFonts w:ascii="Century Gothic" w:eastAsia="Times New Roman" w:hAnsi="Century Gothic"/>
        </w:rPr>
      </w:pPr>
    </w:p>
    <w:p w14:paraId="0B67E4B5" w14:textId="77777777" w:rsidR="005675F0" w:rsidRPr="005675F0" w:rsidRDefault="005675F0" w:rsidP="005675F0">
      <w:pPr>
        <w:rPr>
          <w:rFonts w:ascii="Century Gothic" w:eastAsia="Times New Roman" w:hAnsi="Century Gothic"/>
        </w:rPr>
      </w:pPr>
    </w:p>
    <w:p w14:paraId="291DED91" w14:textId="77777777" w:rsidR="005675F0" w:rsidRPr="005675F0" w:rsidRDefault="005675F0" w:rsidP="005675F0">
      <w:pPr>
        <w:rPr>
          <w:rFonts w:ascii="Century Gothic" w:eastAsia="Times New Roman" w:hAnsi="Century Gothic"/>
        </w:rPr>
      </w:pPr>
    </w:p>
    <w:p w14:paraId="7C2FAC9D" w14:textId="77777777" w:rsidR="005675F0" w:rsidRPr="005675F0" w:rsidRDefault="005675F0" w:rsidP="005675F0">
      <w:pPr>
        <w:rPr>
          <w:rFonts w:ascii="Century Gothic" w:eastAsia="Times New Roman" w:hAnsi="Century Gothic"/>
        </w:rPr>
      </w:pPr>
    </w:p>
    <w:p w14:paraId="4BFDF42D" w14:textId="77777777" w:rsidR="005675F0" w:rsidRPr="005675F0" w:rsidRDefault="005675F0" w:rsidP="005675F0">
      <w:pPr>
        <w:rPr>
          <w:rFonts w:ascii="Century Gothic" w:eastAsia="Times New Roman" w:hAnsi="Century Gothic"/>
        </w:rPr>
      </w:pPr>
    </w:p>
    <w:p w14:paraId="688D46F9" w14:textId="32AD7B68" w:rsidR="005675F0" w:rsidRPr="005675F0" w:rsidRDefault="005675F0" w:rsidP="005675F0">
      <w:pPr>
        <w:shd w:val="clear" w:color="auto" w:fill="1CADE4"/>
        <w:rPr>
          <w:rFonts w:ascii="Century Gothic" w:eastAsia="Times New Roman" w:hAnsi="Century Gothic"/>
        </w:rPr>
      </w:pPr>
    </w:p>
    <w:p w14:paraId="47982816" w14:textId="0A2ABC63" w:rsidR="00C8702A" w:rsidRDefault="005675F0" w:rsidP="005675F0">
      <w:pPr>
        <w:jc w:val="center"/>
        <w:rPr>
          <w:rFonts w:ascii="Century Gothic" w:eastAsia="Times New Roman" w:hAnsi="Century Gothic"/>
          <w:b/>
          <w:bCs/>
          <w:caps/>
          <w:color w:val="0D5571"/>
          <w:spacing w:val="10"/>
          <w:sz w:val="40"/>
          <w:szCs w:val="40"/>
        </w:rPr>
      </w:pPr>
      <w:r w:rsidRPr="005675F0">
        <w:rPr>
          <w:rFonts w:ascii="Century Gothic" w:eastAsia="Times New Roman" w:hAnsi="Century Gothic"/>
          <w:b/>
          <w:bCs/>
          <w:caps/>
          <w:color w:val="0D5571"/>
          <w:spacing w:val="10"/>
          <w:sz w:val="40"/>
          <w:szCs w:val="40"/>
        </w:rPr>
        <w:t xml:space="preserve">Version </w:t>
      </w:r>
      <w:r w:rsidR="00D93001">
        <w:rPr>
          <w:rFonts w:ascii="Century Gothic" w:eastAsia="Times New Roman" w:hAnsi="Century Gothic"/>
          <w:b/>
          <w:bCs/>
          <w:caps/>
          <w:color w:val="0D5571"/>
          <w:spacing w:val="10"/>
          <w:sz w:val="40"/>
          <w:szCs w:val="40"/>
        </w:rPr>
        <w:t>7</w:t>
      </w:r>
      <w:r w:rsidRPr="005675F0">
        <w:rPr>
          <w:rFonts w:ascii="Century Gothic" w:eastAsia="Times New Roman" w:hAnsi="Century Gothic"/>
          <w:b/>
          <w:bCs/>
          <w:caps/>
          <w:color w:val="0D5571"/>
          <w:spacing w:val="10"/>
          <w:sz w:val="40"/>
          <w:szCs w:val="40"/>
        </w:rPr>
        <w:t xml:space="preserve">.0 </w:t>
      </w:r>
    </w:p>
    <w:p w14:paraId="0EE8BC7D" w14:textId="2489DFDC" w:rsidR="005675F0" w:rsidRDefault="005675F0" w:rsidP="005675F0">
      <w:pPr>
        <w:jc w:val="center"/>
        <w:rPr>
          <w:rFonts w:ascii="Century Gothic" w:eastAsia="Times New Roman" w:hAnsi="Century Gothic"/>
          <w:b/>
          <w:bCs/>
          <w:caps/>
          <w:color w:val="0D5571"/>
          <w:spacing w:val="10"/>
        </w:rPr>
      </w:pPr>
      <w:r w:rsidRPr="005675F0">
        <w:rPr>
          <w:rFonts w:ascii="Century Gothic" w:eastAsia="Times New Roman" w:hAnsi="Century Gothic"/>
          <w:b/>
          <w:bCs/>
          <w:caps/>
          <w:color w:val="0D5571"/>
          <w:spacing w:val="10"/>
        </w:rPr>
        <w:lastRenderedPageBreak/>
        <w:t>(</w:t>
      </w:r>
      <w:r w:rsidR="0032336A">
        <w:rPr>
          <w:rFonts w:ascii="Century Gothic" w:eastAsia="Times New Roman" w:hAnsi="Century Gothic"/>
          <w:b/>
          <w:bCs/>
          <w:caps/>
          <w:color w:val="0D5571"/>
          <w:spacing w:val="10"/>
        </w:rPr>
        <w:t>S</w:t>
      </w:r>
      <w:r w:rsidR="00D93001">
        <w:rPr>
          <w:rFonts w:ascii="Century Gothic" w:eastAsia="Times New Roman" w:hAnsi="Century Gothic"/>
          <w:b/>
          <w:bCs/>
          <w:caps/>
          <w:color w:val="0D5571"/>
          <w:spacing w:val="10"/>
        </w:rPr>
        <w:t>eventh</w:t>
      </w:r>
      <w:r w:rsidR="0032336A" w:rsidRPr="005675F0">
        <w:rPr>
          <w:rFonts w:ascii="Century Gothic" w:eastAsia="Times New Roman" w:hAnsi="Century Gothic"/>
          <w:b/>
          <w:bCs/>
          <w:caps/>
          <w:color w:val="0D5571"/>
          <w:spacing w:val="10"/>
        </w:rPr>
        <w:t xml:space="preserve"> </w:t>
      </w:r>
      <w:r w:rsidRPr="005675F0">
        <w:rPr>
          <w:rFonts w:ascii="Century Gothic" w:eastAsia="Times New Roman" w:hAnsi="Century Gothic"/>
          <w:b/>
          <w:bCs/>
          <w:caps/>
          <w:color w:val="0D5571"/>
          <w:spacing w:val="10"/>
        </w:rPr>
        <w:t>annual update)</w:t>
      </w:r>
    </w:p>
    <w:p w14:paraId="65F37994" w14:textId="1D2C0E67" w:rsidR="00FE6B1B" w:rsidRPr="00F7707E" w:rsidRDefault="00DA3FDE" w:rsidP="00F7707E">
      <w:pPr>
        <w:jc w:val="center"/>
        <w:rPr>
          <w:rFonts w:ascii="Century Gothic" w:eastAsia="Times New Roman" w:hAnsi="Century Gothic"/>
          <w:i/>
          <w:iCs/>
          <w:color w:val="0D5571"/>
          <w:sz w:val="28"/>
          <w:szCs w:val="28"/>
        </w:rPr>
      </w:pPr>
      <w:r>
        <w:rPr>
          <w:rFonts w:ascii="Century Gothic" w:eastAsia="Times New Roman" w:hAnsi="Century Gothic"/>
          <w:i/>
          <w:iCs/>
          <w:color w:val="0D5571"/>
          <w:sz w:val="28"/>
          <w:szCs w:val="28"/>
        </w:rPr>
        <w:t xml:space="preserve">June </w:t>
      </w:r>
      <w:r w:rsidR="00EC26F7">
        <w:rPr>
          <w:rFonts w:ascii="Century Gothic" w:eastAsia="Times New Roman" w:hAnsi="Century Gothic"/>
          <w:i/>
          <w:iCs/>
          <w:color w:val="0D5571"/>
          <w:sz w:val="28"/>
          <w:szCs w:val="28"/>
        </w:rPr>
        <w:t>8</w:t>
      </w:r>
      <w:r w:rsidR="0032336A">
        <w:rPr>
          <w:rFonts w:ascii="Century Gothic" w:eastAsia="Times New Roman" w:hAnsi="Century Gothic"/>
          <w:i/>
          <w:iCs/>
          <w:color w:val="0D5571"/>
          <w:sz w:val="28"/>
          <w:szCs w:val="28"/>
        </w:rPr>
        <w:t xml:space="preserve">, </w:t>
      </w:r>
      <w:r w:rsidR="008C313F">
        <w:rPr>
          <w:rFonts w:ascii="Century Gothic" w:eastAsia="Times New Roman" w:hAnsi="Century Gothic"/>
          <w:i/>
          <w:iCs/>
          <w:color w:val="0D5571"/>
          <w:sz w:val="28"/>
          <w:szCs w:val="28"/>
        </w:rPr>
        <w:t>2026</w:t>
      </w:r>
      <w:r w:rsidR="00640151" w:rsidRPr="00B7066A">
        <w:br w:type="page"/>
      </w:r>
    </w:p>
    <w:p w14:paraId="488BFEB4" w14:textId="77777777" w:rsidR="005649B5" w:rsidRPr="00B7066A" w:rsidRDefault="005649B5" w:rsidP="004519D8">
      <w:pPr>
        <w:pStyle w:val="TOCAppendices"/>
        <w:sectPr w:rsidR="005649B5" w:rsidRPr="00B7066A" w:rsidSect="00FC3924">
          <w:footerReference w:type="first" r:id="rId12"/>
          <w:pgSz w:w="12240" w:h="15840" w:code="1"/>
          <w:pgMar w:top="1440" w:right="1440" w:bottom="1440" w:left="1440" w:header="720" w:footer="720" w:gutter="0"/>
          <w:pgBorders w:display="firstPage" w:offsetFrom="page">
            <w:top w:val="single" w:sz="12" w:space="24" w:color="1485A4"/>
            <w:left w:val="single" w:sz="12" w:space="24" w:color="1485A4"/>
            <w:bottom w:val="single" w:sz="12" w:space="24" w:color="1485A4"/>
            <w:right w:val="single" w:sz="12" w:space="24" w:color="1485A4"/>
          </w:pgBorders>
          <w:cols w:space="720"/>
          <w:vAlign w:val="center"/>
          <w:titlePg/>
          <w:docGrid w:linePitch="360"/>
        </w:sectPr>
      </w:pPr>
    </w:p>
    <w:p w14:paraId="3DB7145C" w14:textId="77777777" w:rsidR="001C4FA4" w:rsidRPr="00EE4AAD" w:rsidRDefault="00104F49" w:rsidP="00EE4AAD">
      <w:pPr>
        <w:pStyle w:val="Title"/>
      </w:pPr>
      <w:bookmarkStart w:id="0" w:name="OLE_LINK11"/>
      <w:r w:rsidRPr="00EE4AAD">
        <w:lastRenderedPageBreak/>
        <w:t>Table of Contents</w:t>
      </w:r>
    </w:p>
    <w:bookmarkEnd w:id="0"/>
    <w:p w14:paraId="0A174A6A" w14:textId="243414AA" w:rsidR="006A4412" w:rsidRDefault="00A01221">
      <w:pPr>
        <w:pStyle w:val="TOC1"/>
        <w:rPr>
          <w:rFonts w:asciiTheme="minorHAnsi" w:hAnsiTheme="minorHAnsi"/>
          <w:b w:val="0"/>
          <w:kern w:val="2"/>
          <w:sz w:val="24"/>
          <w:szCs w:val="24"/>
          <w14:ligatures w14:val="standardContextual"/>
        </w:rPr>
      </w:pPr>
      <w:r>
        <w:fldChar w:fldCharType="begin"/>
      </w:r>
      <w:r>
        <w:instrText xml:space="preserve"> TOC \h \z \t "Heading 1,1,Heading 2,2,Heading 3,3" </w:instrText>
      </w:r>
      <w:r>
        <w:fldChar w:fldCharType="separate"/>
      </w:r>
      <w:hyperlink w:anchor="_Toc236903442" w:history="1">
        <w:r w:rsidR="006A4412" w:rsidRPr="00FB393E">
          <w:rPr>
            <w:rStyle w:val="Hyperlink"/>
          </w:rPr>
          <w:t>Acronyms and Abbreviations</w:t>
        </w:r>
        <w:r w:rsidR="006A4412">
          <w:rPr>
            <w:webHidden/>
          </w:rPr>
          <w:tab/>
        </w:r>
        <w:r w:rsidR="006A4412">
          <w:rPr>
            <w:webHidden/>
          </w:rPr>
          <w:fldChar w:fldCharType="begin"/>
        </w:r>
        <w:r w:rsidR="006A4412">
          <w:rPr>
            <w:webHidden/>
          </w:rPr>
          <w:instrText xml:space="preserve"> PAGEREF _Toc236903442 \h </w:instrText>
        </w:r>
        <w:r w:rsidR="006A4412">
          <w:rPr>
            <w:webHidden/>
          </w:rPr>
        </w:r>
        <w:r w:rsidR="006A4412">
          <w:rPr>
            <w:webHidden/>
          </w:rPr>
          <w:fldChar w:fldCharType="separate"/>
        </w:r>
        <w:r w:rsidR="002407AB">
          <w:rPr>
            <w:webHidden/>
          </w:rPr>
          <w:t>v</w:t>
        </w:r>
        <w:r w:rsidR="006A4412">
          <w:rPr>
            <w:webHidden/>
          </w:rPr>
          <w:fldChar w:fldCharType="end"/>
        </w:r>
      </w:hyperlink>
    </w:p>
    <w:p w14:paraId="3A8E74D6" w14:textId="6288A55B" w:rsidR="006A4412" w:rsidRDefault="006A4412">
      <w:pPr>
        <w:pStyle w:val="TOC1"/>
        <w:rPr>
          <w:rFonts w:asciiTheme="minorHAnsi" w:hAnsiTheme="minorHAnsi"/>
          <w:b w:val="0"/>
          <w:kern w:val="2"/>
          <w:sz w:val="24"/>
          <w:szCs w:val="24"/>
          <w14:ligatures w14:val="standardContextual"/>
        </w:rPr>
      </w:pPr>
      <w:hyperlink w:anchor="_Toc236903443" w:history="1">
        <w:r w:rsidRPr="00FB393E">
          <w:rPr>
            <w:rStyle w:val="Hyperlink"/>
            <w:rFonts w:eastAsia="Times New Roman"/>
          </w:rPr>
          <w:t>Executive Summary</w:t>
        </w:r>
        <w:r>
          <w:rPr>
            <w:webHidden/>
          </w:rPr>
          <w:tab/>
        </w:r>
        <w:r>
          <w:rPr>
            <w:webHidden/>
          </w:rPr>
          <w:fldChar w:fldCharType="begin"/>
        </w:r>
        <w:r>
          <w:rPr>
            <w:webHidden/>
          </w:rPr>
          <w:instrText xml:space="preserve"> PAGEREF _Toc236903443 \h </w:instrText>
        </w:r>
        <w:r>
          <w:rPr>
            <w:webHidden/>
          </w:rPr>
        </w:r>
        <w:r>
          <w:rPr>
            <w:webHidden/>
          </w:rPr>
          <w:fldChar w:fldCharType="separate"/>
        </w:r>
        <w:r w:rsidR="002407AB">
          <w:rPr>
            <w:webHidden/>
          </w:rPr>
          <w:t>vii</w:t>
        </w:r>
        <w:r>
          <w:rPr>
            <w:webHidden/>
          </w:rPr>
          <w:fldChar w:fldCharType="end"/>
        </w:r>
      </w:hyperlink>
    </w:p>
    <w:p w14:paraId="062515A7" w14:textId="40787260" w:rsidR="006A4412" w:rsidRDefault="006A4412">
      <w:pPr>
        <w:pStyle w:val="TOC2"/>
        <w:rPr>
          <w:rFonts w:asciiTheme="minorHAnsi" w:hAnsiTheme="minorHAnsi"/>
          <w:noProof/>
          <w:kern w:val="2"/>
          <w:sz w:val="24"/>
          <w:szCs w:val="24"/>
          <w14:ligatures w14:val="standardContextual"/>
        </w:rPr>
      </w:pPr>
      <w:hyperlink w:anchor="_Toc236903444" w:history="1">
        <w:r w:rsidRPr="00FB393E">
          <w:rPr>
            <w:rStyle w:val="Hyperlink"/>
            <w:rFonts w:eastAsia="Times New Roman"/>
            <w:noProof/>
          </w:rPr>
          <w:t>Wildfire Mitigation Program Highlights</w:t>
        </w:r>
        <w:r>
          <w:rPr>
            <w:noProof/>
            <w:webHidden/>
          </w:rPr>
          <w:tab/>
        </w:r>
        <w:r>
          <w:rPr>
            <w:noProof/>
            <w:webHidden/>
          </w:rPr>
          <w:fldChar w:fldCharType="begin"/>
        </w:r>
        <w:r>
          <w:rPr>
            <w:noProof/>
            <w:webHidden/>
          </w:rPr>
          <w:instrText xml:space="preserve"> PAGEREF _Toc236903444 \h </w:instrText>
        </w:r>
        <w:r>
          <w:rPr>
            <w:noProof/>
            <w:webHidden/>
          </w:rPr>
        </w:r>
        <w:r>
          <w:rPr>
            <w:noProof/>
            <w:webHidden/>
          </w:rPr>
          <w:fldChar w:fldCharType="separate"/>
        </w:r>
        <w:r w:rsidR="002407AB">
          <w:rPr>
            <w:noProof/>
            <w:webHidden/>
          </w:rPr>
          <w:t>vii</w:t>
        </w:r>
        <w:r>
          <w:rPr>
            <w:noProof/>
            <w:webHidden/>
          </w:rPr>
          <w:fldChar w:fldCharType="end"/>
        </w:r>
      </w:hyperlink>
    </w:p>
    <w:p w14:paraId="57BC6E53" w14:textId="1914FC1E" w:rsidR="006A4412" w:rsidRDefault="006A4412">
      <w:pPr>
        <w:pStyle w:val="TOC2"/>
        <w:rPr>
          <w:rFonts w:asciiTheme="minorHAnsi" w:hAnsiTheme="minorHAnsi"/>
          <w:noProof/>
          <w:kern w:val="2"/>
          <w:sz w:val="24"/>
          <w:szCs w:val="24"/>
          <w14:ligatures w14:val="standardContextual"/>
        </w:rPr>
      </w:pPr>
      <w:hyperlink w:anchor="_Toc236903445" w:history="1">
        <w:r w:rsidRPr="00FB393E">
          <w:rPr>
            <w:rStyle w:val="Hyperlink"/>
            <w:rFonts w:eastAsia="Times New Roman"/>
            <w:noProof/>
          </w:rPr>
          <w:t>Layered Wildfire Mitigation Strategy</w:t>
        </w:r>
        <w:r>
          <w:rPr>
            <w:noProof/>
            <w:webHidden/>
          </w:rPr>
          <w:tab/>
        </w:r>
        <w:r>
          <w:rPr>
            <w:noProof/>
            <w:webHidden/>
          </w:rPr>
          <w:fldChar w:fldCharType="begin"/>
        </w:r>
        <w:r>
          <w:rPr>
            <w:noProof/>
            <w:webHidden/>
          </w:rPr>
          <w:instrText xml:space="preserve"> PAGEREF _Toc236903445 \h </w:instrText>
        </w:r>
        <w:r>
          <w:rPr>
            <w:noProof/>
            <w:webHidden/>
          </w:rPr>
        </w:r>
        <w:r>
          <w:rPr>
            <w:noProof/>
            <w:webHidden/>
          </w:rPr>
          <w:fldChar w:fldCharType="separate"/>
        </w:r>
        <w:r w:rsidR="002407AB">
          <w:rPr>
            <w:noProof/>
            <w:webHidden/>
          </w:rPr>
          <w:t>viii</w:t>
        </w:r>
        <w:r>
          <w:rPr>
            <w:noProof/>
            <w:webHidden/>
          </w:rPr>
          <w:fldChar w:fldCharType="end"/>
        </w:r>
      </w:hyperlink>
    </w:p>
    <w:p w14:paraId="72E14B01" w14:textId="35234E52" w:rsidR="006A4412" w:rsidRDefault="006A4412">
      <w:pPr>
        <w:pStyle w:val="TOC3"/>
        <w:rPr>
          <w:rFonts w:asciiTheme="minorHAnsi" w:hAnsiTheme="minorHAnsi"/>
          <w:noProof/>
          <w:kern w:val="2"/>
          <w:sz w:val="24"/>
          <w:szCs w:val="24"/>
          <w14:ligatures w14:val="standardContextual"/>
        </w:rPr>
      </w:pPr>
      <w:hyperlink w:anchor="_Toc236903446" w:history="1">
        <w:r w:rsidRPr="00FB393E">
          <w:rPr>
            <w:rStyle w:val="Hyperlink"/>
            <w:rFonts w:eastAsia="Times New Roman"/>
            <w:noProof/>
          </w:rPr>
          <w:t>Prevention</w:t>
        </w:r>
        <w:r>
          <w:rPr>
            <w:noProof/>
            <w:webHidden/>
          </w:rPr>
          <w:tab/>
        </w:r>
        <w:r>
          <w:rPr>
            <w:noProof/>
            <w:webHidden/>
          </w:rPr>
          <w:fldChar w:fldCharType="begin"/>
        </w:r>
        <w:r>
          <w:rPr>
            <w:noProof/>
            <w:webHidden/>
          </w:rPr>
          <w:instrText xml:space="preserve"> PAGEREF _Toc236903446 \h </w:instrText>
        </w:r>
        <w:r>
          <w:rPr>
            <w:noProof/>
            <w:webHidden/>
          </w:rPr>
        </w:r>
        <w:r>
          <w:rPr>
            <w:noProof/>
            <w:webHidden/>
          </w:rPr>
          <w:fldChar w:fldCharType="separate"/>
        </w:r>
        <w:r w:rsidR="002407AB">
          <w:rPr>
            <w:noProof/>
            <w:webHidden/>
          </w:rPr>
          <w:t>viii</w:t>
        </w:r>
        <w:r>
          <w:rPr>
            <w:noProof/>
            <w:webHidden/>
          </w:rPr>
          <w:fldChar w:fldCharType="end"/>
        </w:r>
      </w:hyperlink>
    </w:p>
    <w:p w14:paraId="480751EF" w14:textId="257718D3" w:rsidR="006A4412" w:rsidRDefault="006A4412">
      <w:pPr>
        <w:pStyle w:val="TOC3"/>
        <w:rPr>
          <w:rFonts w:asciiTheme="minorHAnsi" w:hAnsiTheme="minorHAnsi"/>
          <w:noProof/>
          <w:kern w:val="2"/>
          <w:sz w:val="24"/>
          <w:szCs w:val="24"/>
          <w14:ligatures w14:val="standardContextual"/>
        </w:rPr>
      </w:pPr>
      <w:hyperlink w:anchor="_Toc236903447" w:history="1">
        <w:r w:rsidRPr="00FB393E">
          <w:rPr>
            <w:rStyle w:val="Hyperlink"/>
            <w:rFonts w:eastAsia="Times New Roman"/>
            <w:noProof/>
          </w:rPr>
          <w:t>Detection</w:t>
        </w:r>
        <w:r>
          <w:rPr>
            <w:noProof/>
            <w:webHidden/>
          </w:rPr>
          <w:tab/>
        </w:r>
        <w:r>
          <w:rPr>
            <w:noProof/>
            <w:webHidden/>
          </w:rPr>
          <w:fldChar w:fldCharType="begin"/>
        </w:r>
        <w:r>
          <w:rPr>
            <w:noProof/>
            <w:webHidden/>
          </w:rPr>
          <w:instrText xml:space="preserve"> PAGEREF _Toc236903447 \h </w:instrText>
        </w:r>
        <w:r>
          <w:rPr>
            <w:noProof/>
            <w:webHidden/>
          </w:rPr>
        </w:r>
        <w:r>
          <w:rPr>
            <w:noProof/>
            <w:webHidden/>
          </w:rPr>
          <w:fldChar w:fldCharType="separate"/>
        </w:r>
        <w:r w:rsidR="002407AB">
          <w:rPr>
            <w:noProof/>
            <w:webHidden/>
          </w:rPr>
          <w:t>viii</w:t>
        </w:r>
        <w:r>
          <w:rPr>
            <w:noProof/>
            <w:webHidden/>
          </w:rPr>
          <w:fldChar w:fldCharType="end"/>
        </w:r>
      </w:hyperlink>
    </w:p>
    <w:p w14:paraId="5BDF1F4E" w14:textId="4EF015E2" w:rsidR="006A4412" w:rsidRDefault="006A4412">
      <w:pPr>
        <w:pStyle w:val="TOC2"/>
        <w:rPr>
          <w:rFonts w:asciiTheme="minorHAnsi" w:hAnsiTheme="minorHAnsi"/>
          <w:noProof/>
          <w:kern w:val="2"/>
          <w:sz w:val="24"/>
          <w:szCs w:val="24"/>
          <w14:ligatures w14:val="standardContextual"/>
        </w:rPr>
      </w:pPr>
      <w:hyperlink w:anchor="_Toc236903448" w:history="1">
        <w:r w:rsidRPr="00FB393E">
          <w:rPr>
            <w:rStyle w:val="Hyperlink"/>
            <w:rFonts w:eastAsia="Times New Roman"/>
            <w:noProof/>
          </w:rPr>
          <w:t>Looking Ahead</w:t>
        </w:r>
        <w:r>
          <w:rPr>
            <w:noProof/>
            <w:webHidden/>
          </w:rPr>
          <w:tab/>
        </w:r>
        <w:r>
          <w:rPr>
            <w:noProof/>
            <w:webHidden/>
          </w:rPr>
          <w:fldChar w:fldCharType="begin"/>
        </w:r>
        <w:r>
          <w:rPr>
            <w:noProof/>
            <w:webHidden/>
          </w:rPr>
          <w:instrText xml:space="preserve"> PAGEREF _Toc236903448 \h </w:instrText>
        </w:r>
        <w:r>
          <w:rPr>
            <w:noProof/>
            <w:webHidden/>
          </w:rPr>
        </w:r>
        <w:r>
          <w:rPr>
            <w:noProof/>
            <w:webHidden/>
          </w:rPr>
          <w:fldChar w:fldCharType="separate"/>
        </w:r>
        <w:r w:rsidR="002407AB">
          <w:rPr>
            <w:noProof/>
            <w:webHidden/>
          </w:rPr>
          <w:t>ix</w:t>
        </w:r>
        <w:r>
          <w:rPr>
            <w:noProof/>
            <w:webHidden/>
          </w:rPr>
          <w:fldChar w:fldCharType="end"/>
        </w:r>
      </w:hyperlink>
    </w:p>
    <w:p w14:paraId="19C0D93E" w14:textId="4EA86EFB" w:rsidR="006A4412" w:rsidRDefault="006A4412">
      <w:pPr>
        <w:pStyle w:val="TOC1"/>
        <w:rPr>
          <w:rFonts w:asciiTheme="minorHAnsi" w:hAnsiTheme="minorHAnsi"/>
          <w:b w:val="0"/>
          <w:kern w:val="2"/>
          <w:sz w:val="24"/>
          <w:szCs w:val="24"/>
          <w14:ligatures w14:val="standardContextual"/>
        </w:rPr>
      </w:pPr>
      <w:hyperlink w:anchor="_Toc236903449" w:history="1">
        <w:r w:rsidRPr="00FB393E">
          <w:rPr>
            <w:rStyle w:val="Hyperlink"/>
          </w:rPr>
          <w:t>I.</w:t>
        </w:r>
        <w:r>
          <w:rPr>
            <w:rFonts w:asciiTheme="minorHAnsi" w:hAnsiTheme="minorHAnsi"/>
            <w:b w:val="0"/>
            <w:kern w:val="2"/>
            <w:sz w:val="24"/>
            <w:szCs w:val="24"/>
            <w14:ligatures w14:val="standardContextual"/>
          </w:rPr>
          <w:tab/>
        </w:r>
        <w:r w:rsidRPr="00FB393E">
          <w:rPr>
            <w:rStyle w:val="Hyperlink"/>
          </w:rPr>
          <w:t>Utility Overview and Context</w:t>
        </w:r>
        <w:r>
          <w:rPr>
            <w:webHidden/>
          </w:rPr>
          <w:tab/>
        </w:r>
        <w:r>
          <w:rPr>
            <w:webHidden/>
          </w:rPr>
          <w:fldChar w:fldCharType="begin"/>
        </w:r>
        <w:r>
          <w:rPr>
            <w:webHidden/>
          </w:rPr>
          <w:instrText xml:space="preserve"> PAGEREF _Toc236903449 \h </w:instrText>
        </w:r>
        <w:r>
          <w:rPr>
            <w:webHidden/>
          </w:rPr>
        </w:r>
        <w:r>
          <w:rPr>
            <w:webHidden/>
          </w:rPr>
          <w:fldChar w:fldCharType="separate"/>
        </w:r>
        <w:r w:rsidR="002407AB">
          <w:rPr>
            <w:webHidden/>
          </w:rPr>
          <w:t>1</w:t>
        </w:r>
        <w:r>
          <w:rPr>
            <w:webHidden/>
          </w:rPr>
          <w:fldChar w:fldCharType="end"/>
        </w:r>
      </w:hyperlink>
    </w:p>
    <w:p w14:paraId="165AD433" w14:textId="2A0533E2" w:rsidR="006A4412" w:rsidRDefault="006A4412">
      <w:pPr>
        <w:pStyle w:val="TOC2"/>
        <w:rPr>
          <w:rFonts w:asciiTheme="minorHAnsi" w:hAnsiTheme="minorHAnsi"/>
          <w:noProof/>
          <w:kern w:val="2"/>
          <w:sz w:val="24"/>
          <w:szCs w:val="24"/>
          <w14:ligatures w14:val="standardContextual"/>
        </w:rPr>
      </w:pPr>
      <w:hyperlink w:anchor="_Toc236903450" w:history="1">
        <w:r w:rsidRPr="00FB393E">
          <w:rPr>
            <w:rStyle w:val="Hyperlink"/>
            <w:noProof/>
          </w:rPr>
          <w:t>A.</w:t>
        </w:r>
        <w:r>
          <w:rPr>
            <w:rFonts w:asciiTheme="minorHAnsi" w:hAnsiTheme="minorHAnsi"/>
            <w:noProof/>
            <w:kern w:val="2"/>
            <w:sz w:val="24"/>
            <w:szCs w:val="24"/>
            <w14:ligatures w14:val="standardContextual"/>
          </w:rPr>
          <w:tab/>
        </w:r>
        <w:r w:rsidRPr="00FB393E">
          <w:rPr>
            <w:rStyle w:val="Hyperlink"/>
            <w:noProof/>
          </w:rPr>
          <w:t>Utility Description and Context Setting Table</w:t>
        </w:r>
        <w:r>
          <w:rPr>
            <w:noProof/>
            <w:webHidden/>
          </w:rPr>
          <w:tab/>
        </w:r>
        <w:r>
          <w:rPr>
            <w:noProof/>
            <w:webHidden/>
          </w:rPr>
          <w:fldChar w:fldCharType="begin"/>
        </w:r>
        <w:r>
          <w:rPr>
            <w:noProof/>
            <w:webHidden/>
          </w:rPr>
          <w:instrText xml:space="preserve"> PAGEREF _Toc236903450 \h </w:instrText>
        </w:r>
        <w:r>
          <w:rPr>
            <w:noProof/>
            <w:webHidden/>
          </w:rPr>
        </w:r>
        <w:r>
          <w:rPr>
            <w:noProof/>
            <w:webHidden/>
          </w:rPr>
          <w:fldChar w:fldCharType="separate"/>
        </w:r>
        <w:r w:rsidR="002407AB">
          <w:rPr>
            <w:noProof/>
            <w:webHidden/>
          </w:rPr>
          <w:t>1</w:t>
        </w:r>
        <w:r>
          <w:rPr>
            <w:noProof/>
            <w:webHidden/>
          </w:rPr>
          <w:fldChar w:fldCharType="end"/>
        </w:r>
      </w:hyperlink>
    </w:p>
    <w:p w14:paraId="358B769B" w14:textId="4BA23A23" w:rsidR="006A4412" w:rsidRDefault="006A4412">
      <w:pPr>
        <w:pStyle w:val="TOC2"/>
        <w:rPr>
          <w:rFonts w:asciiTheme="minorHAnsi" w:hAnsiTheme="minorHAnsi"/>
          <w:noProof/>
          <w:kern w:val="2"/>
          <w:sz w:val="24"/>
          <w:szCs w:val="24"/>
          <w14:ligatures w14:val="standardContextual"/>
        </w:rPr>
      </w:pPr>
      <w:hyperlink w:anchor="_Toc236903451" w:history="1">
        <w:r w:rsidRPr="00FB393E">
          <w:rPr>
            <w:rStyle w:val="Hyperlink"/>
            <w:noProof/>
          </w:rPr>
          <w:t>B.</w:t>
        </w:r>
        <w:r>
          <w:rPr>
            <w:rFonts w:asciiTheme="minorHAnsi" w:hAnsiTheme="minorHAnsi"/>
            <w:noProof/>
            <w:kern w:val="2"/>
            <w:sz w:val="24"/>
            <w:szCs w:val="24"/>
            <w14:ligatures w14:val="standardContextual"/>
          </w:rPr>
          <w:tab/>
        </w:r>
        <w:r w:rsidRPr="00FB393E">
          <w:rPr>
            <w:rStyle w:val="Hyperlink"/>
            <w:noProof/>
          </w:rPr>
          <w:t>Statutory Cross-Reference Table</w:t>
        </w:r>
        <w:r>
          <w:rPr>
            <w:noProof/>
            <w:webHidden/>
          </w:rPr>
          <w:tab/>
        </w:r>
        <w:r>
          <w:rPr>
            <w:noProof/>
            <w:webHidden/>
          </w:rPr>
          <w:fldChar w:fldCharType="begin"/>
        </w:r>
        <w:r>
          <w:rPr>
            <w:noProof/>
            <w:webHidden/>
          </w:rPr>
          <w:instrText xml:space="preserve"> PAGEREF _Toc236903451 \h </w:instrText>
        </w:r>
        <w:r>
          <w:rPr>
            <w:noProof/>
            <w:webHidden/>
          </w:rPr>
        </w:r>
        <w:r>
          <w:rPr>
            <w:noProof/>
            <w:webHidden/>
          </w:rPr>
          <w:fldChar w:fldCharType="separate"/>
        </w:r>
        <w:r w:rsidR="002407AB">
          <w:rPr>
            <w:noProof/>
            <w:webHidden/>
          </w:rPr>
          <w:t>8</w:t>
        </w:r>
        <w:r>
          <w:rPr>
            <w:noProof/>
            <w:webHidden/>
          </w:rPr>
          <w:fldChar w:fldCharType="end"/>
        </w:r>
      </w:hyperlink>
    </w:p>
    <w:p w14:paraId="4251D620" w14:textId="0DDDD69B" w:rsidR="006A4412" w:rsidRDefault="006A4412">
      <w:pPr>
        <w:pStyle w:val="TOC2"/>
        <w:rPr>
          <w:rFonts w:asciiTheme="minorHAnsi" w:hAnsiTheme="minorHAnsi"/>
          <w:noProof/>
          <w:kern w:val="2"/>
          <w:sz w:val="24"/>
          <w:szCs w:val="24"/>
          <w14:ligatures w14:val="standardContextual"/>
        </w:rPr>
      </w:pPr>
      <w:hyperlink w:anchor="_Toc236903452" w:history="1">
        <w:r w:rsidRPr="00FB393E">
          <w:rPr>
            <w:rStyle w:val="Hyperlink"/>
            <w:noProof/>
          </w:rPr>
          <w:t>C.</w:t>
        </w:r>
        <w:r>
          <w:rPr>
            <w:rFonts w:asciiTheme="minorHAnsi" w:hAnsiTheme="minorHAnsi"/>
            <w:noProof/>
            <w:kern w:val="2"/>
            <w:sz w:val="24"/>
            <w:szCs w:val="24"/>
            <w14:ligatures w14:val="standardContextual"/>
          </w:rPr>
          <w:tab/>
        </w:r>
        <w:r w:rsidRPr="00FB393E">
          <w:rPr>
            <w:rStyle w:val="Hyperlink"/>
            <w:noProof/>
          </w:rPr>
          <w:t>Process for Utility Adoption and Submittal of Annual WMP and Opportunities for Public Comment</w:t>
        </w:r>
        <w:r>
          <w:rPr>
            <w:noProof/>
            <w:webHidden/>
          </w:rPr>
          <w:tab/>
        </w:r>
        <w:r>
          <w:rPr>
            <w:noProof/>
            <w:webHidden/>
          </w:rPr>
          <w:fldChar w:fldCharType="begin"/>
        </w:r>
        <w:r>
          <w:rPr>
            <w:noProof/>
            <w:webHidden/>
          </w:rPr>
          <w:instrText xml:space="preserve"> PAGEREF _Toc236903452 \h </w:instrText>
        </w:r>
        <w:r>
          <w:rPr>
            <w:noProof/>
            <w:webHidden/>
          </w:rPr>
        </w:r>
        <w:r>
          <w:rPr>
            <w:noProof/>
            <w:webHidden/>
          </w:rPr>
          <w:fldChar w:fldCharType="separate"/>
        </w:r>
        <w:r w:rsidR="002407AB">
          <w:rPr>
            <w:noProof/>
            <w:webHidden/>
          </w:rPr>
          <w:t>12</w:t>
        </w:r>
        <w:r>
          <w:rPr>
            <w:noProof/>
            <w:webHidden/>
          </w:rPr>
          <w:fldChar w:fldCharType="end"/>
        </w:r>
      </w:hyperlink>
    </w:p>
    <w:p w14:paraId="58905DD8" w14:textId="214347AD" w:rsidR="006A4412" w:rsidRDefault="006A4412">
      <w:pPr>
        <w:pStyle w:val="TOC2"/>
        <w:rPr>
          <w:rFonts w:asciiTheme="minorHAnsi" w:hAnsiTheme="minorHAnsi"/>
          <w:noProof/>
          <w:kern w:val="2"/>
          <w:sz w:val="24"/>
          <w:szCs w:val="24"/>
          <w14:ligatures w14:val="standardContextual"/>
        </w:rPr>
      </w:pPr>
      <w:hyperlink w:anchor="_Toc236903453" w:history="1">
        <w:r w:rsidRPr="00FB393E">
          <w:rPr>
            <w:rStyle w:val="Hyperlink"/>
            <w:noProof/>
            <w:spacing w:val="4"/>
          </w:rPr>
          <w:t>D.</w:t>
        </w:r>
        <w:r>
          <w:rPr>
            <w:rFonts w:asciiTheme="minorHAnsi" w:hAnsiTheme="minorHAnsi"/>
            <w:noProof/>
            <w:kern w:val="2"/>
            <w:sz w:val="24"/>
            <w:szCs w:val="24"/>
            <w14:ligatures w14:val="standardContextual"/>
          </w:rPr>
          <w:tab/>
        </w:r>
        <w:r w:rsidRPr="00FB393E">
          <w:rPr>
            <w:rStyle w:val="Hyperlink"/>
            <w:noProof/>
            <w:spacing w:val="4"/>
          </w:rPr>
          <w:t>Description of Where WMP Information Can Be Found on Utility Website</w:t>
        </w:r>
        <w:r>
          <w:rPr>
            <w:noProof/>
            <w:webHidden/>
          </w:rPr>
          <w:tab/>
        </w:r>
        <w:r>
          <w:rPr>
            <w:noProof/>
            <w:webHidden/>
          </w:rPr>
          <w:fldChar w:fldCharType="begin"/>
        </w:r>
        <w:r>
          <w:rPr>
            <w:noProof/>
            <w:webHidden/>
          </w:rPr>
          <w:instrText xml:space="preserve"> PAGEREF _Toc236903453 \h </w:instrText>
        </w:r>
        <w:r>
          <w:rPr>
            <w:noProof/>
            <w:webHidden/>
          </w:rPr>
        </w:r>
        <w:r>
          <w:rPr>
            <w:noProof/>
            <w:webHidden/>
          </w:rPr>
          <w:fldChar w:fldCharType="separate"/>
        </w:r>
        <w:r w:rsidR="002407AB">
          <w:rPr>
            <w:noProof/>
            <w:webHidden/>
          </w:rPr>
          <w:t>13</w:t>
        </w:r>
        <w:r>
          <w:rPr>
            <w:noProof/>
            <w:webHidden/>
          </w:rPr>
          <w:fldChar w:fldCharType="end"/>
        </w:r>
      </w:hyperlink>
    </w:p>
    <w:p w14:paraId="356D079A" w14:textId="78020B18" w:rsidR="006A4412" w:rsidRDefault="006A4412">
      <w:pPr>
        <w:pStyle w:val="TOC2"/>
        <w:rPr>
          <w:rFonts w:asciiTheme="minorHAnsi" w:hAnsiTheme="minorHAnsi"/>
          <w:noProof/>
          <w:kern w:val="2"/>
          <w:sz w:val="24"/>
          <w:szCs w:val="24"/>
          <w14:ligatures w14:val="standardContextual"/>
        </w:rPr>
      </w:pPr>
      <w:hyperlink w:anchor="_Toc236903454" w:history="1">
        <w:r w:rsidRPr="00FB393E">
          <w:rPr>
            <w:rStyle w:val="Hyperlink"/>
            <w:noProof/>
          </w:rPr>
          <w:t>E.</w:t>
        </w:r>
        <w:r>
          <w:rPr>
            <w:rFonts w:asciiTheme="minorHAnsi" w:hAnsiTheme="minorHAnsi"/>
            <w:noProof/>
            <w:kern w:val="2"/>
            <w:sz w:val="24"/>
            <w:szCs w:val="24"/>
            <w14:ligatures w14:val="standardContextual"/>
          </w:rPr>
          <w:tab/>
        </w:r>
        <w:r w:rsidRPr="00FB393E">
          <w:rPr>
            <w:rStyle w:val="Hyperlink"/>
            <w:noProof/>
          </w:rPr>
          <w:t>Purpose of the WMP</w:t>
        </w:r>
        <w:r>
          <w:rPr>
            <w:noProof/>
            <w:webHidden/>
          </w:rPr>
          <w:tab/>
        </w:r>
        <w:r>
          <w:rPr>
            <w:noProof/>
            <w:webHidden/>
          </w:rPr>
          <w:fldChar w:fldCharType="begin"/>
        </w:r>
        <w:r>
          <w:rPr>
            <w:noProof/>
            <w:webHidden/>
          </w:rPr>
          <w:instrText xml:space="preserve"> PAGEREF _Toc236903454 \h </w:instrText>
        </w:r>
        <w:r>
          <w:rPr>
            <w:noProof/>
            <w:webHidden/>
          </w:rPr>
        </w:r>
        <w:r>
          <w:rPr>
            <w:noProof/>
            <w:webHidden/>
          </w:rPr>
          <w:fldChar w:fldCharType="separate"/>
        </w:r>
        <w:r w:rsidR="002407AB">
          <w:rPr>
            <w:noProof/>
            <w:webHidden/>
          </w:rPr>
          <w:t>13</w:t>
        </w:r>
        <w:r>
          <w:rPr>
            <w:noProof/>
            <w:webHidden/>
          </w:rPr>
          <w:fldChar w:fldCharType="end"/>
        </w:r>
      </w:hyperlink>
    </w:p>
    <w:p w14:paraId="32C97A82" w14:textId="572ACE5C" w:rsidR="006A4412" w:rsidRDefault="006A4412">
      <w:pPr>
        <w:pStyle w:val="TOC2"/>
        <w:rPr>
          <w:rFonts w:asciiTheme="minorHAnsi" w:hAnsiTheme="minorHAnsi"/>
          <w:noProof/>
          <w:kern w:val="2"/>
          <w:sz w:val="24"/>
          <w:szCs w:val="24"/>
          <w14:ligatures w14:val="standardContextual"/>
        </w:rPr>
      </w:pPr>
      <w:hyperlink w:anchor="_Toc236903455" w:history="1">
        <w:r w:rsidRPr="00FB393E">
          <w:rPr>
            <w:rStyle w:val="Hyperlink"/>
            <w:noProof/>
          </w:rPr>
          <w:t>F.</w:t>
        </w:r>
        <w:r>
          <w:rPr>
            <w:rFonts w:asciiTheme="minorHAnsi" w:hAnsiTheme="minorHAnsi"/>
            <w:noProof/>
            <w:kern w:val="2"/>
            <w:sz w:val="24"/>
            <w:szCs w:val="24"/>
            <w14:ligatures w14:val="standardContextual"/>
          </w:rPr>
          <w:tab/>
        </w:r>
        <w:r w:rsidRPr="00FB393E">
          <w:rPr>
            <w:rStyle w:val="Hyperlink"/>
            <w:noProof/>
          </w:rPr>
          <w:t>Organization of the WMP</w:t>
        </w:r>
        <w:r>
          <w:rPr>
            <w:noProof/>
            <w:webHidden/>
          </w:rPr>
          <w:tab/>
        </w:r>
        <w:r>
          <w:rPr>
            <w:noProof/>
            <w:webHidden/>
          </w:rPr>
          <w:fldChar w:fldCharType="begin"/>
        </w:r>
        <w:r>
          <w:rPr>
            <w:noProof/>
            <w:webHidden/>
          </w:rPr>
          <w:instrText xml:space="preserve"> PAGEREF _Toc236903455 \h </w:instrText>
        </w:r>
        <w:r>
          <w:rPr>
            <w:noProof/>
            <w:webHidden/>
          </w:rPr>
        </w:r>
        <w:r>
          <w:rPr>
            <w:noProof/>
            <w:webHidden/>
          </w:rPr>
          <w:fldChar w:fldCharType="separate"/>
        </w:r>
        <w:r w:rsidR="002407AB">
          <w:rPr>
            <w:noProof/>
            <w:webHidden/>
          </w:rPr>
          <w:t>13</w:t>
        </w:r>
        <w:r>
          <w:rPr>
            <w:noProof/>
            <w:webHidden/>
          </w:rPr>
          <w:fldChar w:fldCharType="end"/>
        </w:r>
      </w:hyperlink>
    </w:p>
    <w:p w14:paraId="766DA5B7" w14:textId="26E9A27C" w:rsidR="006A4412" w:rsidRDefault="006A4412">
      <w:pPr>
        <w:pStyle w:val="TOC1"/>
        <w:rPr>
          <w:rFonts w:asciiTheme="minorHAnsi" w:hAnsiTheme="minorHAnsi"/>
          <w:b w:val="0"/>
          <w:kern w:val="2"/>
          <w:sz w:val="24"/>
          <w:szCs w:val="24"/>
          <w14:ligatures w14:val="standardContextual"/>
        </w:rPr>
      </w:pPr>
      <w:hyperlink w:anchor="_Toc236903456" w:history="1">
        <w:r w:rsidRPr="00FB393E">
          <w:rPr>
            <w:rStyle w:val="Hyperlink"/>
          </w:rPr>
          <w:t>II.</w:t>
        </w:r>
        <w:r>
          <w:rPr>
            <w:rFonts w:asciiTheme="minorHAnsi" w:hAnsiTheme="minorHAnsi"/>
            <w:b w:val="0"/>
            <w:kern w:val="2"/>
            <w:sz w:val="24"/>
            <w:szCs w:val="24"/>
            <w14:ligatures w14:val="standardContextual"/>
          </w:rPr>
          <w:tab/>
        </w:r>
        <w:r w:rsidRPr="00FB393E">
          <w:rPr>
            <w:rStyle w:val="Hyperlink"/>
          </w:rPr>
          <w:t>Objectives of the WMP</w:t>
        </w:r>
        <w:r>
          <w:rPr>
            <w:webHidden/>
          </w:rPr>
          <w:tab/>
        </w:r>
        <w:r>
          <w:rPr>
            <w:webHidden/>
          </w:rPr>
          <w:fldChar w:fldCharType="begin"/>
        </w:r>
        <w:r>
          <w:rPr>
            <w:webHidden/>
          </w:rPr>
          <w:instrText xml:space="preserve"> PAGEREF _Toc236903456 \h </w:instrText>
        </w:r>
        <w:r>
          <w:rPr>
            <w:webHidden/>
          </w:rPr>
        </w:r>
        <w:r>
          <w:rPr>
            <w:webHidden/>
          </w:rPr>
          <w:fldChar w:fldCharType="separate"/>
        </w:r>
        <w:r w:rsidR="002407AB">
          <w:rPr>
            <w:webHidden/>
          </w:rPr>
          <w:t>14</w:t>
        </w:r>
        <w:r>
          <w:rPr>
            <w:webHidden/>
          </w:rPr>
          <w:fldChar w:fldCharType="end"/>
        </w:r>
      </w:hyperlink>
    </w:p>
    <w:p w14:paraId="677B4B2C" w14:textId="034C33F1" w:rsidR="006A4412" w:rsidRDefault="006A4412">
      <w:pPr>
        <w:pStyle w:val="TOC2"/>
        <w:rPr>
          <w:rFonts w:asciiTheme="minorHAnsi" w:hAnsiTheme="minorHAnsi"/>
          <w:noProof/>
          <w:kern w:val="2"/>
          <w:sz w:val="24"/>
          <w:szCs w:val="24"/>
          <w14:ligatures w14:val="standardContextual"/>
        </w:rPr>
      </w:pPr>
      <w:hyperlink w:anchor="_Toc236903457" w:history="1">
        <w:r w:rsidRPr="00FB393E">
          <w:rPr>
            <w:rStyle w:val="Hyperlink"/>
            <w:noProof/>
          </w:rPr>
          <w:t>A.</w:t>
        </w:r>
        <w:r>
          <w:rPr>
            <w:rFonts w:asciiTheme="minorHAnsi" w:hAnsiTheme="minorHAnsi"/>
            <w:noProof/>
            <w:kern w:val="2"/>
            <w:sz w:val="24"/>
            <w:szCs w:val="24"/>
            <w14:ligatures w14:val="standardContextual"/>
          </w:rPr>
          <w:tab/>
        </w:r>
        <w:r w:rsidRPr="00FB393E">
          <w:rPr>
            <w:rStyle w:val="Hyperlink"/>
            <w:noProof/>
          </w:rPr>
          <w:t>Minimizing Sources of Ignition</w:t>
        </w:r>
        <w:r>
          <w:rPr>
            <w:noProof/>
            <w:webHidden/>
          </w:rPr>
          <w:tab/>
        </w:r>
        <w:r>
          <w:rPr>
            <w:noProof/>
            <w:webHidden/>
          </w:rPr>
          <w:fldChar w:fldCharType="begin"/>
        </w:r>
        <w:r>
          <w:rPr>
            <w:noProof/>
            <w:webHidden/>
          </w:rPr>
          <w:instrText xml:space="preserve"> PAGEREF _Toc236903457 \h </w:instrText>
        </w:r>
        <w:r>
          <w:rPr>
            <w:noProof/>
            <w:webHidden/>
          </w:rPr>
        </w:r>
        <w:r>
          <w:rPr>
            <w:noProof/>
            <w:webHidden/>
          </w:rPr>
          <w:fldChar w:fldCharType="separate"/>
        </w:r>
        <w:r w:rsidR="002407AB">
          <w:rPr>
            <w:noProof/>
            <w:webHidden/>
          </w:rPr>
          <w:t>14</w:t>
        </w:r>
        <w:r>
          <w:rPr>
            <w:noProof/>
            <w:webHidden/>
          </w:rPr>
          <w:fldChar w:fldCharType="end"/>
        </w:r>
      </w:hyperlink>
    </w:p>
    <w:p w14:paraId="7FFFD430" w14:textId="1E736B6E" w:rsidR="006A4412" w:rsidRDefault="006A4412">
      <w:pPr>
        <w:pStyle w:val="TOC2"/>
        <w:rPr>
          <w:rFonts w:asciiTheme="minorHAnsi" w:hAnsiTheme="minorHAnsi"/>
          <w:noProof/>
          <w:kern w:val="2"/>
          <w:sz w:val="24"/>
          <w:szCs w:val="24"/>
          <w14:ligatures w14:val="standardContextual"/>
        </w:rPr>
      </w:pPr>
      <w:hyperlink w:anchor="_Toc236903458" w:history="1">
        <w:r w:rsidRPr="00FB393E">
          <w:rPr>
            <w:rStyle w:val="Hyperlink"/>
            <w:noProof/>
          </w:rPr>
          <w:t>B.</w:t>
        </w:r>
        <w:r>
          <w:rPr>
            <w:rFonts w:asciiTheme="minorHAnsi" w:hAnsiTheme="minorHAnsi"/>
            <w:noProof/>
            <w:kern w:val="2"/>
            <w:sz w:val="24"/>
            <w:szCs w:val="24"/>
            <w14:ligatures w14:val="standardContextual"/>
          </w:rPr>
          <w:tab/>
        </w:r>
        <w:r w:rsidRPr="00FB393E">
          <w:rPr>
            <w:rStyle w:val="Hyperlink"/>
            <w:noProof/>
          </w:rPr>
          <w:t>Resiliency of the Electric Grid</w:t>
        </w:r>
        <w:r>
          <w:rPr>
            <w:noProof/>
            <w:webHidden/>
          </w:rPr>
          <w:tab/>
        </w:r>
        <w:r>
          <w:rPr>
            <w:noProof/>
            <w:webHidden/>
          </w:rPr>
          <w:fldChar w:fldCharType="begin"/>
        </w:r>
        <w:r>
          <w:rPr>
            <w:noProof/>
            <w:webHidden/>
          </w:rPr>
          <w:instrText xml:space="preserve"> PAGEREF _Toc236903458 \h </w:instrText>
        </w:r>
        <w:r>
          <w:rPr>
            <w:noProof/>
            <w:webHidden/>
          </w:rPr>
        </w:r>
        <w:r>
          <w:rPr>
            <w:noProof/>
            <w:webHidden/>
          </w:rPr>
          <w:fldChar w:fldCharType="separate"/>
        </w:r>
        <w:r w:rsidR="002407AB">
          <w:rPr>
            <w:noProof/>
            <w:webHidden/>
          </w:rPr>
          <w:t>14</w:t>
        </w:r>
        <w:r>
          <w:rPr>
            <w:noProof/>
            <w:webHidden/>
          </w:rPr>
          <w:fldChar w:fldCharType="end"/>
        </w:r>
      </w:hyperlink>
    </w:p>
    <w:p w14:paraId="147C2349" w14:textId="3E7D82C8" w:rsidR="006A4412" w:rsidRDefault="006A4412">
      <w:pPr>
        <w:pStyle w:val="TOC2"/>
        <w:rPr>
          <w:rFonts w:asciiTheme="minorHAnsi" w:hAnsiTheme="minorHAnsi"/>
          <w:noProof/>
          <w:kern w:val="2"/>
          <w:sz w:val="24"/>
          <w:szCs w:val="24"/>
          <w14:ligatures w14:val="standardContextual"/>
        </w:rPr>
      </w:pPr>
      <w:hyperlink w:anchor="_Toc236903459" w:history="1">
        <w:r w:rsidRPr="00FB393E">
          <w:rPr>
            <w:rStyle w:val="Hyperlink"/>
            <w:noProof/>
          </w:rPr>
          <w:t>C.</w:t>
        </w:r>
        <w:r>
          <w:rPr>
            <w:rFonts w:asciiTheme="minorHAnsi" w:hAnsiTheme="minorHAnsi"/>
            <w:noProof/>
            <w:kern w:val="2"/>
            <w:sz w:val="24"/>
            <w:szCs w:val="24"/>
            <w14:ligatures w14:val="standardContextual"/>
          </w:rPr>
          <w:tab/>
        </w:r>
        <w:r w:rsidRPr="00FB393E">
          <w:rPr>
            <w:rStyle w:val="Hyperlink"/>
            <w:noProof/>
          </w:rPr>
          <w:t>Minimizing Unnecessary or Ineffective Actions</w:t>
        </w:r>
        <w:r>
          <w:rPr>
            <w:noProof/>
            <w:webHidden/>
          </w:rPr>
          <w:tab/>
        </w:r>
        <w:r>
          <w:rPr>
            <w:noProof/>
            <w:webHidden/>
          </w:rPr>
          <w:fldChar w:fldCharType="begin"/>
        </w:r>
        <w:r>
          <w:rPr>
            <w:noProof/>
            <w:webHidden/>
          </w:rPr>
          <w:instrText xml:space="preserve"> PAGEREF _Toc236903459 \h </w:instrText>
        </w:r>
        <w:r>
          <w:rPr>
            <w:noProof/>
            <w:webHidden/>
          </w:rPr>
        </w:r>
        <w:r>
          <w:rPr>
            <w:noProof/>
            <w:webHidden/>
          </w:rPr>
          <w:fldChar w:fldCharType="separate"/>
        </w:r>
        <w:r w:rsidR="002407AB">
          <w:rPr>
            <w:noProof/>
            <w:webHidden/>
          </w:rPr>
          <w:t>14</w:t>
        </w:r>
        <w:r>
          <w:rPr>
            <w:noProof/>
            <w:webHidden/>
          </w:rPr>
          <w:fldChar w:fldCharType="end"/>
        </w:r>
      </w:hyperlink>
    </w:p>
    <w:p w14:paraId="79626615" w14:textId="0AB2E915" w:rsidR="006A4412" w:rsidRDefault="006A4412">
      <w:pPr>
        <w:pStyle w:val="TOC1"/>
        <w:rPr>
          <w:rFonts w:asciiTheme="minorHAnsi" w:hAnsiTheme="minorHAnsi"/>
          <w:b w:val="0"/>
          <w:kern w:val="2"/>
          <w:sz w:val="24"/>
          <w:szCs w:val="24"/>
          <w14:ligatures w14:val="standardContextual"/>
        </w:rPr>
      </w:pPr>
      <w:hyperlink w:anchor="_Toc236903460" w:history="1">
        <w:r w:rsidRPr="00FB393E">
          <w:rPr>
            <w:rStyle w:val="Hyperlink"/>
          </w:rPr>
          <w:t>III.</w:t>
        </w:r>
        <w:r>
          <w:rPr>
            <w:rFonts w:asciiTheme="minorHAnsi" w:hAnsiTheme="minorHAnsi"/>
            <w:b w:val="0"/>
            <w:kern w:val="2"/>
            <w:sz w:val="24"/>
            <w:szCs w:val="24"/>
            <w14:ligatures w14:val="standardContextual"/>
          </w:rPr>
          <w:tab/>
        </w:r>
        <w:r w:rsidRPr="00FB393E">
          <w:rPr>
            <w:rStyle w:val="Hyperlink"/>
          </w:rPr>
          <w:t>Roles and Responsibilities</w:t>
        </w:r>
        <w:r>
          <w:rPr>
            <w:webHidden/>
          </w:rPr>
          <w:tab/>
        </w:r>
        <w:r>
          <w:rPr>
            <w:webHidden/>
          </w:rPr>
          <w:fldChar w:fldCharType="begin"/>
        </w:r>
        <w:r>
          <w:rPr>
            <w:webHidden/>
          </w:rPr>
          <w:instrText xml:space="preserve"> PAGEREF _Toc236903460 \h </w:instrText>
        </w:r>
        <w:r>
          <w:rPr>
            <w:webHidden/>
          </w:rPr>
        </w:r>
        <w:r>
          <w:rPr>
            <w:webHidden/>
          </w:rPr>
          <w:fldChar w:fldCharType="separate"/>
        </w:r>
        <w:r w:rsidR="002407AB">
          <w:rPr>
            <w:webHidden/>
          </w:rPr>
          <w:t>15</w:t>
        </w:r>
        <w:r>
          <w:rPr>
            <w:webHidden/>
          </w:rPr>
          <w:fldChar w:fldCharType="end"/>
        </w:r>
      </w:hyperlink>
    </w:p>
    <w:p w14:paraId="4EF3272B" w14:textId="1D80E3BE" w:rsidR="006A4412" w:rsidRDefault="006A4412">
      <w:pPr>
        <w:pStyle w:val="TOC2"/>
        <w:rPr>
          <w:rFonts w:asciiTheme="minorHAnsi" w:hAnsiTheme="minorHAnsi"/>
          <w:noProof/>
          <w:kern w:val="2"/>
          <w:sz w:val="24"/>
          <w:szCs w:val="24"/>
          <w14:ligatures w14:val="standardContextual"/>
        </w:rPr>
      </w:pPr>
      <w:hyperlink w:anchor="_Toc236903461" w:history="1">
        <w:r w:rsidRPr="00FB393E">
          <w:rPr>
            <w:rStyle w:val="Hyperlink"/>
            <w:noProof/>
          </w:rPr>
          <w:t>A.</w:t>
        </w:r>
        <w:r>
          <w:rPr>
            <w:rFonts w:asciiTheme="minorHAnsi" w:hAnsiTheme="minorHAnsi"/>
            <w:noProof/>
            <w:kern w:val="2"/>
            <w:sz w:val="24"/>
            <w:szCs w:val="24"/>
            <w14:ligatures w14:val="standardContextual"/>
          </w:rPr>
          <w:tab/>
        </w:r>
        <w:r w:rsidRPr="00FB393E">
          <w:rPr>
            <w:rStyle w:val="Hyperlink"/>
            <w:noProof/>
          </w:rPr>
          <w:t>TDPUD Roles and Responsibilities</w:t>
        </w:r>
        <w:r>
          <w:rPr>
            <w:noProof/>
            <w:webHidden/>
          </w:rPr>
          <w:tab/>
        </w:r>
        <w:r>
          <w:rPr>
            <w:noProof/>
            <w:webHidden/>
          </w:rPr>
          <w:fldChar w:fldCharType="begin"/>
        </w:r>
        <w:r>
          <w:rPr>
            <w:noProof/>
            <w:webHidden/>
          </w:rPr>
          <w:instrText xml:space="preserve"> PAGEREF _Toc236903461 \h </w:instrText>
        </w:r>
        <w:r>
          <w:rPr>
            <w:noProof/>
            <w:webHidden/>
          </w:rPr>
        </w:r>
        <w:r>
          <w:rPr>
            <w:noProof/>
            <w:webHidden/>
          </w:rPr>
          <w:fldChar w:fldCharType="separate"/>
        </w:r>
        <w:r w:rsidR="002407AB">
          <w:rPr>
            <w:noProof/>
            <w:webHidden/>
          </w:rPr>
          <w:t>15</w:t>
        </w:r>
        <w:r>
          <w:rPr>
            <w:noProof/>
            <w:webHidden/>
          </w:rPr>
          <w:fldChar w:fldCharType="end"/>
        </w:r>
      </w:hyperlink>
    </w:p>
    <w:p w14:paraId="61327A0E" w14:textId="459129B9" w:rsidR="006A4412" w:rsidRDefault="006A4412">
      <w:pPr>
        <w:pStyle w:val="TOC2"/>
        <w:rPr>
          <w:rFonts w:asciiTheme="minorHAnsi" w:hAnsiTheme="minorHAnsi"/>
          <w:noProof/>
          <w:kern w:val="2"/>
          <w:sz w:val="24"/>
          <w:szCs w:val="24"/>
          <w14:ligatures w14:val="standardContextual"/>
        </w:rPr>
      </w:pPr>
      <w:hyperlink w:anchor="_Toc236903462" w:history="1">
        <w:r w:rsidRPr="00FB393E">
          <w:rPr>
            <w:rStyle w:val="Hyperlink"/>
            <w:noProof/>
          </w:rPr>
          <w:t>B.</w:t>
        </w:r>
        <w:r>
          <w:rPr>
            <w:rFonts w:asciiTheme="minorHAnsi" w:hAnsiTheme="minorHAnsi"/>
            <w:noProof/>
            <w:kern w:val="2"/>
            <w:sz w:val="24"/>
            <w:szCs w:val="24"/>
            <w14:ligatures w14:val="standardContextual"/>
          </w:rPr>
          <w:tab/>
        </w:r>
        <w:r w:rsidRPr="00FB393E">
          <w:rPr>
            <w:rStyle w:val="Hyperlink"/>
            <w:noProof/>
          </w:rPr>
          <w:t>Coordination with Water Utilities/Department</w:t>
        </w:r>
        <w:r>
          <w:rPr>
            <w:noProof/>
            <w:webHidden/>
          </w:rPr>
          <w:tab/>
        </w:r>
        <w:r>
          <w:rPr>
            <w:noProof/>
            <w:webHidden/>
          </w:rPr>
          <w:fldChar w:fldCharType="begin"/>
        </w:r>
        <w:r>
          <w:rPr>
            <w:noProof/>
            <w:webHidden/>
          </w:rPr>
          <w:instrText xml:space="preserve"> PAGEREF _Toc236903462 \h </w:instrText>
        </w:r>
        <w:r>
          <w:rPr>
            <w:noProof/>
            <w:webHidden/>
          </w:rPr>
        </w:r>
        <w:r>
          <w:rPr>
            <w:noProof/>
            <w:webHidden/>
          </w:rPr>
          <w:fldChar w:fldCharType="separate"/>
        </w:r>
        <w:r w:rsidR="002407AB">
          <w:rPr>
            <w:noProof/>
            <w:webHidden/>
          </w:rPr>
          <w:t>16</w:t>
        </w:r>
        <w:r>
          <w:rPr>
            <w:noProof/>
            <w:webHidden/>
          </w:rPr>
          <w:fldChar w:fldCharType="end"/>
        </w:r>
      </w:hyperlink>
    </w:p>
    <w:p w14:paraId="68815854" w14:textId="5ED3C1ED" w:rsidR="006A4412" w:rsidRDefault="006A4412">
      <w:pPr>
        <w:pStyle w:val="TOC2"/>
        <w:rPr>
          <w:rFonts w:asciiTheme="minorHAnsi" w:hAnsiTheme="minorHAnsi"/>
          <w:noProof/>
          <w:kern w:val="2"/>
          <w:sz w:val="24"/>
          <w:szCs w:val="24"/>
          <w14:ligatures w14:val="standardContextual"/>
        </w:rPr>
      </w:pPr>
      <w:hyperlink w:anchor="_Toc236903463" w:history="1">
        <w:r w:rsidRPr="00FB393E">
          <w:rPr>
            <w:rStyle w:val="Hyperlink"/>
            <w:noProof/>
          </w:rPr>
          <w:t>C.</w:t>
        </w:r>
        <w:r>
          <w:rPr>
            <w:rFonts w:asciiTheme="minorHAnsi" w:hAnsiTheme="minorHAnsi"/>
            <w:noProof/>
            <w:kern w:val="2"/>
            <w:sz w:val="24"/>
            <w:szCs w:val="24"/>
            <w14:ligatures w14:val="standardContextual"/>
          </w:rPr>
          <w:tab/>
        </w:r>
        <w:r w:rsidRPr="00FB393E">
          <w:rPr>
            <w:rStyle w:val="Hyperlink"/>
            <w:noProof/>
          </w:rPr>
          <w:t>Coordination with Communication Infrastructure Providers</w:t>
        </w:r>
        <w:r>
          <w:rPr>
            <w:noProof/>
            <w:webHidden/>
          </w:rPr>
          <w:tab/>
        </w:r>
        <w:r>
          <w:rPr>
            <w:noProof/>
            <w:webHidden/>
          </w:rPr>
          <w:fldChar w:fldCharType="begin"/>
        </w:r>
        <w:r>
          <w:rPr>
            <w:noProof/>
            <w:webHidden/>
          </w:rPr>
          <w:instrText xml:space="preserve"> PAGEREF _Toc236903463 \h </w:instrText>
        </w:r>
        <w:r>
          <w:rPr>
            <w:noProof/>
            <w:webHidden/>
          </w:rPr>
        </w:r>
        <w:r>
          <w:rPr>
            <w:noProof/>
            <w:webHidden/>
          </w:rPr>
          <w:fldChar w:fldCharType="separate"/>
        </w:r>
        <w:r w:rsidR="002407AB">
          <w:rPr>
            <w:noProof/>
            <w:webHidden/>
          </w:rPr>
          <w:t>17</w:t>
        </w:r>
        <w:r>
          <w:rPr>
            <w:noProof/>
            <w:webHidden/>
          </w:rPr>
          <w:fldChar w:fldCharType="end"/>
        </w:r>
      </w:hyperlink>
    </w:p>
    <w:p w14:paraId="45268846" w14:textId="7757E0EB" w:rsidR="006A4412" w:rsidRDefault="006A4412">
      <w:pPr>
        <w:pStyle w:val="TOC2"/>
        <w:rPr>
          <w:rFonts w:asciiTheme="minorHAnsi" w:hAnsiTheme="minorHAnsi"/>
          <w:noProof/>
          <w:kern w:val="2"/>
          <w:sz w:val="24"/>
          <w:szCs w:val="24"/>
          <w14:ligatures w14:val="standardContextual"/>
        </w:rPr>
      </w:pPr>
      <w:hyperlink w:anchor="_Toc236903464" w:history="1">
        <w:r w:rsidRPr="00FB393E">
          <w:rPr>
            <w:rStyle w:val="Hyperlink"/>
            <w:noProof/>
          </w:rPr>
          <w:t>D.</w:t>
        </w:r>
        <w:r>
          <w:rPr>
            <w:rFonts w:asciiTheme="minorHAnsi" w:hAnsiTheme="minorHAnsi"/>
            <w:noProof/>
            <w:kern w:val="2"/>
            <w:sz w:val="24"/>
            <w:szCs w:val="24"/>
            <w14:ligatures w14:val="standardContextual"/>
          </w:rPr>
          <w:tab/>
        </w:r>
        <w:r w:rsidRPr="00FB393E">
          <w:rPr>
            <w:rStyle w:val="Hyperlink"/>
            <w:noProof/>
          </w:rPr>
          <w:t>Standardized Emergency Management System</w:t>
        </w:r>
        <w:r>
          <w:rPr>
            <w:noProof/>
            <w:webHidden/>
          </w:rPr>
          <w:tab/>
        </w:r>
        <w:r>
          <w:rPr>
            <w:noProof/>
            <w:webHidden/>
          </w:rPr>
          <w:fldChar w:fldCharType="begin"/>
        </w:r>
        <w:r>
          <w:rPr>
            <w:noProof/>
            <w:webHidden/>
          </w:rPr>
          <w:instrText xml:space="preserve"> PAGEREF _Toc236903464 \h </w:instrText>
        </w:r>
        <w:r>
          <w:rPr>
            <w:noProof/>
            <w:webHidden/>
          </w:rPr>
        </w:r>
        <w:r>
          <w:rPr>
            <w:noProof/>
            <w:webHidden/>
          </w:rPr>
          <w:fldChar w:fldCharType="separate"/>
        </w:r>
        <w:r w:rsidR="002407AB">
          <w:rPr>
            <w:noProof/>
            <w:webHidden/>
          </w:rPr>
          <w:t>17</w:t>
        </w:r>
        <w:r>
          <w:rPr>
            <w:noProof/>
            <w:webHidden/>
          </w:rPr>
          <w:fldChar w:fldCharType="end"/>
        </w:r>
      </w:hyperlink>
    </w:p>
    <w:p w14:paraId="7246C5A3" w14:textId="576C3CF1" w:rsidR="006A4412" w:rsidRDefault="006A4412">
      <w:pPr>
        <w:pStyle w:val="TOC1"/>
        <w:rPr>
          <w:rFonts w:asciiTheme="minorHAnsi" w:hAnsiTheme="minorHAnsi"/>
          <w:b w:val="0"/>
          <w:kern w:val="2"/>
          <w:sz w:val="24"/>
          <w:szCs w:val="24"/>
          <w14:ligatures w14:val="standardContextual"/>
        </w:rPr>
      </w:pPr>
      <w:hyperlink w:anchor="_Toc236903465" w:history="1">
        <w:r w:rsidRPr="00FB393E">
          <w:rPr>
            <w:rStyle w:val="Hyperlink"/>
          </w:rPr>
          <w:t>IV.</w:t>
        </w:r>
        <w:r>
          <w:rPr>
            <w:rFonts w:asciiTheme="minorHAnsi" w:hAnsiTheme="minorHAnsi"/>
            <w:b w:val="0"/>
            <w:kern w:val="2"/>
            <w:sz w:val="24"/>
            <w:szCs w:val="24"/>
            <w14:ligatures w14:val="standardContextual"/>
          </w:rPr>
          <w:tab/>
        </w:r>
        <w:r w:rsidRPr="00FB393E">
          <w:rPr>
            <w:rStyle w:val="Hyperlink"/>
          </w:rPr>
          <w:t>Wildfire Risks and Drivers</w:t>
        </w:r>
        <w:r>
          <w:rPr>
            <w:webHidden/>
          </w:rPr>
          <w:tab/>
        </w:r>
        <w:r>
          <w:rPr>
            <w:webHidden/>
          </w:rPr>
          <w:fldChar w:fldCharType="begin"/>
        </w:r>
        <w:r>
          <w:rPr>
            <w:webHidden/>
          </w:rPr>
          <w:instrText xml:space="preserve"> PAGEREF _Toc236903465 \h </w:instrText>
        </w:r>
        <w:r>
          <w:rPr>
            <w:webHidden/>
          </w:rPr>
        </w:r>
        <w:r>
          <w:rPr>
            <w:webHidden/>
          </w:rPr>
          <w:fldChar w:fldCharType="separate"/>
        </w:r>
        <w:r w:rsidR="002407AB">
          <w:rPr>
            <w:webHidden/>
          </w:rPr>
          <w:t>19</w:t>
        </w:r>
        <w:r>
          <w:rPr>
            <w:webHidden/>
          </w:rPr>
          <w:fldChar w:fldCharType="end"/>
        </w:r>
      </w:hyperlink>
    </w:p>
    <w:p w14:paraId="2018E0BF" w14:textId="1391310A" w:rsidR="006A4412" w:rsidRDefault="006A4412">
      <w:pPr>
        <w:pStyle w:val="TOC2"/>
        <w:rPr>
          <w:rFonts w:asciiTheme="minorHAnsi" w:hAnsiTheme="minorHAnsi"/>
          <w:noProof/>
          <w:kern w:val="2"/>
          <w:sz w:val="24"/>
          <w:szCs w:val="24"/>
          <w14:ligatures w14:val="standardContextual"/>
        </w:rPr>
      </w:pPr>
      <w:hyperlink w:anchor="_Toc236903466" w:history="1">
        <w:r w:rsidRPr="00FB393E">
          <w:rPr>
            <w:rStyle w:val="Hyperlink"/>
            <w:noProof/>
          </w:rPr>
          <w:t>A.</w:t>
        </w:r>
        <w:r>
          <w:rPr>
            <w:rFonts w:asciiTheme="minorHAnsi" w:hAnsiTheme="minorHAnsi"/>
            <w:noProof/>
            <w:kern w:val="2"/>
            <w:sz w:val="24"/>
            <w:szCs w:val="24"/>
            <w14:ligatures w14:val="standardContextual"/>
          </w:rPr>
          <w:tab/>
        </w:r>
        <w:r w:rsidRPr="00FB393E">
          <w:rPr>
            <w:rStyle w:val="Hyperlink"/>
            <w:noProof/>
          </w:rPr>
          <w:t>Particular Risks and Drivers Associated with Design, Construction, Operation, and Maintenance</w:t>
        </w:r>
        <w:r>
          <w:rPr>
            <w:noProof/>
            <w:webHidden/>
          </w:rPr>
          <w:tab/>
        </w:r>
        <w:r>
          <w:rPr>
            <w:noProof/>
            <w:webHidden/>
          </w:rPr>
          <w:fldChar w:fldCharType="begin"/>
        </w:r>
        <w:r>
          <w:rPr>
            <w:noProof/>
            <w:webHidden/>
          </w:rPr>
          <w:instrText xml:space="preserve"> PAGEREF _Toc236903466 \h </w:instrText>
        </w:r>
        <w:r>
          <w:rPr>
            <w:noProof/>
            <w:webHidden/>
          </w:rPr>
        </w:r>
        <w:r>
          <w:rPr>
            <w:noProof/>
            <w:webHidden/>
          </w:rPr>
          <w:fldChar w:fldCharType="separate"/>
        </w:r>
        <w:r w:rsidR="002407AB">
          <w:rPr>
            <w:noProof/>
            <w:webHidden/>
          </w:rPr>
          <w:t>19</w:t>
        </w:r>
        <w:r>
          <w:rPr>
            <w:noProof/>
            <w:webHidden/>
          </w:rPr>
          <w:fldChar w:fldCharType="end"/>
        </w:r>
      </w:hyperlink>
    </w:p>
    <w:p w14:paraId="7572D3D4" w14:textId="2BE056D7" w:rsidR="006A4412" w:rsidRDefault="006A4412">
      <w:pPr>
        <w:pStyle w:val="TOC2"/>
        <w:rPr>
          <w:rFonts w:asciiTheme="minorHAnsi" w:hAnsiTheme="minorHAnsi"/>
          <w:noProof/>
          <w:kern w:val="2"/>
          <w:sz w:val="24"/>
          <w:szCs w:val="24"/>
          <w14:ligatures w14:val="standardContextual"/>
        </w:rPr>
      </w:pPr>
      <w:hyperlink w:anchor="_Toc236903467" w:history="1">
        <w:r w:rsidRPr="00FB393E">
          <w:rPr>
            <w:rStyle w:val="Hyperlink"/>
            <w:noProof/>
          </w:rPr>
          <w:t>B.</w:t>
        </w:r>
        <w:r>
          <w:rPr>
            <w:rFonts w:asciiTheme="minorHAnsi" w:hAnsiTheme="minorHAnsi"/>
            <w:noProof/>
            <w:kern w:val="2"/>
            <w:sz w:val="24"/>
            <w:szCs w:val="24"/>
            <w14:ligatures w14:val="standardContextual"/>
          </w:rPr>
          <w:tab/>
        </w:r>
        <w:r w:rsidRPr="00FB393E">
          <w:rPr>
            <w:rStyle w:val="Hyperlink"/>
            <w:noProof/>
          </w:rPr>
          <w:t>Particular Risks and Risk Drivers Associated with Topographical and Climatological Risk Factors</w:t>
        </w:r>
        <w:r>
          <w:rPr>
            <w:noProof/>
            <w:webHidden/>
          </w:rPr>
          <w:tab/>
        </w:r>
        <w:r>
          <w:rPr>
            <w:noProof/>
            <w:webHidden/>
          </w:rPr>
          <w:fldChar w:fldCharType="begin"/>
        </w:r>
        <w:r>
          <w:rPr>
            <w:noProof/>
            <w:webHidden/>
          </w:rPr>
          <w:instrText xml:space="preserve"> PAGEREF _Toc236903467 \h </w:instrText>
        </w:r>
        <w:r>
          <w:rPr>
            <w:noProof/>
            <w:webHidden/>
          </w:rPr>
        </w:r>
        <w:r>
          <w:rPr>
            <w:noProof/>
            <w:webHidden/>
          </w:rPr>
          <w:fldChar w:fldCharType="separate"/>
        </w:r>
        <w:r w:rsidR="002407AB">
          <w:rPr>
            <w:noProof/>
            <w:webHidden/>
          </w:rPr>
          <w:t>20</w:t>
        </w:r>
        <w:r>
          <w:rPr>
            <w:noProof/>
            <w:webHidden/>
          </w:rPr>
          <w:fldChar w:fldCharType="end"/>
        </w:r>
      </w:hyperlink>
    </w:p>
    <w:p w14:paraId="5135610E" w14:textId="657322B5" w:rsidR="006A4412" w:rsidRDefault="006A4412">
      <w:pPr>
        <w:pStyle w:val="TOC3"/>
        <w:rPr>
          <w:rFonts w:asciiTheme="minorHAnsi" w:hAnsiTheme="minorHAnsi"/>
          <w:noProof/>
          <w:kern w:val="2"/>
          <w:sz w:val="24"/>
          <w:szCs w:val="24"/>
          <w14:ligatures w14:val="standardContextual"/>
        </w:rPr>
      </w:pPr>
      <w:hyperlink w:anchor="_Toc236903468" w:history="1">
        <w:r w:rsidRPr="00FB393E">
          <w:rPr>
            <w:rStyle w:val="Hyperlink"/>
            <w:noProof/>
          </w:rPr>
          <w:t>Climate Change</w:t>
        </w:r>
        <w:r>
          <w:rPr>
            <w:noProof/>
            <w:webHidden/>
          </w:rPr>
          <w:tab/>
        </w:r>
        <w:r>
          <w:rPr>
            <w:noProof/>
            <w:webHidden/>
          </w:rPr>
          <w:fldChar w:fldCharType="begin"/>
        </w:r>
        <w:r>
          <w:rPr>
            <w:noProof/>
            <w:webHidden/>
          </w:rPr>
          <w:instrText xml:space="preserve"> PAGEREF _Toc236903468 \h </w:instrText>
        </w:r>
        <w:r>
          <w:rPr>
            <w:noProof/>
            <w:webHidden/>
          </w:rPr>
        </w:r>
        <w:r>
          <w:rPr>
            <w:noProof/>
            <w:webHidden/>
          </w:rPr>
          <w:fldChar w:fldCharType="separate"/>
        </w:r>
        <w:r w:rsidR="002407AB">
          <w:rPr>
            <w:noProof/>
            <w:webHidden/>
          </w:rPr>
          <w:t>20</w:t>
        </w:r>
        <w:r>
          <w:rPr>
            <w:noProof/>
            <w:webHidden/>
          </w:rPr>
          <w:fldChar w:fldCharType="end"/>
        </w:r>
      </w:hyperlink>
    </w:p>
    <w:p w14:paraId="07D92570" w14:textId="7112925D" w:rsidR="006A4412" w:rsidRDefault="006A4412">
      <w:pPr>
        <w:pStyle w:val="TOC2"/>
        <w:rPr>
          <w:rFonts w:asciiTheme="minorHAnsi" w:hAnsiTheme="minorHAnsi"/>
          <w:noProof/>
          <w:kern w:val="2"/>
          <w:sz w:val="24"/>
          <w:szCs w:val="24"/>
          <w14:ligatures w14:val="standardContextual"/>
        </w:rPr>
      </w:pPr>
      <w:hyperlink w:anchor="_Toc236903469" w:history="1">
        <w:r w:rsidRPr="00FB393E">
          <w:rPr>
            <w:rStyle w:val="Hyperlink"/>
            <w:noProof/>
          </w:rPr>
          <w:t>C.</w:t>
        </w:r>
        <w:r>
          <w:rPr>
            <w:rFonts w:asciiTheme="minorHAnsi" w:hAnsiTheme="minorHAnsi"/>
            <w:noProof/>
            <w:kern w:val="2"/>
            <w:sz w:val="24"/>
            <w:szCs w:val="24"/>
            <w14:ligatures w14:val="standardContextual"/>
          </w:rPr>
          <w:tab/>
        </w:r>
        <w:r w:rsidRPr="00FB393E">
          <w:rPr>
            <w:rStyle w:val="Hyperlink"/>
            <w:noProof/>
          </w:rPr>
          <w:t>Enterprise-Wide Safety Risks</w:t>
        </w:r>
        <w:r>
          <w:rPr>
            <w:noProof/>
            <w:webHidden/>
          </w:rPr>
          <w:tab/>
        </w:r>
        <w:r>
          <w:rPr>
            <w:noProof/>
            <w:webHidden/>
          </w:rPr>
          <w:fldChar w:fldCharType="begin"/>
        </w:r>
        <w:r>
          <w:rPr>
            <w:noProof/>
            <w:webHidden/>
          </w:rPr>
          <w:instrText xml:space="preserve"> PAGEREF _Toc236903469 \h </w:instrText>
        </w:r>
        <w:r>
          <w:rPr>
            <w:noProof/>
            <w:webHidden/>
          </w:rPr>
        </w:r>
        <w:r>
          <w:rPr>
            <w:noProof/>
            <w:webHidden/>
          </w:rPr>
          <w:fldChar w:fldCharType="separate"/>
        </w:r>
        <w:r w:rsidR="002407AB">
          <w:rPr>
            <w:noProof/>
            <w:webHidden/>
          </w:rPr>
          <w:t>21</w:t>
        </w:r>
        <w:r>
          <w:rPr>
            <w:noProof/>
            <w:webHidden/>
          </w:rPr>
          <w:fldChar w:fldCharType="end"/>
        </w:r>
      </w:hyperlink>
    </w:p>
    <w:p w14:paraId="307DFAE0" w14:textId="5FD6E504" w:rsidR="006A4412" w:rsidRDefault="006A4412">
      <w:pPr>
        <w:pStyle w:val="TOC2"/>
        <w:rPr>
          <w:rFonts w:asciiTheme="minorHAnsi" w:hAnsiTheme="minorHAnsi"/>
          <w:noProof/>
          <w:kern w:val="2"/>
          <w:sz w:val="24"/>
          <w:szCs w:val="24"/>
          <w14:ligatures w14:val="standardContextual"/>
        </w:rPr>
      </w:pPr>
      <w:hyperlink w:anchor="_Toc236903470" w:history="1">
        <w:r w:rsidRPr="00FB393E">
          <w:rPr>
            <w:rStyle w:val="Hyperlink"/>
            <w:noProof/>
          </w:rPr>
          <w:t>D.</w:t>
        </w:r>
        <w:r>
          <w:rPr>
            <w:rFonts w:asciiTheme="minorHAnsi" w:hAnsiTheme="minorHAnsi"/>
            <w:noProof/>
            <w:kern w:val="2"/>
            <w:sz w:val="24"/>
            <w:szCs w:val="24"/>
            <w14:ligatures w14:val="standardContextual"/>
          </w:rPr>
          <w:tab/>
        </w:r>
        <w:r w:rsidRPr="00FB393E">
          <w:rPr>
            <w:rStyle w:val="Hyperlink"/>
            <w:noProof/>
          </w:rPr>
          <w:t>Changes to the CPUC Fire Threat Map</w:t>
        </w:r>
        <w:r>
          <w:rPr>
            <w:noProof/>
            <w:webHidden/>
          </w:rPr>
          <w:tab/>
        </w:r>
        <w:r>
          <w:rPr>
            <w:noProof/>
            <w:webHidden/>
          </w:rPr>
          <w:fldChar w:fldCharType="begin"/>
        </w:r>
        <w:r>
          <w:rPr>
            <w:noProof/>
            <w:webHidden/>
          </w:rPr>
          <w:instrText xml:space="preserve"> PAGEREF _Toc236903470 \h </w:instrText>
        </w:r>
        <w:r>
          <w:rPr>
            <w:noProof/>
            <w:webHidden/>
          </w:rPr>
        </w:r>
        <w:r>
          <w:rPr>
            <w:noProof/>
            <w:webHidden/>
          </w:rPr>
          <w:fldChar w:fldCharType="separate"/>
        </w:r>
        <w:r w:rsidR="002407AB">
          <w:rPr>
            <w:noProof/>
            <w:webHidden/>
          </w:rPr>
          <w:t>21</w:t>
        </w:r>
        <w:r>
          <w:rPr>
            <w:noProof/>
            <w:webHidden/>
          </w:rPr>
          <w:fldChar w:fldCharType="end"/>
        </w:r>
      </w:hyperlink>
    </w:p>
    <w:p w14:paraId="6C0E3E43" w14:textId="32BD418E" w:rsidR="006A4412" w:rsidRDefault="006A4412">
      <w:pPr>
        <w:pStyle w:val="TOC1"/>
        <w:rPr>
          <w:rFonts w:asciiTheme="minorHAnsi" w:hAnsiTheme="minorHAnsi"/>
          <w:b w:val="0"/>
          <w:kern w:val="2"/>
          <w:sz w:val="24"/>
          <w:szCs w:val="24"/>
          <w14:ligatures w14:val="standardContextual"/>
        </w:rPr>
      </w:pPr>
      <w:hyperlink w:anchor="_Toc236903471" w:history="1">
        <w:r w:rsidRPr="00FB393E">
          <w:rPr>
            <w:rStyle w:val="Hyperlink"/>
          </w:rPr>
          <w:t>V.</w:t>
        </w:r>
        <w:r>
          <w:rPr>
            <w:rFonts w:asciiTheme="minorHAnsi" w:hAnsiTheme="minorHAnsi"/>
            <w:b w:val="0"/>
            <w:kern w:val="2"/>
            <w:sz w:val="24"/>
            <w:szCs w:val="24"/>
            <w14:ligatures w14:val="standardContextual"/>
          </w:rPr>
          <w:tab/>
        </w:r>
        <w:r w:rsidRPr="00FB393E">
          <w:rPr>
            <w:rStyle w:val="Hyperlink"/>
          </w:rPr>
          <w:t>Wildfire Preventative Strategies</w:t>
        </w:r>
        <w:r>
          <w:rPr>
            <w:webHidden/>
          </w:rPr>
          <w:tab/>
        </w:r>
        <w:r>
          <w:rPr>
            <w:webHidden/>
          </w:rPr>
          <w:fldChar w:fldCharType="begin"/>
        </w:r>
        <w:r>
          <w:rPr>
            <w:webHidden/>
          </w:rPr>
          <w:instrText xml:space="preserve"> PAGEREF _Toc236903471 \h </w:instrText>
        </w:r>
        <w:r>
          <w:rPr>
            <w:webHidden/>
          </w:rPr>
        </w:r>
        <w:r>
          <w:rPr>
            <w:webHidden/>
          </w:rPr>
          <w:fldChar w:fldCharType="separate"/>
        </w:r>
        <w:r w:rsidR="002407AB">
          <w:rPr>
            <w:webHidden/>
          </w:rPr>
          <w:t>22</w:t>
        </w:r>
        <w:r>
          <w:rPr>
            <w:webHidden/>
          </w:rPr>
          <w:fldChar w:fldCharType="end"/>
        </w:r>
      </w:hyperlink>
    </w:p>
    <w:p w14:paraId="797776D7" w14:textId="11D0DD62" w:rsidR="006A4412" w:rsidRDefault="006A4412">
      <w:pPr>
        <w:pStyle w:val="TOC2"/>
        <w:rPr>
          <w:rFonts w:asciiTheme="minorHAnsi" w:hAnsiTheme="minorHAnsi"/>
          <w:noProof/>
          <w:kern w:val="2"/>
          <w:sz w:val="24"/>
          <w:szCs w:val="24"/>
          <w14:ligatures w14:val="standardContextual"/>
        </w:rPr>
      </w:pPr>
      <w:hyperlink w:anchor="_Toc236903472" w:history="1">
        <w:r w:rsidRPr="00FB393E">
          <w:rPr>
            <w:rStyle w:val="Hyperlink"/>
            <w:noProof/>
          </w:rPr>
          <w:t>A.</w:t>
        </w:r>
        <w:r>
          <w:rPr>
            <w:rFonts w:asciiTheme="minorHAnsi" w:hAnsiTheme="minorHAnsi"/>
            <w:noProof/>
            <w:kern w:val="2"/>
            <w:sz w:val="24"/>
            <w:szCs w:val="24"/>
            <w14:ligatures w14:val="standardContextual"/>
          </w:rPr>
          <w:tab/>
        </w:r>
        <w:r w:rsidRPr="00FB393E">
          <w:rPr>
            <w:rStyle w:val="Hyperlink"/>
            <w:noProof/>
          </w:rPr>
          <w:t>High Fire Threat Map for TDPUD</w:t>
        </w:r>
        <w:r>
          <w:rPr>
            <w:noProof/>
            <w:webHidden/>
          </w:rPr>
          <w:tab/>
        </w:r>
        <w:r>
          <w:rPr>
            <w:noProof/>
            <w:webHidden/>
          </w:rPr>
          <w:fldChar w:fldCharType="begin"/>
        </w:r>
        <w:r>
          <w:rPr>
            <w:noProof/>
            <w:webHidden/>
          </w:rPr>
          <w:instrText xml:space="preserve"> PAGEREF _Toc236903472 \h </w:instrText>
        </w:r>
        <w:r>
          <w:rPr>
            <w:noProof/>
            <w:webHidden/>
          </w:rPr>
        </w:r>
        <w:r>
          <w:rPr>
            <w:noProof/>
            <w:webHidden/>
          </w:rPr>
          <w:fldChar w:fldCharType="separate"/>
        </w:r>
        <w:r w:rsidR="002407AB">
          <w:rPr>
            <w:noProof/>
            <w:webHidden/>
          </w:rPr>
          <w:t>22</w:t>
        </w:r>
        <w:r>
          <w:rPr>
            <w:noProof/>
            <w:webHidden/>
          </w:rPr>
          <w:fldChar w:fldCharType="end"/>
        </w:r>
      </w:hyperlink>
    </w:p>
    <w:p w14:paraId="77170286" w14:textId="1790904D" w:rsidR="006A4412" w:rsidRDefault="006A4412">
      <w:pPr>
        <w:pStyle w:val="TOC2"/>
        <w:rPr>
          <w:rFonts w:asciiTheme="minorHAnsi" w:hAnsiTheme="minorHAnsi"/>
          <w:noProof/>
          <w:kern w:val="2"/>
          <w:sz w:val="24"/>
          <w:szCs w:val="24"/>
          <w14:ligatures w14:val="standardContextual"/>
        </w:rPr>
      </w:pPr>
      <w:hyperlink w:anchor="_Toc236903473" w:history="1">
        <w:r w:rsidRPr="00FB393E">
          <w:rPr>
            <w:rStyle w:val="Hyperlink"/>
            <w:noProof/>
          </w:rPr>
          <w:t>B.</w:t>
        </w:r>
        <w:r>
          <w:rPr>
            <w:rFonts w:asciiTheme="minorHAnsi" w:hAnsiTheme="minorHAnsi"/>
            <w:noProof/>
            <w:kern w:val="2"/>
            <w:sz w:val="24"/>
            <w:szCs w:val="24"/>
            <w14:ligatures w14:val="standardContextual"/>
          </w:rPr>
          <w:tab/>
        </w:r>
        <w:r w:rsidRPr="00FB393E">
          <w:rPr>
            <w:rStyle w:val="Hyperlink"/>
            <w:noProof/>
          </w:rPr>
          <w:t>Weather Monitoring</w:t>
        </w:r>
        <w:r>
          <w:rPr>
            <w:noProof/>
            <w:webHidden/>
          </w:rPr>
          <w:tab/>
        </w:r>
        <w:r>
          <w:rPr>
            <w:noProof/>
            <w:webHidden/>
          </w:rPr>
          <w:fldChar w:fldCharType="begin"/>
        </w:r>
        <w:r>
          <w:rPr>
            <w:noProof/>
            <w:webHidden/>
          </w:rPr>
          <w:instrText xml:space="preserve"> PAGEREF _Toc236903473 \h </w:instrText>
        </w:r>
        <w:r>
          <w:rPr>
            <w:noProof/>
            <w:webHidden/>
          </w:rPr>
        </w:r>
        <w:r>
          <w:rPr>
            <w:noProof/>
            <w:webHidden/>
          </w:rPr>
          <w:fldChar w:fldCharType="separate"/>
        </w:r>
        <w:r w:rsidR="002407AB">
          <w:rPr>
            <w:noProof/>
            <w:webHidden/>
          </w:rPr>
          <w:t>22</w:t>
        </w:r>
        <w:r>
          <w:rPr>
            <w:noProof/>
            <w:webHidden/>
          </w:rPr>
          <w:fldChar w:fldCharType="end"/>
        </w:r>
      </w:hyperlink>
    </w:p>
    <w:p w14:paraId="48C8C896" w14:textId="3B4912B8" w:rsidR="006A4412" w:rsidRDefault="006A4412">
      <w:pPr>
        <w:pStyle w:val="TOC2"/>
        <w:rPr>
          <w:rFonts w:asciiTheme="minorHAnsi" w:hAnsiTheme="minorHAnsi"/>
          <w:noProof/>
          <w:kern w:val="2"/>
          <w:sz w:val="24"/>
          <w:szCs w:val="24"/>
          <w14:ligatures w14:val="standardContextual"/>
        </w:rPr>
      </w:pPr>
      <w:hyperlink w:anchor="_Toc236903474" w:history="1">
        <w:r w:rsidRPr="00FB393E">
          <w:rPr>
            <w:rStyle w:val="Hyperlink"/>
            <w:noProof/>
          </w:rPr>
          <w:t>C.</w:t>
        </w:r>
        <w:r>
          <w:rPr>
            <w:rFonts w:asciiTheme="minorHAnsi" w:hAnsiTheme="minorHAnsi"/>
            <w:noProof/>
            <w:kern w:val="2"/>
            <w:sz w:val="24"/>
            <w:szCs w:val="24"/>
            <w14:ligatures w14:val="standardContextual"/>
          </w:rPr>
          <w:tab/>
        </w:r>
        <w:r w:rsidRPr="00FB393E">
          <w:rPr>
            <w:rStyle w:val="Hyperlink"/>
            <w:noProof/>
          </w:rPr>
          <w:t>Design and Construction Standards</w:t>
        </w:r>
        <w:r>
          <w:rPr>
            <w:noProof/>
            <w:webHidden/>
          </w:rPr>
          <w:tab/>
        </w:r>
        <w:r>
          <w:rPr>
            <w:noProof/>
            <w:webHidden/>
          </w:rPr>
          <w:fldChar w:fldCharType="begin"/>
        </w:r>
        <w:r>
          <w:rPr>
            <w:noProof/>
            <w:webHidden/>
          </w:rPr>
          <w:instrText xml:space="preserve"> PAGEREF _Toc236903474 \h </w:instrText>
        </w:r>
        <w:r>
          <w:rPr>
            <w:noProof/>
            <w:webHidden/>
          </w:rPr>
        </w:r>
        <w:r>
          <w:rPr>
            <w:noProof/>
            <w:webHidden/>
          </w:rPr>
          <w:fldChar w:fldCharType="separate"/>
        </w:r>
        <w:r w:rsidR="002407AB">
          <w:rPr>
            <w:noProof/>
            <w:webHidden/>
          </w:rPr>
          <w:t>23</w:t>
        </w:r>
        <w:r>
          <w:rPr>
            <w:noProof/>
            <w:webHidden/>
          </w:rPr>
          <w:fldChar w:fldCharType="end"/>
        </w:r>
      </w:hyperlink>
    </w:p>
    <w:p w14:paraId="59C410B6" w14:textId="65A427F3" w:rsidR="006A4412" w:rsidRDefault="006A4412">
      <w:pPr>
        <w:pStyle w:val="TOC3"/>
        <w:rPr>
          <w:rFonts w:asciiTheme="minorHAnsi" w:hAnsiTheme="minorHAnsi"/>
          <w:noProof/>
          <w:kern w:val="2"/>
          <w:sz w:val="24"/>
          <w:szCs w:val="24"/>
          <w14:ligatures w14:val="standardContextual"/>
        </w:rPr>
      </w:pPr>
      <w:hyperlink w:anchor="_Toc236903475" w:history="1">
        <w:r w:rsidRPr="00FB393E">
          <w:rPr>
            <w:rStyle w:val="Hyperlink"/>
            <w:noProof/>
          </w:rPr>
          <w:t>System Hardening Program</w:t>
        </w:r>
        <w:r>
          <w:rPr>
            <w:noProof/>
            <w:webHidden/>
          </w:rPr>
          <w:tab/>
        </w:r>
        <w:r>
          <w:rPr>
            <w:noProof/>
            <w:webHidden/>
          </w:rPr>
          <w:fldChar w:fldCharType="begin"/>
        </w:r>
        <w:r>
          <w:rPr>
            <w:noProof/>
            <w:webHidden/>
          </w:rPr>
          <w:instrText xml:space="preserve"> PAGEREF _Toc236903475 \h </w:instrText>
        </w:r>
        <w:r>
          <w:rPr>
            <w:noProof/>
            <w:webHidden/>
          </w:rPr>
        </w:r>
        <w:r>
          <w:rPr>
            <w:noProof/>
            <w:webHidden/>
          </w:rPr>
          <w:fldChar w:fldCharType="separate"/>
        </w:r>
        <w:r w:rsidR="002407AB">
          <w:rPr>
            <w:noProof/>
            <w:webHidden/>
          </w:rPr>
          <w:t>24</w:t>
        </w:r>
        <w:r>
          <w:rPr>
            <w:noProof/>
            <w:webHidden/>
          </w:rPr>
          <w:fldChar w:fldCharType="end"/>
        </w:r>
      </w:hyperlink>
    </w:p>
    <w:p w14:paraId="51C1F760" w14:textId="68FDE70B" w:rsidR="006A4412" w:rsidRDefault="006A4412">
      <w:pPr>
        <w:pStyle w:val="TOC3"/>
        <w:rPr>
          <w:rFonts w:asciiTheme="minorHAnsi" w:hAnsiTheme="minorHAnsi"/>
          <w:noProof/>
          <w:kern w:val="2"/>
          <w:sz w:val="24"/>
          <w:szCs w:val="24"/>
          <w14:ligatures w14:val="standardContextual"/>
        </w:rPr>
      </w:pPr>
      <w:hyperlink w:anchor="_Toc236903476" w:history="1">
        <w:r w:rsidRPr="00FB393E">
          <w:rPr>
            <w:rStyle w:val="Hyperlink"/>
            <w:noProof/>
          </w:rPr>
          <w:t>Non-Expulsion Current-Limiting Fuses</w:t>
        </w:r>
        <w:r>
          <w:rPr>
            <w:noProof/>
            <w:webHidden/>
          </w:rPr>
          <w:tab/>
        </w:r>
        <w:r>
          <w:rPr>
            <w:noProof/>
            <w:webHidden/>
          </w:rPr>
          <w:fldChar w:fldCharType="begin"/>
        </w:r>
        <w:r>
          <w:rPr>
            <w:noProof/>
            <w:webHidden/>
          </w:rPr>
          <w:instrText xml:space="preserve"> PAGEREF _Toc236903476 \h </w:instrText>
        </w:r>
        <w:r>
          <w:rPr>
            <w:noProof/>
            <w:webHidden/>
          </w:rPr>
        </w:r>
        <w:r>
          <w:rPr>
            <w:noProof/>
            <w:webHidden/>
          </w:rPr>
          <w:fldChar w:fldCharType="separate"/>
        </w:r>
        <w:r w:rsidR="002407AB">
          <w:rPr>
            <w:noProof/>
            <w:webHidden/>
          </w:rPr>
          <w:t>24</w:t>
        </w:r>
        <w:r>
          <w:rPr>
            <w:noProof/>
            <w:webHidden/>
          </w:rPr>
          <w:fldChar w:fldCharType="end"/>
        </w:r>
      </w:hyperlink>
    </w:p>
    <w:p w14:paraId="193BEEE0" w14:textId="564C7614" w:rsidR="006A4412" w:rsidRDefault="006A4412">
      <w:pPr>
        <w:pStyle w:val="TOC3"/>
        <w:rPr>
          <w:rFonts w:asciiTheme="minorHAnsi" w:hAnsiTheme="minorHAnsi"/>
          <w:noProof/>
          <w:kern w:val="2"/>
          <w:sz w:val="24"/>
          <w:szCs w:val="24"/>
          <w14:ligatures w14:val="standardContextual"/>
        </w:rPr>
      </w:pPr>
      <w:hyperlink w:anchor="_Toc236903477" w:history="1">
        <w:r w:rsidRPr="00FB393E">
          <w:rPr>
            <w:rStyle w:val="Hyperlink"/>
            <w:noProof/>
          </w:rPr>
          <w:t>Fr3 Insulating Fluid</w:t>
        </w:r>
        <w:r>
          <w:rPr>
            <w:noProof/>
            <w:webHidden/>
          </w:rPr>
          <w:tab/>
        </w:r>
        <w:r>
          <w:rPr>
            <w:noProof/>
            <w:webHidden/>
          </w:rPr>
          <w:fldChar w:fldCharType="begin"/>
        </w:r>
        <w:r>
          <w:rPr>
            <w:noProof/>
            <w:webHidden/>
          </w:rPr>
          <w:instrText xml:space="preserve"> PAGEREF _Toc236903477 \h </w:instrText>
        </w:r>
        <w:r>
          <w:rPr>
            <w:noProof/>
            <w:webHidden/>
          </w:rPr>
        </w:r>
        <w:r>
          <w:rPr>
            <w:noProof/>
            <w:webHidden/>
          </w:rPr>
          <w:fldChar w:fldCharType="separate"/>
        </w:r>
        <w:r w:rsidR="002407AB">
          <w:rPr>
            <w:noProof/>
            <w:webHidden/>
          </w:rPr>
          <w:t>24</w:t>
        </w:r>
        <w:r>
          <w:rPr>
            <w:noProof/>
            <w:webHidden/>
          </w:rPr>
          <w:fldChar w:fldCharType="end"/>
        </w:r>
      </w:hyperlink>
    </w:p>
    <w:p w14:paraId="2B47C86A" w14:textId="0D0C2BFF" w:rsidR="006A4412" w:rsidRDefault="006A4412">
      <w:pPr>
        <w:pStyle w:val="TOC3"/>
        <w:rPr>
          <w:rFonts w:asciiTheme="minorHAnsi" w:hAnsiTheme="minorHAnsi"/>
          <w:noProof/>
          <w:kern w:val="2"/>
          <w:sz w:val="24"/>
          <w:szCs w:val="24"/>
          <w14:ligatures w14:val="standardContextual"/>
        </w:rPr>
      </w:pPr>
      <w:hyperlink w:anchor="_Toc236903478" w:history="1">
        <w:r w:rsidRPr="00FB393E">
          <w:rPr>
            <w:rStyle w:val="Hyperlink"/>
            <w:noProof/>
          </w:rPr>
          <w:t>Covered Primary Jumper Wire And Conductors</w:t>
        </w:r>
        <w:r>
          <w:rPr>
            <w:noProof/>
            <w:webHidden/>
          </w:rPr>
          <w:tab/>
        </w:r>
        <w:r>
          <w:rPr>
            <w:noProof/>
            <w:webHidden/>
          </w:rPr>
          <w:fldChar w:fldCharType="begin"/>
        </w:r>
        <w:r>
          <w:rPr>
            <w:noProof/>
            <w:webHidden/>
          </w:rPr>
          <w:instrText xml:space="preserve"> PAGEREF _Toc236903478 \h </w:instrText>
        </w:r>
        <w:r>
          <w:rPr>
            <w:noProof/>
            <w:webHidden/>
          </w:rPr>
        </w:r>
        <w:r>
          <w:rPr>
            <w:noProof/>
            <w:webHidden/>
          </w:rPr>
          <w:fldChar w:fldCharType="separate"/>
        </w:r>
        <w:r w:rsidR="002407AB">
          <w:rPr>
            <w:noProof/>
            <w:webHidden/>
          </w:rPr>
          <w:t>25</w:t>
        </w:r>
        <w:r>
          <w:rPr>
            <w:noProof/>
            <w:webHidden/>
          </w:rPr>
          <w:fldChar w:fldCharType="end"/>
        </w:r>
      </w:hyperlink>
    </w:p>
    <w:p w14:paraId="7BE05775" w14:textId="5ACCACE1" w:rsidR="006A4412" w:rsidRDefault="006A4412">
      <w:pPr>
        <w:pStyle w:val="TOC3"/>
        <w:rPr>
          <w:rFonts w:asciiTheme="minorHAnsi" w:hAnsiTheme="minorHAnsi"/>
          <w:noProof/>
          <w:kern w:val="2"/>
          <w:sz w:val="24"/>
          <w:szCs w:val="24"/>
          <w14:ligatures w14:val="standardContextual"/>
        </w:rPr>
      </w:pPr>
      <w:hyperlink w:anchor="_Toc236903479" w:history="1">
        <w:r w:rsidRPr="00FB393E">
          <w:rPr>
            <w:rStyle w:val="Hyperlink"/>
            <w:noProof/>
          </w:rPr>
          <w:t>Proposed Service Requirements</w:t>
        </w:r>
        <w:r>
          <w:rPr>
            <w:noProof/>
            <w:webHidden/>
          </w:rPr>
          <w:tab/>
        </w:r>
        <w:r>
          <w:rPr>
            <w:noProof/>
            <w:webHidden/>
          </w:rPr>
          <w:fldChar w:fldCharType="begin"/>
        </w:r>
        <w:r>
          <w:rPr>
            <w:noProof/>
            <w:webHidden/>
          </w:rPr>
          <w:instrText xml:space="preserve"> PAGEREF _Toc236903479 \h </w:instrText>
        </w:r>
        <w:r>
          <w:rPr>
            <w:noProof/>
            <w:webHidden/>
          </w:rPr>
        </w:r>
        <w:r>
          <w:rPr>
            <w:noProof/>
            <w:webHidden/>
          </w:rPr>
          <w:fldChar w:fldCharType="separate"/>
        </w:r>
        <w:r w:rsidR="002407AB">
          <w:rPr>
            <w:noProof/>
            <w:webHidden/>
          </w:rPr>
          <w:t>25</w:t>
        </w:r>
        <w:r>
          <w:rPr>
            <w:noProof/>
            <w:webHidden/>
          </w:rPr>
          <w:fldChar w:fldCharType="end"/>
        </w:r>
      </w:hyperlink>
    </w:p>
    <w:p w14:paraId="6888123F" w14:textId="1E9334D2" w:rsidR="006A4412" w:rsidRDefault="006A4412">
      <w:pPr>
        <w:pStyle w:val="TOC3"/>
        <w:rPr>
          <w:rFonts w:asciiTheme="minorHAnsi" w:hAnsiTheme="minorHAnsi"/>
          <w:noProof/>
          <w:kern w:val="2"/>
          <w:sz w:val="24"/>
          <w:szCs w:val="24"/>
          <w14:ligatures w14:val="standardContextual"/>
        </w:rPr>
      </w:pPr>
      <w:hyperlink w:anchor="_Toc236903480" w:history="1">
        <w:r w:rsidRPr="00FB393E">
          <w:rPr>
            <w:rStyle w:val="Hyperlink"/>
            <w:noProof/>
          </w:rPr>
          <w:t>Tree Attachments (Legacy Attachments)</w:t>
        </w:r>
        <w:r>
          <w:rPr>
            <w:noProof/>
            <w:webHidden/>
          </w:rPr>
          <w:tab/>
        </w:r>
        <w:r>
          <w:rPr>
            <w:noProof/>
            <w:webHidden/>
          </w:rPr>
          <w:fldChar w:fldCharType="begin"/>
        </w:r>
        <w:r>
          <w:rPr>
            <w:noProof/>
            <w:webHidden/>
          </w:rPr>
          <w:instrText xml:space="preserve"> PAGEREF _Toc236903480 \h </w:instrText>
        </w:r>
        <w:r>
          <w:rPr>
            <w:noProof/>
            <w:webHidden/>
          </w:rPr>
        </w:r>
        <w:r>
          <w:rPr>
            <w:noProof/>
            <w:webHidden/>
          </w:rPr>
          <w:fldChar w:fldCharType="separate"/>
        </w:r>
        <w:r w:rsidR="002407AB">
          <w:rPr>
            <w:noProof/>
            <w:webHidden/>
          </w:rPr>
          <w:t>25</w:t>
        </w:r>
        <w:r>
          <w:rPr>
            <w:noProof/>
            <w:webHidden/>
          </w:rPr>
          <w:fldChar w:fldCharType="end"/>
        </w:r>
      </w:hyperlink>
    </w:p>
    <w:p w14:paraId="4730E6B5" w14:textId="0378A4EA" w:rsidR="006A4412" w:rsidRDefault="006A4412">
      <w:pPr>
        <w:pStyle w:val="TOC3"/>
        <w:rPr>
          <w:rFonts w:asciiTheme="minorHAnsi" w:hAnsiTheme="minorHAnsi"/>
          <w:noProof/>
          <w:kern w:val="2"/>
          <w:sz w:val="24"/>
          <w:szCs w:val="24"/>
          <w14:ligatures w14:val="standardContextual"/>
        </w:rPr>
      </w:pPr>
      <w:hyperlink w:anchor="_Toc236903481" w:history="1">
        <w:r w:rsidRPr="00FB393E">
          <w:rPr>
            <w:rStyle w:val="Hyperlink"/>
            <w:noProof/>
          </w:rPr>
          <w:t>Advanced Metering Infrastructure</w:t>
        </w:r>
        <w:r>
          <w:rPr>
            <w:noProof/>
            <w:webHidden/>
          </w:rPr>
          <w:tab/>
        </w:r>
        <w:r>
          <w:rPr>
            <w:noProof/>
            <w:webHidden/>
          </w:rPr>
          <w:fldChar w:fldCharType="begin"/>
        </w:r>
        <w:r>
          <w:rPr>
            <w:noProof/>
            <w:webHidden/>
          </w:rPr>
          <w:instrText xml:space="preserve"> PAGEREF _Toc236903481 \h </w:instrText>
        </w:r>
        <w:r>
          <w:rPr>
            <w:noProof/>
            <w:webHidden/>
          </w:rPr>
        </w:r>
        <w:r>
          <w:rPr>
            <w:noProof/>
            <w:webHidden/>
          </w:rPr>
          <w:fldChar w:fldCharType="separate"/>
        </w:r>
        <w:r w:rsidR="002407AB">
          <w:rPr>
            <w:noProof/>
            <w:webHidden/>
          </w:rPr>
          <w:t>26</w:t>
        </w:r>
        <w:r>
          <w:rPr>
            <w:noProof/>
            <w:webHidden/>
          </w:rPr>
          <w:fldChar w:fldCharType="end"/>
        </w:r>
      </w:hyperlink>
    </w:p>
    <w:p w14:paraId="3A0F9634" w14:textId="387E28CF" w:rsidR="006A4412" w:rsidRDefault="006A4412">
      <w:pPr>
        <w:pStyle w:val="TOC3"/>
        <w:rPr>
          <w:rFonts w:asciiTheme="minorHAnsi" w:hAnsiTheme="minorHAnsi"/>
          <w:noProof/>
          <w:kern w:val="2"/>
          <w:sz w:val="24"/>
          <w:szCs w:val="24"/>
          <w14:ligatures w14:val="standardContextual"/>
        </w:rPr>
      </w:pPr>
      <w:hyperlink w:anchor="_Toc236903482" w:history="1">
        <w:r w:rsidRPr="00FB393E">
          <w:rPr>
            <w:rStyle w:val="Hyperlink"/>
            <w:noProof/>
          </w:rPr>
          <w:t>Outage Management System (OMS)</w:t>
        </w:r>
        <w:r>
          <w:rPr>
            <w:noProof/>
            <w:webHidden/>
          </w:rPr>
          <w:tab/>
        </w:r>
        <w:r>
          <w:rPr>
            <w:noProof/>
            <w:webHidden/>
          </w:rPr>
          <w:fldChar w:fldCharType="begin"/>
        </w:r>
        <w:r>
          <w:rPr>
            <w:noProof/>
            <w:webHidden/>
          </w:rPr>
          <w:instrText xml:space="preserve"> PAGEREF _Toc236903482 \h </w:instrText>
        </w:r>
        <w:r>
          <w:rPr>
            <w:noProof/>
            <w:webHidden/>
          </w:rPr>
        </w:r>
        <w:r>
          <w:rPr>
            <w:noProof/>
            <w:webHidden/>
          </w:rPr>
          <w:fldChar w:fldCharType="separate"/>
        </w:r>
        <w:r w:rsidR="002407AB">
          <w:rPr>
            <w:noProof/>
            <w:webHidden/>
          </w:rPr>
          <w:t>26</w:t>
        </w:r>
        <w:r>
          <w:rPr>
            <w:noProof/>
            <w:webHidden/>
          </w:rPr>
          <w:fldChar w:fldCharType="end"/>
        </w:r>
      </w:hyperlink>
    </w:p>
    <w:p w14:paraId="03022AAD" w14:textId="500A6635" w:rsidR="006A4412" w:rsidRDefault="006A4412">
      <w:pPr>
        <w:pStyle w:val="TOC3"/>
        <w:rPr>
          <w:rFonts w:asciiTheme="minorHAnsi" w:hAnsiTheme="minorHAnsi"/>
          <w:noProof/>
          <w:kern w:val="2"/>
          <w:sz w:val="24"/>
          <w:szCs w:val="24"/>
          <w14:ligatures w14:val="standardContextual"/>
        </w:rPr>
      </w:pPr>
      <w:hyperlink w:anchor="_Toc236903483" w:history="1">
        <w:r w:rsidRPr="00FB393E">
          <w:rPr>
            <w:rStyle w:val="Hyperlink"/>
            <w:noProof/>
          </w:rPr>
          <w:t>Supervisory Control and Data Acquisition</w:t>
        </w:r>
        <w:r>
          <w:rPr>
            <w:noProof/>
            <w:webHidden/>
          </w:rPr>
          <w:tab/>
        </w:r>
        <w:r>
          <w:rPr>
            <w:noProof/>
            <w:webHidden/>
          </w:rPr>
          <w:fldChar w:fldCharType="begin"/>
        </w:r>
        <w:r>
          <w:rPr>
            <w:noProof/>
            <w:webHidden/>
          </w:rPr>
          <w:instrText xml:space="preserve"> PAGEREF _Toc236903483 \h </w:instrText>
        </w:r>
        <w:r>
          <w:rPr>
            <w:noProof/>
            <w:webHidden/>
          </w:rPr>
        </w:r>
        <w:r>
          <w:rPr>
            <w:noProof/>
            <w:webHidden/>
          </w:rPr>
          <w:fldChar w:fldCharType="separate"/>
        </w:r>
        <w:r w:rsidR="002407AB">
          <w:rPr>
            <w:noProof/>
            <w:webHidden/>
          </w:rPr>
          <w:t>27</w:t>
        </w:r>
        <w:r>
          <w:rPr>
            <w:noProof/>
            <w:webHidden/>
          </w:rPr>
          <w:fldChar w:fldCharType="end"/>
        </w:r>
      </w:hyperlink>
    </w:p>
    <w:p w14:paraId="052BE3E7" w14:textId="26078D1A" w:rsidR="006A4412" w:rsidRDefault="006A4412">
      <w:pPr>
        <w:pStyle w:val="TOC2"/>
        <w:rPr>
          <w:rFonts w:asciiTheme="minorHAnsi" w:hAnsiTheme="minorHAnsi"/>
          <w:noProof/>
          <w:kern w:val="2"/>
          <w:sz w:val="24"/>
          <w:szCs w:val="24"/>
          <w14:ligatures w14:val="standardContextual"/>
        </w:rPr>
      </w:pPr>
      <w:hyperlink w:anchor="_Toc236903484" w:history="1">
        <w:r w:rsidRPr="00FB393E">
          <w:rPr>
            <w:rStyle w:val="Hyperlink"/>
            <w:noProof/>
          </w:rPr>
          <w:t>D.</w:t>
        </w:r>
        <w:r>
          <w:rPr>
            <w:rFonts w:asciiTheme="minorHAnsi" w:hAnsiTheme="minorHAnsi"/>
            <w:noProof/>
            <w:kern w:val="2"/>
            <w:sz w:val="24"/>
            <w:szCs w:val="24"/>
            <w14:ligatures w14:val="standardContextual"/>
          </w:rPr>
          <w:tab/>
        </w:r>
        <w:r w:rsidRPr="00FB393E">
          <w:rPr>
            <w:rStyle w:val="Hyperlink"/>
            <w:noProof/>
          </w:rPr>
          <w:t>Vegetation Management</w:t>
        </w:r>
        <w:r>
          <w:rPr>
            <w:noProof/>
            <w:webHidden/>
          </w:rPr>
          <w:tab/>
        </w:r>
        <w:r>
          <w:rPr>
            <w:noProof/>
            <w:webHidden/>
          </w:rPr>
          <w:fldChar w:fldCharType="begin"/>
        </w:r>
        <w:r>
          <w:rPr>
            <w:noProof/>
            <w:webHidden/>
          </w:rPr>
          <w:instrText xml:space="preserve"> PAGEREF _Toc236903484 \h </w:instrText>
        </w:r>
        <w:r>
          <w:rPr>
            <w:noProof/>
            <w:webHidden/>
          </w:rPr>
        </w:r>
        <w:r>
          <w:rPr>
            <w:noProof/>
            <w:webHidden/>
          </w:rPr>
          <w:fldChar w:fldCharType="separate"/>
        </w:r>
        <w:r w:rsidR="002407AB">
          <w:rPr>
            <w:noProof/>
            <w:webHidden/>
          </w:rPr>
          <w:t>27</w:t>
        </w:r>
        <w:r>
          <w:rPr>
            <w:noProof/>
            <w:webHidden/>
          </w:rPr>
          <w:fldChar w:fldCharType="end"/>
        </w:r>
      </w:hyperlink>
    </w:p>
    <w:p w14:paraId="7FD2B91B" w14:textId="0AF60394" w:rsidR="006A4412" w:rsidRDefault="006A4412">
      <w:pPr>
        <w:pStyle w:val="TOC2"/>
        <w:rPr>
          <w:rFonts w:asciiTheme="minorHAnsi" w:hAnsiTheme="minorHAnsi"/>
          <w:noProof/>
          <w:kern w:val="2"/>
          <w:sz w:val="24"/>
          <w:szCs w:val="24"/>
          <w14:ligatures w14:val="standardContextual"/>
        </w:rPr>
      </w:pPr>
      <w:hyperlink w:anchor="_Toc236903485" w:history="1">
        <w:r w:rsidRPr="00FB393E">
          <w:rPr>
            <w:rStyle w:val="Hyperlink"/>
            <w:noProof/>
          </w:rPr>
          <w:t>E.</w:t>
        </w:r>
        <w:r>
          <w:rPr>
            <w:rFonts w:asciiTheme="minorHAnsi" w:hAnsiTheme="minorHAnsi"/>
            <w:noProof/>
            <w:kern w:val="2"/>
            <w:sz w:val="24"/>
            <w:szCs w:val="24"/>
            <w14:ligatures w14:val="standardContextual"/>
          </w:rPr>
          <w:tab/>
        </w:r>
        <w:r w:rsidRPr="00FB393E">
          <w:rPr>
            <w:rStyle w:val="Hyperlink"/>
            <w:noProof/>
          </w:rPr>
          <w:t>Inspections</w:t>
        </w:r>
        <w:r>
          <w:rPr>
            <w:noProof/>
            <w:webHidden/>
          </w:rPr>
          <w:tab/>
        </w:r>
        <w:r>
          <w:rPr>
            <w:noProof/>
            <w:webHidden/>
          </w:rPr>
          <w:fldChar w:fldCharType="begin"/>
        </w:r>
        <w:r>
          <w:rPr>
            <w:noProof/>
            <w:webHidden/>
          </w:rPr>
          <w:instrText xml:space="preserve"> PAGEREF _Toc236903485 \h </w:instrText>
        </w:r>
        <w:r>
          <w:rPr>
            <w:noProof/>
            <w:webHidden/>
          </w:rPr>
        </w:r>
        <w:r>
          <w:rPr>
            <w:noProof/>
            <w:webHidden/>
          </w:rPr>
          <w:fldChar w:fldCharType="separate"/>
        </w:r>
        <w:r w:rsidR="002407AB">
          <w:rPr>
            <w:noProof/>
            <w:webHidden/>
          </w:rPr>
          <w:t>28</w:t>
        </w:r>
        <w:r>
          <w:rPr>
            <w:noProof/>
            <w:webHidden/>
          </w:rPr>
          <w:fldChar w:fldCharType="end"/>
        </w:r>
      </w:hyperlink>
    </w:p>
    <w:p w14:paraId="52144DBD" w14:textId="1E9DDC25" w:rsidR="006A4412" w:rsidRDefault="006A4412">
      <w:pPr>
        <w:pStyle w:val="TOC2"/>
        <w:rPr>
          <w:rFonts w:asciiTheme="minorHAnsi" w:hAnsiTheme="minorHAnsi"/>
          <w:noProof/>
          <w:kern w:val="2"/>
          <w:sz w:val="24"/>
          <w:szCs w:val="24"/>
          <w14:ligatures w14:val="standardContextual"/>
        </w:rPr>
      </w:pPr>
      <w:hyperlink w:anchor="_Toc236903486" w:history="1">
        <w:r w:rsidRPr="00FB393E">
          <w:rPr>
            <w:rStyle w:val="Hyperlink"/>
            <w:noProof/>
          </w:rPr>
          <w:t>F.</w:t>
        </w:r>
        <w:r>
          <w:rPr>
            <w:rFonts w:asciiTheme="minorHAnsi" w:hAnsiTheme="minorHAnsi"/>
            <w:noProof/>
            <w:kern w:val="2"/>
            <w:sz w:val="24"/>
            <w:szCs w:val="24"/>
            <w14:ligatures w14:val="standardContextual"/>
          </w:rPr>
          <w:tab/>
        </w:r>
        <w:r w:rsidRPr="00FB393E">
          <w:rPr>
            <w:rStyle w:val="Hyperlink"/>
            <w:noProof/>
          </w:rPr>
          <w:t>Workforce Training</w:t>
        </w:r>
        <w:r>
          <w:rPr>
            <w:noProof/>
            <w:webHidden/>
          </w:rPr>
          <w:tab/>
        </w:r>
        <w:r>
          <w:rPr>
            <w:noProof/>
            <w:webHidden/>
          </w:rPr>
          <w:fldChar w:fldCharType="begin"/>
        </w:r>
        <w:r>
          <w:rPr>
            <w:noProof/>
            <w:webHidden/>
          </w:rPr>
          <w:instrText xml:space="preserve"> PAGEREF _Toc236903486 \h </w:instrText>
        </w:r>
        <w:r>
          <w:rPr>
            <w:noProof/>
            <w:webHidden/>
          </w:rPr>
        </w:r>
        <w:r>
          <w:rPr>
            <w:noProof/>
            <w:webHidden/>
          </w:rPr>
          <w:fldChar w:fldCharType="separate"/>
        </w:r>
        <w:r w:rsidR="002407AB">
          <w:rPr>
            <w:noProof/>
            <w:webHidden/>
          </w:rPr>
          <w:t>29</w:t>
        </w:r>
        <w:r>
          <w:rPr>
            <w:noProof/>
            <w:webHidden/>
          </w:rPr>
          <w:fldChar w:fldCharType="end"/>
        </w:r>
      </w:hyperlink>
    </w:p>
    <w:p w14:paraId="6FF72FD6" w14:textId="5F6DCA86" w:rsidR="006A4412" w:rsidRDefault="006A4412">
      <w:pPr>
        <w:pStyle w:val="TOC2"/>
        <w:rPr>
          <w:rFonts w:asciiTheme="minorHAnsi" w:hAnsiTheme="minorHAnsi"/>
          <w:noProof/>
          <w:kern w:val="2"/>
          <w:sz w:val="24"/>
          <w:szCs w:val="24"/>
          <w14:ligatures w14:val="standardContextual"/>
        </w:rPr>
      </w:pPr>
      <w:hyperlink w:anchor="_Toc236903487" w:history="1">
        <w:r w:rsidRPr="00FB393E">
          <w:rPr>
            <w:rStyle w:val="Hyperlink"/>
            <w:noProof/>
          </w:rPr>
          <w:t>G.</w:t>
        </w:r>
        <w:r>
          <w:rPr>
            <w:rFonts w:asciiTheme="minorHAnsi" w:hAnsiTheme="minorHAnsi"/>
            <w:noProof/>
            <w:kern w:val="2"/>
            <w:sz w:val="24"/>
            <w:szCs w:val="24"/>
            <w14:ligatures w14:val="standardContextual"/>
          </w:rPr>
          <w:tab/>
        </w:r>
        <w:r w:rsidRPr="00FB393E">
          <w:rPr>
            <w:rStyle w:val="Hyperlink"/>
            <w:noProof/>
          </w:rPr>
          <w:t>Recloser Policy</w:t>
        </w:r>
        <w:r>
          <w:rPr>
            <w:noProof/>
            <w:webHidden/>
          </w:rPr>
          <w:tab/>
        </w:r>
        <w:r>
          <w:rPr>
            <w:noProof/>
            <w:webHidden/>
          </w:rPr>
          <w:fldChar w:fldCharType="begin"/>
        </w:r>
        <w:r>
          <w:rPr>
            <w:noProof/>
            <w:webHidden/>
          </w:rPr>
          <w:instrText xml:space="preserve"> PAGEREF _Toc236903487 \h </w:instrText>
        </w:r>
        <w:r>
          <w:rPr>
            <w:noProof/>
            <w:webHidden/>
          </w:rPr>
        </w:r>
        <w:r>
          <w:rPr>
            <w:noProof/>
            <w:webHidden/>
          </w:rPr>
          <w:fldChar w:fldCharType="separate"/>
        </w:r>
        <w:r w:rsidR="002407AB">
          <w:rPr>
            <w:noProof/>
            <w:webHidden/>
          </w:rPr>
          <w:t>29</w:t>
        </w:r>
        <w:r>
          <w:rPr>
            <w:noProof/>
            <w:webHidden/>
          </w:rPr>
          <w:fldChar w:fldCharType="end"/>
        </w:r>
      </w:hyperlink>
    </w:p>
    <w:p w14:paraId="78F31F52" w14:textId="0DF6EB01" w:rsidR="006A4412" w:rsidRDefault="006A4412">
      <w:pPr>
        <w:pStyle w:val="TOC2"/>
        <w:rPr>
          <w:rFonts w:asciiTheme="minorHAnsi" w:hAnsiTheme="minorHAnsi"/>
          <w:noProof/>
          <w:kern w:val="2"/>
          <w:sz w:val="24"/>
          <w:szCs w:val="24"/>
          <w14:ligatures w14:val="standardContextual"/>
        </w:rPr>
      </w:pPr>
      <w:hyperlink w:anchor="_Toc236903488" w:history="1">
        <w:r w:rsidRPr="00FB393E">
          <w:rPr>
            <w:rStyle w:val="Hyperlink"/>
            <w:noProof/>
          </w:rPr>
          <w:t>H.</w:t>
        </w:r>
        <w:r>
          <w:rPr>
            <w:rFonts w:asciiTheme="minorHAnsi" w:hAnsiTheme="minorHAnsi"/>
            <w:noProof/>
            <w:kern w:val="2"/>
            <w:sz w:val="24"/>
            <w:szCs w:val="24"/>
            <w14:ligatures w14:val="standardContextual"/>
          </w:rPr>
          <w:tab/>
        </w:r>
        <w:r w:rsidRPr="00FB393E">
          <w:rPr>
            <w:rStyle w:val="Hyperlink"/>
            <w:noProof/>
          </w:rPr>
          <w:t>De-Energization</w:t>
        </w:r>
        <w:r>
          <w:rPr>
            <w:noProof/>
            <w:webHidden/>
          </w:rPr>
          <w:tab/>
        </w:r>
        <w:r>
          <w:rPr>
            <w:noProof/>
            <w:webHidden/>
          </w:rPr>
          <w:fldChar w:fldCharType="begin"/>
        </w:r>
        <w:r>
          <w:rPr>
            <w:noProof/>
            <w:webHidden/>
          </w:rPr>
          <w:instrText xml:space="preserve"> PAGEREF _Toc236903488 \h </w:instrText>
        </w:r>
        <w:r>
          <w:rPr>
            <w:noProof/>
            <w:webHidden/>
          </w:rPr>
        </w:r>
        <w:r>
          <w:rPr>
            <w:noProof/>
            <w:webHidden/>
          </w:rPr>
          <w:fldChar w:fldCharType="separate"/>
        </w:r>
        <w:r w:rsidR="002407AB">
          <w:rPr>
            <w:noProof/>
            <w:webHidden/>
          </w:rPr>
          <w:t>29</w:t>
        </w:r>
        <w:r>
          <w:rPr>
            <w:noProof/>
            <w:webHidden/>
          </w:rPr>
          <w:fldChar w:fldCharType="end"/>
        </w:r>
      </w:hyperlink>
    </w:p>
    <w:p w14:paraId="2205934A" w14:textId="6FF25030" w:rsidR="006A4412" w:rsidRDefault="006A4412">
      <w:pPr>
        <w:pStyle w:val="TOC3"/>
        <w:rPr>
          <w:rFonts w:asciiTheme="minorHAnsi" w:hAnsiTheme="minorHAnsi"/>
          <w:noProof/>
          <w:kern w:val="2"/>
          <w:sz w:val="24"/>
          <w:szCs w:val="24"/>
          <w14:ligatures w14:val="standardContextual"/>
        </w:rPr>
      </w:pPr>
      <w:hyperlink w:anchor="_Toc236903489" w:history="1">
        <w:r w:rsidRPr="00FB393E">
          <w:rPr>
            <w:rStyle w:val="Hyperlink"/>
            <w:noProof/>
          </w:rPr>
          <w:t>Impacts to Public Safety</w:t>
        </w:r>
        <w:r>
          <w:rPr>
            <w:noProof/>
            <w:webHidden/>
          </w:rPr>
          <w:tab/>
        </w:r>
        <w:r>
          <w:rPr>
            <w:noProof/>
            <w:webHidden/>
          </w:rPr>
          <w:fldChar w:fldCharType="begin"/>
        </w:r>
        <w:r>
          <w:rPr>
            <w:noProof/>
            <w:webHidden/>
          </w:rPr>
          <w:instrText xml:space="preserve"> PAGEREF _Toc236903489 \h </w:instrText>
        </w:r>
        <w:r>
          <w:rPr>
            <w:noProof/>
            <w:webHidden/>
          </w:rPr>
        </w:r>
        <w:r>
          <w:rPr>
            <w:noProof/>
            <w:webHidden/>
          </w:rPr>
          <w:fldChar w:fldCharType="separate"/>
        </w:r>
        <w:r w:rsidR="002407AB">
          <w:rPr>
            <w:noProof/>
            <w:webHidden/>
          </w:rPr>
          <w:t>31</w:t>
        </w:r>
        <w:r>
          <w:rPr>
            <w:noProof/>
            <w:webHidden/>
          </w:rPr>
          <w:fldChar w:fldCharType="end"/>
        </w:r>
      </w:hyperlink>
    </w:p>
    <w:p w14:paraId="4AF03328" w14:textId="677FEB73" w:rsidR="006A4412" w:rsidRDefault="006A4412">
      <w:pPr>
        <w:pStyle w:val="TOC3"/>
        <w:rPr>
          <w:rFonts w:asciiTheme="minorHAnsi" w:hAnsiTheme="minorHAnsi"/>
          <w:noProof/>
          <w:kern w:val="2"/>
          <w:sz w:val="24"/>
          <w:szCs w:val="24"/>
          <w14:ligatures w14:val="standardContextual"/>
        </w:rPr>
      </w:pPr>
      <w:hyperlink w:anchor="_Toc236903490" w:history="1">
        <w:r w:rsidRPr="00FB393E">
          <w:rPr>
            <w:rStyle w:val="Hyperlink"/>
            <w:noProof/>
          </w:rPr>
          <w:t>Customer Notification Protocols</w:t>
        </w:r>
        <w:r>
          <w:rPr>
            <w:noProof/>
            <w:webHidden/>
          </w:rPr>
          <w:tab/>
        </w:r>
        <w:r>
          <w:rPr>
            <w:noProof/>
            <w:webHidden/>
          </w:rPr>
          <w:fldChar w:fldCharType="begin"/>
        </w:r>
        <w:r>
          <w:rPr>
            <w:noProof/>
            <w:webHidden/>
          </w:rPr>
          <w:instrText xml:space="preserve"> PAGEREF _Toc236903490 \h </w:instrText>
        </w:r>
        <w:r>
          <w:rPr>
            <w:noProof/>
            <w:webHidden/>
          </w:rPr>
        </w:r>
        <w:r>
          <w:rPr>
            <w:noProof/>
            <w:webHidden/>
          </w:rPr>
          <w:fldChar w:fldCharType="separate"/>
        </w:r>
        <w:r w:rsidR="002407AB">
          <w:rPr>
            <w:noProof/>
            <w:webHidden/>
          </w:rPr>
          <w:t>31</w:t>
        </w:r>
        <w:r>
          <w:rPr>
            <w:noProof/>
            <w:webHidden/>
          </w:rPr>
          <w:fldChar w:fldCharType="end"/>
        </w:r>
      </w:hyperlink>
    </w:p>
    <w:p w14:paraId="7BE764FD" w14:textId="77046D36" w:rsidR="006A4412" w:rsidRDefault="006A4412">
      <w:pPr>
        <w:pStyle w:val="TOC1"/>
        <w:rPr>
          <w:rFonts w:asciiTheme="minorHAnsi" w:hAnsiTheme="minorHAnsi"/>
          <w:b w:val="0"/>
          <w:kern w:val="2"/>
          <w:sz w:val="24"/>
          <w:szCs w:val="24"/>
          <w14:ligatures w14:val="standardContextual"/>
        </w:rPr>
      </w:pPr>
      <w:hyperlink w:anchor="_Toc236903491" w:history="1">
        <w:r w:rsidRPr="00FB393E">
          <w:rPr>
            <w:rStyle w:val="Hyperlink"/>
          </w:rPr>
          <w:t>VI.</w:t>
        </w:r>
        <w:r>
          <w:rPr>
            <w:rFonts w:asciiTheme="minorHAnsi" w:hAnsiTheme="minorHAnsi"/>
            <w:b w:val="0"/>
            <w:kern w:val="2"/>
            <w:sz w:val="24"/>
            <w:szCs w:val="24"/>
            <w14:ligatures w14:val="standardContextual"/>
          </w:rPr>
          <w:tab/>
        </w:r>
        <w:r w:rsidRPr="00FB393E">
          <w:rPr>
            <w:rStyle w:val="Hyperlink"/>
          </w:rPr>
          <w:t>Community Outreach and Public Awareness</w:t>
        </w:r>
        <w:r>
          <w:rPr>
            <w:webHidden/>
          </w:rPr>
          <w:tab/>
        </w:r>
        <w:r>
          <w:rPr>
            <w:webHidden/>
          </w:rPr>
          <w:fldChar w:fldCharType="begin"/>
        </w:r>
        <w:r>
          <w:rPr>
            <w:webHidden/>
          </w:rPr>
          <w:instrText xml:space="preserve"> PAGEREF _Toc236903491 \h </w:instrText>
        </w:r>
        <w:r>
          <w:rPr>
            <w:webHidden/>
          </w:rPr>
        </w:r>
        <w:r>
          <w:rPr>
            <w:webHidden/>
          </w:rPr>
          <w:fldChar w:fldCharType="separate"/>
        </w:r>
        <w:r w:rsidR="002407AB">
          <w:rPr>
            <w:webHidden/>
          </w:rPr>
          <w:t>32</w:t>
        </w:r>
        <w:r>
          <w:rPr>
            <w:webHidden/>
          </w:rPr>
          <w:fldChar w:fldCharType="end"/>
        </w:r>
      </w:hyperlink>
    </w:p>
    <w:p w14:paraId="771A277B" w14:textId="1C3DE51B" w:rsidR="006A4412" w:rsidRDefault="006A4412">
      <w:pPr>
        <w:pStyle w:val="TOC1"/>
        <w:rPr>
          <w:rFonts w:asciiTheme="minorHAnsi" w:hAnsiTheme="minorHAnsi"/>
          <w:b w:val="0"/>
          <w:kern w:val="2"/>
          <w:sz w:val="24"/>
          <w:szCs w:val="24"/>
          <w14:ligatures w14:val="standardContextual"/>
        </w:rPr>
      </w:pPr>
      <w:hyperlink w:anchor="_Toc236903492" w:history="1">
        <w:r w:rsidRPr="00FB393E">
          <w:rPr>
            <w:rStyle w:val="Hyperlink"/>
          </w:rPr>
          <w:t>VII.</w:t>
        </w:r>
        <w:r>
          <w:rPr>
            <w:rFonts w:asciiTheme="minorHAnsi" w:hAnsiTheme="minorHAnsi"/>
            <w:b w:val="0"/>
            <w:kern w:val="2"/>
            <w:sz w:val="24"/>
            <w:szCs w:val="24"/>
            <w14:ligatures w14:val="standardContextual"/>
          </w:rPr>
          <w:tab/>
        </w:r>
        <w:r w:rsidRPr="00FB393E">
          <w:rPr>
            <w:rStyle w:val="Hyperlink"/>
          </w:rPr>
          <w:t>Restoration of Service</w:t>
        </w:r>
        <w:r>
          <w:rPr>
            <w:webHidden/>
          </w:rPr>
          <w:tab/>
        </w:r>
        <w:r>
          <w:rPr>
            <w:webHidden/>
          </w:rPr>
          <w:fldChar w:fldCharType="begin"/>
        </w:r>
        <w:r>
          <w:rPr>
            <w:webHidden/>
          </w:rPr>
          <w:instrText xml:space="preserve"> PAGEREF _Toc236903492 \h </w:instrText>
        </w:r>
        <w:r>
          <w:rPr>
            <w:webHidden/>
          </w:rPr>
        </w:r>
        <w:r>
          <w:rPr>
            <w:webHidden/>
          </w:rPr>
          <w:fldChar w:fldCharType="separate"/>
        </w:r>
        <w:r w:rsidR="002407AB">
          <w:rPr>
            <w:webHidden/>
          </w:rPr>
          <w:t>33</w:t>
        </w:r>
        <w:r>
          <w:rPr>
            <w:webHidden/>
          </w:rPr>
          <w:fldChar w:fldCharType="end"/>
        </w:r>
      </w:hyperlink>
    </w:p>
    <w:p w14:paraId="41699757" w14:textId="28F9D21F" w:rsidR="006A4412" w:rsidRDefault="006A4412">
      <w:pPr>
        <w:pStyle w:val="TOC1"/>
        <w:rPr>
          <w:rFonts w:asciiTheme="minorHAnsi" w:hAnsiTheme="minorHAnsi"/>
          <w:b w:val="0"/>
          <w:kern w:val="2"/>
          <w:sz w:val="24"/>
          <w:szCs w:val="24"/>
          <w14:ligatures w14:val="standardContextual"/>
        </w:rPr>
      </w:pPr>
      <w:hyperlink w:anchor="_Toc236903493" w:history="1">
        <w:r w:rsidRPr="00FB393E">
          <w:rPr>
            <w:rStyle w:val="Hyperlink"/>
          </w:rPr>
          <w:t>VIII.</w:t>
        </w:r>
        <w:r>
          <w:rPr>
            <w:rFonts w:asciiTheme="minorHAnsi" w:hAnsiTheme="minorHAnsi"/>
            <w:b w:val="0"/>
            <w:kern w:val="2"/>
            <w:sz w:val="24"/>
            <w:szCs w:val="24"/>
            <w14:ligatures w14:val="standardContextual"/>
          </w:rPr>
          <w:tab/>
        </w:r>
        <w:r w:rsidRPr="00FB393E">
          <w:rPr>
            <w:rStyle w:val="Hyperlink"/>
          </w:rPr>
          <w:t>Evaluating the Plan</w:t>
        </w:r>
        <w:r>
          <w:rPr>
            <w:webHidden/>
          </w:rPr>
          <w:tab/>
        </w:r>
        <w:r>
          <w:rPr>
            <w:webHidden/>
          </w:rPr>
          <w:fldChar w:fldCharType="begin"/>
        </w:r>
        <w:r>
          <w:rPr>
            <w:webHidden/>
          </w:rPr>
          <w:instrText xml:space="preserve"> PAGEREF _Toc236903493 \h </w:instrText>
        </w:r>
        <w:r>
          <w:rPr>
            <w:webHidden/>
          </w:rPr>
        </w:r>
        <w:r>
          <w:rPr>
            <w:webHidden/>
          </w:rPr>
          <w:fldChar w:fldCharType="separate"/>
        </w:r>
        <w:r w:rsidR="002407AB">
          <w:rPr>
            <w:webHidden/>
          </w:rPr>
          <w:t>34</w:t>
        </w:r>
        <w:r>
          <w:rPr>
            <w:webHidden/>
          </w:rPr>
          <w:fldChar w:fldCharType="end"/>
        </w:r>
      </w:hyperlink>
    </w:p>
    <w:p w14:paraId="0ADFAF9D" w14:textId="4FB5A750" w:rsidR="006A4412" w:rsidRDefault="006A4412">
      <w:pPr>
        <w:pStyle w:val="TOC2"/>
        <w:rPr>
          <w:rFonts w:asciiTheme="minorHAnsi" w:hAnsiTheme="minorHAnsi"/>
          <w:noProof/>
          <w:kern w:val="2"/>
          <w:sz w:val="24"/>
          <w:szCs w:val="24"/>
          <w14:ligatures w14:val="standardContextual"/>
        </w:rPr>
      </w:pPr>
      <w:hyperlink w:anchor="_Toc236903494" w:history="1">
        <w:r w:rsidRPr="00FB393E">
          <w:rPr>
            <w:rStyle w:val="Hyperlink"/>
            <w:noProof/>
          </w:rPr>
          <w:t>A.</w:t>
        </w:r>
        <w:r>
          <w:rPr>
            <w:rFonts w:asciiTheme="minorHAnsi" w:hAnsiTheme="minorHAnsi"/>
            <w:noProof/>
            <w:kern w:val="2"/>
            <w:sz w:val="24"/>
            <w:szCs w:val="24"/>
            <w14:ligatures w14:val="standardContextual"/>
          </w:rPr>
          <w:tab/>
        </w:r>
        <w:r w:rsidRPr="00FB393E">
          <w:rPr>
            <w:rStyle w:val="Hyperlink"/>
            <w:noProof/>
          </w:rPr>
          <w:t>Wildfire Mitigation Implementation Plan (2026–2028)</w:t>
        </w:r>
        <w:r>
          <w:rPr>
            <w:noProof/>
            <w:webHidden/>
          </w:rPr>
          <w:tab/>
        </w:r>
        <w:r>
          <w:rPr>
            <w:noProof/>
            <w:webHidden/>
          </w:rPr>
          <w:fldChar w:fldCharType="begin"/>
        </w:r>
        <w:r>
          <w:rPr>
            <w:noProof/>
            <w:webHidden/>
          </w:rPr>
          <w:instrText xml:space="preserve"> PAGEREF _Toc236903494 \h </w:instrText>
        </w:r>
        <w:r>
          <w:rPr>
            <w:noProof/>
            <w:webHidden/>
          </w:rPr>
        </w:r>
        <w:r>
          <w:rPr>
            <w:noProof/>
            <w:webHidden/>
          </w:rPr>
          <w:fldChar w:fldCharType="separate"/>
        </w:r>
        <w:r w:rsidR="002407AB">
          <w:rPr>
            <w:noProof/>
            <w:webHidden/>
          </w:rPr>
          <w:t>34</w:t>
        </w:r>
        <w:r>
          <w:rPr>
            <w:noProof/>
            <w:webHidden/>
          </w:rPr>
          <w:fldChar w:fldCharType="end"/>
        </w:r>
      </w:hyperlink>
    </w:p>
    <w:p w14:paraId="4260C6B1" w14:textId="5B67D8F0" w:rsidR="006A4412" w:rsidRDefault="006A4412">
      <w:pPr>
        <w:pStyle w:val="TOC3"/>
        <w:rPr>
          <w:rFonts w:asciiTheme="minorHAnsi" w:hAnsiTheme="minorHAnsi"/>
          <w:noProof/>
          <w:kern w:val="2"/>
          <w:sz w:val="24"/>
          <w:szCs w:val="24"/>
          <w14:ligatures w14:val="standardContextual"/>
        </w:rPr>
      </w:pPr>
      <w:hyperlink w:anchor="_Toc236903495" w:history="1">
        <w:r w:rsidRPr="00FB393E">
          <w:rPr>
            <w:rStyle w:val="Hyperlink"/>
            <w:noProof/>
          </w:rPr>
          <w:t>Annual Review and Continuous Improvement</w:t>
        </w:r>
        <w:r>
          <w:rPr>
            <w:noProof/>
            <w:webHidden/>
          </w:rPr>
          <w:tab/>
        </w:r>
        <w:r>
          <w:rPr>
            <w:noProof/>
            <w:webHidden/>
          </w:rPr>
          <w:fldChar w:fldCharType="begin"/>
        </w:r>
        <w:r>
          <w:rPr>
            <w:noProof/>
            <w:webHidden/>
          </w:rPr>
          <w:instrText xml:space="preserve"> PAGEREF _Toc236903495 \h </w:instrText>
        </w:r>
        <w:r>
          <w:rPr>
            <w:noProof/>
            <w:webHidden/>
          </w:rPr>
        </w:r>
        <w:r>
          <w:rPr>
            <w:noProof/>
            <w:webHidden/>
          </w:rPr>
          <w:fldChar w:fldCharType="separate"/>
        </w:r>
        <w:r w:rsidR="002407AB">
          <w:rPr>
            <w:noProof/>
            <w:webHidden/>
          </w:rPr>
          <w:t>40</w:t>
        </w:r>
        <w:r>
          <w:rPr>
            <w:noProof/>
            <w:webHidden/>
          </w:rPr>
          <w:fldChar w:fldCharType="end"/>
        </w:r>
      </w:hyperlink>
    </w:p>
    <w:p w14:paraId="15B35809" w14:textId="39FA674C" w:rsidR="006A4412" w:rsidRDefault="006A4412">
      <w:pPr>
        <w:pStyle w:val="TOC2"/>
        <w:rPr>
          <w:rFonts w:asciiTheme="minorHAnsi" w:hAnsiTheme="minorHAnsi"/>
          <w:noProof/>
          <w:kern w:val="2"/>
          <w:sz w:val="24"/>
          <w:szCs w:val="24"/>
          <w14:ligatures w14:val="standardContextual"/>
        </w:rPr>
      </w:pPr>
      <w:hyperlink w:anchor="_Toc236903496" w:history="1">
        <w:r w:rsidRPr="00FB393E">
          <w:rPr>
            <w:rStyle w:val="Hyperlink"/>
            <w:noProof/>
          </w:rPr>
          <w:t>B.</w:t>
        </w:r>
        <w:r>
          <w:rPr>
            <w:rFonts w:asciiTheme="minorHAnsi" w:hAnsiTheme="minorHAnsi"/>
            <w:noProof/>
            <w:kern w:val="2"/>
            <w:sz w:val="24"/>
            <w:szCs w:val="24"/>
            <w14:ligatures w14:val="standardContextual"/>
          </w:rPr>
          <w:tab/>
        </w:r>
        <w:r w:rsidRPr="00FB393E">
          <w:rPr>
            <w:rStyle w:val="Hyperlink"/>
            <w:noProof/>
          </w:rPr>
          <w:t>Metrics and Assumptions for Measuring Plan Performance</w:t>
        </w:r>
        <w:r>
          <w:rPr>
            <w:noProof/>
            <w:webHidden/>
          </w:rPr>
          <w:tab/>
        </w:r>
        <w:r>
          <w:rPr>
            <w:noProof/>
            <w:webHidden/>
          </w:rPr>
          <w:fldChar w:fldCharType="begin"/>
        </w:r>
        <w:r>
          <w:rPr>
            <w:noProof/>
            <w:webHidden/>
          </w:rPr>
          <w:instrText xml:space="preserve"> PAGEREF _Toc236903496 \h </w:instrText>
        </w:r>
        <w:r>
          <w:rPr>
            <w:noProof/>
            <w:webHidden/>
          </w:rPr>
        </w:r>
        <w:r>
          <w:rPr>
            <w:noProof/>
            <w:webHidden/>
          </w:rPr>
          <w:fldChar w:fldCharType="separate"/>
        </w:r>
        <w:r w:rsidR="002407AB">
          <w:rPr>
            <w:noProof/>
            <w:webHidden/>
          </w:rPr>
          <w:t>41</w:t>
        </w:r>
        <w:r>
          <w:rPr>
            <w:noProof/>
            <w:webHidden/>
          </w:rPr>
          <w:fldChar w:fldCharType="end"/>
        </w:r>
      </w:hyperlink>
    </w:p>
    <w:p w14:paraId="1C44FBAE" w14:textId="5659AEF7" w:rsidR="006A4412" w:rsidRDefault="006A4412">
      <w:pPr>
        <w:pStyle w:val="TOC3"/>
        <w:rPr>
          <w:rFonts w:asciiTheme="minorHAnsi" w:hAnsiTheme="minorHAnsi"/>
          <w:noProof/>
          <w:kern w:val="2"/>
          <w:sz w:val="24"/>
          <w:szCs w:val="24"/>
          <w14:ligatures w14:val="standardContextual"/>
        </w:rPr>
      </w:pPr>
      <w:hyperlink w:anchor="_Toc236903497" w:history="1">
        <w:r w:rsidRPr="00FB393E">
          <w:rPr>
            <w:rStyle w:val="Hyperlink"/>
            <w:noProof/>
          </w:rPr>
          <w:t>Metric 1 – Fire Ignitions</w:t>
        </w:r>
        <w:r>
          <w:rPr>
            <w:noProof/>
            <w:webHidden/>
          </w:rPr>
          <w:tab/>
        </w:r>
        <w:r>
          <w:rPr>
            <w:noProof/>
            <w:webHidden/>
          </w:rPr>
          <w:fldChar w:fldCharType="begin"/>
        </w:r>
        <w:r>
          <w:rPr>
            <w:noProof/>
            <w:webHidden/>
          </w:rPr>
          <w:instrText xml:space="preserve"> PAGEREF _Toc236903497 \h </w:instrText>
        </w:r>
        <w:r>
          <w:rPr>
            <w:noProof/>
            <w:webHidden/>
          </w:rPr>
        </w:r>
        <w:r>
          <w:rPr>
            <w:noProof/>
            <w:webHidden/>
          </w:rPr>
          <w:fldChar w:fldCharType="separate"/>
        </w:r>
        <w:r w:rsidR="002407AB">
          <w:rPr>
            <w:noProof/>
            <w:webHidden/>
          </w:rPr>
          <w:t>41</w:t>
        </w:r>
        <w:r>
          <w:rPr>
            <w:noProof/>
            <w:webHidden/>
          </w:rPr>
          <w:fldChar w:fldCharType="end"/>
        </w:r>
      </w:hyperlink>
    </w:p>
    <w:p w14:paraId="1D7814B6" w14:textId="499A2A33" w:rsidR="006A4412" w:rsidRDefault="006A4412">
      <w:pPr>
        <w:pStyle w:val="TOC3"/>
        <w:rPr>
          <w:rFonts w:asciiTheme="minorHAnsi" w:hAnsiTheme="minorHAnsi"/>
          <w:noProof/>
          <w:kern w:val="2"/>
          <w:sz w:val="24"/>
          <w:szCs w:val="24"/>
          <w14:ligatures w14:val="standardContextual"/>
        </w:rPr>
      </w:pPr>
      <w:hyperlink w:anchor="_Toc236903498" w:history="1">
        <w:r w:rsidRPr="00FB393E">
          <w:rPr>
            <w:rStyle w:val="Hyperlink"/>
            <w:noProof/>
          </w:rPr>
          <w:t>Metric 2 – Outage Causes</w:t>
        </w:r>
        <w:r>
          <w:rPr>
            <w:noProof/>
            <w:webHidden/>
          </w:rPr>
          <w:tab/>
        </w:r>
        <w:r>
          <w:rPr>
            <w:noProof/>
            <w:webHidden/>
          </w:rPr>
          <w:fldChar w:fldCharType="begin"/>
        </w:r>
        <w:r>
          <w:rPr>
            <w:noProof/>
            <w:webHidden/>
          </w:rPr>
          <w:instrText xml:space="preserve"> PAGEREF _Toc236903498 \h </w:instrText>
        </w:r>
        <w:r>
          <w:rPr>
            <w:noProof/>
            <w:webHidden/>
          </w:rPr>
        </w:r>
        <w:r>
          <w:rPr>
            <w:noProof/>
            <w:webHidden/>
          </w:rPr>
          <w:fldChar w:fldCharType="separate"/>
        </w:r>
        <w:r w:rsidR="002407AB">
          <w:rPr>
            <w:noProof/>
            <w:webHidden/>
          </w:rPr>
          <w:t>41</w:t>
        </w:r>
        <w:r>
          <w:rPr>
            <w:noProof/>
            <w:webHidden/>
          </w:rPr>
          <w:fldChar w:fldCharType="end"/>
        </w:r>
      </w:hyperlink>
    </w:p>
    <w:p w14:paraId="22BF3D12" w14:textId="3A51B2A8" w:rsidR="006A4412" w:rsidRDefault="006A4412">
      <w:pPr>
        <w:pStyle w:val="TOC3"/>
        <w:rPr>
          <w:rFonts w:asciiTheme="minorHAnsi" w:hAnsiTheme="minorHAnsi"/>
          <w:noProof/>
          <w:kern w:val="2"/>
          <w:sz w:val="24"/>
          <w:szCs w:val="24"/>
          <w14:ligatures w14:val="standardContextual"/>
        </w:rPr>
      </w:pPr>
      <w:hyperlink w:anchor="_Toc236903499" w:history="1">
        <w:r w:rsidRPr="00FB393E">
          <w:rPr>
            <w:rStyle w:val="Hyperlink"/>
            <w:noProof/>
          </w:rPr>
          <w:t>Metric 3 – Vegetation Management</w:t>
        </w:r>
        <w:r>
          <w:rPr>
            <w:noProof/>
            <w:webHidden/>
          </w:rPr>
          <w:tab/>
        </w:r>
        <w:r>
          <w:rPr>
            <w:noProof/>
            <w:webHidden/>
          </w:rPr>
          <w:fldChar w:fldCharType="begin"/>
        </w:r>
        <w:r>
          <w:rPr>
            <w:noProof/>
            <w:webHidden/>
          </w:rPr>
          <w:instrText xml:space="preserve"> PAGEREF _Toc236903499 \h </w:instrText>
        </w:r>
        <w:r>
          <w:rPr>
            <w:noProof/>
            <w:webHidden/>
          </w:rPr>
        </w:r>
        <w:r>
          <w:rPr>
            <w:noProof/>
            <w:webHidden/>
          </w:rPr>
          <w:fldChar w:fldCharType="separate"/>
        </w:r>
        <w:r w:rsidR="002407AB">
          <w:rPr>
            <w:noProof/>
            <w:webHidden/>
          </w:rPr>
          <w:t>43</w:t>
        </w:r>
        <w:r>
          <w:rPr>
            <w:noProof/>
            <w:webHidden/>
          </w:rPr>
          <w:fldChar w:fldCharType="end"/>
        </w:r>
      </w:hyperlink>
    </w:p>
    <w:p w14:paraId="1D96A2CC" w14:textId="6B3F9F7C" w:rsidR="006A4412" w:rsidRDefault="006A4412">
      <w:pPr>
        <w:pStyle w:val="TOC3"/>
        <w:rPr>
          <w:rFonts w:asciiTheme="minorHAnsi" w:hAnsiTheme="minorHAnsi"/>
          <w:noProof/>
          <w:kern w:val="2"/>
          <w:sz w:val="24"/>
          <w:szCs w:val="24"/>
          <w14:ligatures w14:val="standardContextual"/>
        </w:rPr>
      </w:pPr>
      <w:hyperlink w:anchor="_Toc236903500" w:history="1">
        <w:r w:rsidRPr="00FB393E">
          <w:rPr>
            <w:rStyle w:val="Hyperlink"/>
            <w:noProof/>
          </w:rPr>
          <w:t>Metric 4 – Red Flag Warnings</w:t>
        </w:r>
        <w:r>
          <w:rPr>
            <w:noProof/>
            <w:webHidden/>
          </w:rPr>
          <w:tab/>
        </w:r>
        <w:r>
          <w:rPr>
            <w:noProof/>
            <w:webHidden/>
          </w:rPr>
          <w:fldChar w:fldCharType="begin"/>
        </w:r>
        <w:r>
          <w:rPr>
            <w:noProof/>
            <w:webHidden/>
          </w:rPr>
          <w:instrText xml:space="preserve"> PAGEREF _Toc236903500 \h </w:instrText>
        </w:r>
        <w:r>
          <w:rPr>
            <w:noProof/>
            <w:webHidden/>
          </w:rPr>
        </w:r>
        <w:r>
          <w:rPr>
            <w:noProof/>
            <w:webHidden/>
          </w:rPr>
          <w:fldChar w:fldCharType="separate"/>
        </w:r>
        <w:r w:rsidR="002407AB">
          <w:rPr>
            <w:noProof/>
            <w:webHidden/>
          </w:rPr>
          <w:t>43</w:t>
        </w:r>
        <w:r>
          <w:rPr>
            <w:noProof/>
            <w:webHidden/>
          </w:rPr>
          <w:fldChar w:fldCharType="end"/>
        </w:r>
      </w:hyperlink>
    </w:p>
    <w:p w14:paraId="36F03BFC" w14:textId="02D64AB1" w:rsidR="006A4412" w:rsidRDefault="006A4412">
      <w:pPr>
        <w:pStyle w:val="TOC3"/>
        <w:rPr>
          <w:rFonts w:asciiTheme="minorHAnsi" w:hAnsiTheme="minorHAnsi"/>
          <w:noProof/>
          <w:kern w:val="2"/>
          <w:sz w:val="24"/>
          <w:szCs w:val="24"/>
          <w14:ligatures w14:val="standardContextual"/>
        </w:rPr>
      </w:pPr>
      <w:hyperlink w:anchor="_Toc236903501" w:history="1">
        <w:r w:rsidRPr="00FB393E">
          <w:rPr>
            <w:rStyle w:val="Hyperlink"/>
            <w:noProof/>
          </w:rPr>
          <w:t>Metric 5 – Reliability Metrics</w:t>
        </w:r>
        <w:r>
          <w:rPr>
            <w:noProof/>
            <w:webHidden/>
          </w:rPr>
          <w:tab/>
        </w:r>
        <w:r>
          <w:rPr>
            <w:noProof/>
            <w:webHidden/>
          </w:rPr>
          <w:fldChar w:fldCharType="begin"/>
        </w:r>
        <w:r>
          <w:rPr>
            <w:noProof/>
            <w:webHidden/>
          </w:rPr>
          <w:instrText xml:space="preserve"> PAGEREF _Toc236903501 \h </w:instrText>
        </w:r>
        <w:r>
          <w:rPr>
            <w:noProof/>
            <w:webHidden/>
          </w:rPr>
        </w:r>
        <w:r>
          <w:rPr>
            <w:noProof/>
            <w:webHidden/>
          </w:rPr>
          <w:fldChar w:fldCharType="separate"/>
        </w:r>
        <w:r w:rsidR="002407AB">
          <w:rPr>
            <w:noProof/>
            <w:webHidden/>
          </w:rPr>
          <w:t>44</w:t>
        </w:r>
        <w:r>
          <w:rPr>
            <w:noProof/>
            <w:webHidden/>
          </w:rPr>
          <w:fldChar w:fldCharType="end"/>
        </w:r>
      </w:hyperlink>
    </w:p>
    <w:p w14:paraId="3939FE26" w14:textId="71FC187A" w:rsidR="006A4412" w:rsidRDefault="006A4412">
      <w:pPr>
        <w:pStyle w:val="TOC2"/>
        <w:rPr>
          <w:rFonts w:asciiTheme="minorHAnsi" w:hAnsiTheme="minorHAnsi"/>
          <w:noProof/>
          <w:kern w:val="2"/>
          <w:sz w:val="24"/>
          <w:szCs w:val="24"/>
          <w14:ligatures w14:val="standardContextual"/>
        </w:rPr>
      </w:pPr>
      <w:hyperlink w:anchor="_Toc236903502" w:history="1">
        <w:r w:rsidRPr="00FB393E">
          <w:rPr>
            <w:rStyle w:val="Hyperlink"/>
            <w:rFonts w:ascii="Franklin Gothic Book" w:eastAsia="Times New Roman" w:hAnsi="Franklin Gothic Book"/>
            <w:noProof/>
          </w:rPr>
          <w:t>C.</w:t>
        </w:r>
        <w:r>
          <w:rPr>
            <w:rFonts w:asciiTheme="minorHAnsi" w:hAnsiTheme="minorHAnsi"/>
            <w:noProof/>
            <w:kern w:val="2"/>
            <w:sz w:val="24"/>
            <w:szCs w:val="24"/>
            <w14:ligatures w14:val="standardContextual"/>
          </w:rPr>
          <w:tab/>
        </w:r>
        <w:r w:rsidRPr="00FB393E">
          <w:rPr>
            <w:rStyle w:val="Hyperlink"/>
            <w:noProof/>
          </w:rPr>
          <w:t>Impacts of Metrics on the Plan</w:t>
        </w:r>
        <w:r>
          <w:rPr>
            <w:noProof/>
            <w:webHidden/>
          </w:rPr>
          <w:tab/>
        </w:r>
        <w:r>
          <w:rPr>
            <w:noProof/>
            <w:webHidden/>
          </w:rPr>
          <w:fldChar w:fldCharType="begin"/>
        </w:r>
        <w:r>
          <w:rPr>
            <w:noProof/>
            <w:webHidden/>
          </w:rPr>
          <w:instrText xml:space="preserve"> PAGEREF _Toc236903502 \h </w:instrText>
        </w:r>
        <w:r>
          <w:rPr>
            <w:noProof/>
            <w:webHidden/>
          </w:rPr>
        </w:r>
        <w:r>
          <w:rPr>
            <w:noProof/>
            <w:webHidden/>
          </w:rPr>
          <w:fldChar w:fldCharType="separate"/>
        </w:r>
        <w:r w:rsidR="002407AB">
          <w:rPr>
            <w:noProof/>
            <w:webHidden/>
          </w:rPr>
          <w:t>44</w:t>
        </w:r>
        <w:r>
          <w:rPr>
            <w:noProof/>
            <w:webHidden/>
          </w:rPr>
          <w:fldChar w:fldCharType="end"/>
        </w:r>
      </w:hyperlink>
    </w:p>
    <w:p w14:paraId="00D7DC36" w14:textId="6F43F8A8" w:rsidR="006A4412" w:rsidRDefault="006A4412">
      <w:pPr>
        <w:pStyle w:val="TOC2"/>
        <w:rPr>
          <w:rFonts w:asciiTheme="minorHAnsi" w:hAnsiTheme="minorHAnsi"/>
          <w:noProof/>
          <w:kern w:val="2"/>
          <w:sz w:val="24"/>
          <w:szCs w:val="24"/>
          <w14:ligatures w14:val="standardContextual"/>
        </w:rPr>
      </w:pPr>
      <w:hyperlink w:anchor="_Toc236903503" w:history="1">
        <w:r w:rsidRPr="00FB393E">
          <w:rPr>
            <w:rStyle w:val="Hyperlink"/>
            <w:noProof/>
          </w:rPr>
          <w:t>D.</w:t>
        </w:r>
        <w:r>
          <w:rPr>
            <w:rFonts w:asciiTheme="minorHAnsi" w:hAnsiTheme="minorHAnsi"/>
            <w:noProof/>
            <w:kern w:val="2"/>
            <w:sz w:val="24"/>
            <w:szCs w:val="24"/>
            <w14:ligatures w14:val="standardContextual"/>
          </w:rPr>
          <w:tab/>
        </w:r>
        <w:r w:rsidRPr="00FB393E">
          <w:rPr>
            <w:rStyle w:val="Hyperlink"/>
            <w:noProof/>
          </w:rPr>
          <w:t>Monitoring and Auditing the Plan</w:t>
        </w:r>
        <w:r>
          <w:rPr>
            <w:noProof/>
            <w:webHidden/>
          </w:rPr>
          <w:tab/>
        </w:r>
        <w:r>
          <w:rPr>
            <w:noProof/>
            <w:webHidden/>
          </w:rPr>
          <w:fldChar w:fldCharType="begin"/>
        </w:r>
        <w:r>
          <w:rPr>
            <w:noProof/>
            <w:webHidden/>
          </w:rPr>
          <w:instrText xml:space="preserve"> PAGEREF _Toc236903503 \h </w:instrText>
        </w:r>
        <w:r>
          <w:rPr>
            <w:noProof/>
            <w:webHidden/>
          </w:rPr>
        </w:r>
        <w:r>
          <w:rPr>
            <w:noProof/>
            <w:webHidden/>
          </w:rPr>
          <w:fldChar w:fldCharType="separate"/>
        </w:r>
        <w:r w:rsidR="002407AB">
          <w:rPr>
            <w:noProof/>
            <w:webHidden/>
          </w:rPr>
          <w:t>45</w:t>
        </w:r>
        <w:r>
          <w:rPr>
            <w:noProof/>
            <w:webHidden/>
          </w:rPr>
          <w:fldChar w:fldCharType="end"/>
        </w:r>
      </w:hyperlink>
    </w:p>
    <w:p w14:paraId="7427C660" w14:textId="1DA72B03" w:rsidR="006A4412" w:rsidRDefault="006A4412">
      <w:pPr>
        <w:pStyle w:val="TOC2"/>
        <w:rPr>
          <w:rFonts w:asciiTheme="minorHAnsi" w:hAnsiTheme="minorHAnsi"/>
          <w:noProof/>
          <w:kern w:val="2"/>
          <w:sz w:val="24"/>
          <w:szCs w:val="24"/>
          <w14:ligatures w14:val="standardContextual"/>
        </w:rPr>
      </w:pPr>
      <w:hyperlink w:anchor="_Toc236903504" w:history="1">
        <w:r w:rsidRPr="00FB393E">
          <w:rPr>
            <w:rStyle w:val="Hyperlink"/>
            <w:noProof/>
          </w:rPr>
          <w:t>E.</w:t>
        </w:r>
        <w:r>
          <w:rPr>
            <w:rFonts w:asciiTheme="minorHAnsi" w:hAnsiTheme="minorHAnsi"/>
            <w:noProof/>
            <w:kern w:val="2"/>
            <w:sz w:val="24"/>
            <w:szCs w:val="24"/>
            <w14:ligatures w14:val="standardContextual"/>
          </w:rPr>
          <w:tab/>
        </w:r>
        <w:r w:rsidRPr="00FB393E">
          <w:rPr>
            <w:rStyle w:val="Hyperlink"/>
            <w:noProof/>
          </w:rPr>
          <w:t>Identifying and Correcting Deficiencies in the Plan</w:t>
        </w:r>
        <w:r>
          <w:rPr>
            <w:noProof/>
            <w:webHidden/>
          </w:rPr>
          <w:tab/>
        </w:r>
        <w:r>
          <w:rPr>
            <w:noProof/>
            <w:webHidden/>
          </w:rPr>
          <w:fldChar w:fldCharType="begin"/>
        </w:r>
        <w:r>
          <w:rPr>
            <w:noProof/>
            <w:webHidden/>
          </w:rPr>
          <w:instrText xml:space="preserve"> PAGEREF _Toc236903504 \h </w:instrText>
        </w:r>
        <w:r>
          <w:rPr>
            <w:noProof/>
            <w:webHidden/>
          </w:rPr>
        </w:r>
        <w:r>
          <w:rPr>
            <w:noProof/>
            <w:webHidden/>
          </w:rPr>
          <w:fldChar w:fldCharType="separate"/>
        </w:r>
        <w:r w:rsidR="002407AB">
          <w:rPr>
            <w:noProof/>
            <w:webHidden/>
          </w:rPr>
          <w:t>45</w:t>
        </w:r>
        <w:r>
          <w:rPr>
            <w:noProof/>
            <w:webHidden/>
          </w:rPr>
          <w:fldChar w:fldCharType="end"/>
        </w:r>
      </w:hyperlink>
    </w:p>
    <w:p w14:paraId="34F24B03" w14:textId="3129CDCF" w:rsidR="006A4412" w:rsidRDefault="006A4412">
      <w:pPr>
        <w:pStyle w:val="TOC2"/>
        <w:rPr>
          <w:rFonts w:asciiTheme="minorHAnsi" w:hAnsiTheme="minorHAnsi"/>
          <w:noProof/>
          <w:kern w:val="2"/>
          <w:sz w:val="24"/>
          <w:szCs w:val="24"/>
          <w14:ligatures w14:val="standardContextual"/>
        </w:rPr>
      </w:pPr>
      <w:hyperlink w:anchor="_Toc236903505" w:history="1">
        <w:r w:rsidRPr="00FB393E">
          <w:rPr>
            <w:rStyle w:val="Hyperlink"/>
            <w:noProof/>
          </w:rPr>
          <w:t>F.</w:t>
        </w:r>
        <w:r>
          <w:rPr>
            <w:rFonts w:asciiTheme="minorHAnsi" w:hAnsiTheme="minorHAnsi"/>
            <w:noProof/>
            <w:kern w:val="2"/>
            <w:sz w:val="24"/>
            <w:szCs w:val="24"/>
            <w14:ligatures w14:val="standardContextual"/>
          </w:rPr>
          <w:tab/>
        </w:r>
        <w:r w:rsidRPr="00FB393E">
          <w:rPr>
            <w:rStyle w:val="Hyperlink"/>
            <w:noProof/>
          </w:rPr>
          <w:t>Monitoring the Effectiveness of Inspections</w:t>
        </w:r>
        <w:r>
          <w:rPr>
            <w:noProof/>
            <w:webHidden/>
          </w:rPr>
          <w:tab/>
        </w:r>
        <w:r>
          <w:rPr>
            <w:noProof/>
            <w:webHidden/>
          </w:rPr>
          <w:fldChar w:fldCharType="begin"/>
        </w:r>
        <w:r>
          <w:rPr>
            <w:noProof/>
            <w:webHidden/>
          </w:rPr>
          <w:instrText xml:space="preserve"> PAGEREF _Toc236903505 \h </w:instrText>
        </w:r>
        <w:r>
          <w:rPr>
            <w:noProof/>
            <w:webHidden/>
          </w:rPr>
        </w:r>
        <w:r>
          <w:rPr>
            <w:noProof/>
            <w:webHidden/>
          </w:rPr>
          <w:fldChar w:fldCharType="separate"/>
        </w:r>
        <w:r w:rsidR="002407AB">
          <w:rPr>
            <w:noProof/>
            <w:webHidden/>
          </w:rPr>
          <w:t>45</w:t>
        </w:r>
        <w:r>
          <w:rPr>
            <w:noProof/>
            <w:webHidden/>
          </w:rPr>
          <w:fldChar w:fldCharType="end"/>
        </w:r>
      </w:hyperlink>
    </w:p>
    <w:p w14:paraId="4E3473F4" w14:textId="2BC94F20" w:rsidR="006A4412" w:rsidRDefault="006A4412">
      <w:pPr>
        <w:pStyle w:val="TOC2"/>
        <w:rPr>
          <w:rFonts w:asciiTheme="minorHAnsi" w:hAnsiTheme="minorHAnsi"/>
          <w:noProof/>
          <w:kern w:val="2"/>
          <w:sz w:val="24"/>
          <w:szCs w:val="24"/>
          <w14:ligatures w14:val="standardContextual"/>
        </w:rPr>
      </w:pPr>
      <w:hyperlink w:anchor="_Toc236903506" w:history="1">
        <w:r w:rsidRPr="00FB393E">
          <w:rPr>
            <w:rStyle w:val="Hyperlink"/>
            <w:noProof/>
          </w:rPr>
          <w:t>G.</w:t>
        </w:r>
        <w:r>
          <w:rPr>
            <w:rFonts w:asciiTheme="minorHAnsi" w:hAnsiTheme="minorHAnsi"/>
            <w:noProof/>
            <w:kern w:val="2"/>
            <w:sz w:val="24"/>
            <w:szCs w:val="24"/>
            <w14:ligatures w14:val="standardContextual"/>
          </w:rPr>
          <w:tab/>
        </w:r>
        <w:r w:rsidRPr="00FB393E">
          <w:rPr>
            <w:rStyle w:val="Hyperlink"/>
            <w:noProof/>
          </w:rPr>
          <w:t>Independent Auditor</w:t>
        </w:r>
        <w:r>
          <w:rPr>
            <w:noProof/>
            <w:webHidden/>
          </w:rPr>
          <w:tab/>
        </w:r>
        <w:r>
          <w:rPr>
            <w:noProof/>
            <w:webHidden/>
          </w:rPr>
          <w:fldChar w:fldCharType="begin"/>
        </w:r>
        <w:r>
          <w:rPr>
            <w:noProof/>
            <w:webHidden/>
          </w:rPr>
          <w:instrText xml:space="preserve"> PAGEREF _Toc236903506 \h </w:instrText>
        </w:r>
        <w:r>
          <w:rPr>
            <w:noProof/>
            <w:webHidden/>
          </w:rPr>
        </w:r>
        <w:r>
          <w:rPr>
            <w:noProof/>
            <w:webHidden/>
          </w:rPr>
          <w:fldChar w:fldCharType="separate"/>
        </w:r>
        <w:r w:rsidR="002407AB">
          <w:rPr>
            <w:noProof/>
            <w:webHidden/>
          </w:rPr>
          <w:t>46</w:t>
        </w:r>
        <w:r>
          <w:rPr>
            <w:noProof/>
            <w:webHidden/>
          </w:rPr>
          <w:fldChar w:fldCharType="end"/>
        </w:r>
      </w:hyperlink>
    </w:p>
    <w:p w14:paraId="4D512484" w14:textId="64ED38B1" w:rsidR="006A4412" w:rsidRDefault="006A4412">
      <w:pPr>
        <w:pStyle w:val="TOC1"/>
        <w:rPr>
          <w:rFonts w:asciiTheme="minorHAnsi" w:hAnsiTheme="minorHAnsi"/>
          <w:b w:val="0"/>
          <w:kern w:val="2"/>
          <w:sz w:val="24"/>
          <w:szCs w:val="24"/>
          <w14:ligatures w14:val="standardContextual"/>
        </w:rPr>
      </w:pPr>
      <w:hyperlink w:anchor="_Toc236903507" w:history="1">
        <w:r w:rsidRPr="00FB393E">
          <w:rPr>
            <w:rStyle w:val="Hyperlink"/>
          </w:rPr>
          <w:t>IX.</w:t>
        </w:r>
        <w:r>
          <w:rPr>
            <w:rFonts w:asciiTheme="minorHAnsi" w:hAnsiTheme="minorHAnsi"/>
            <w:b w:val="0"/>
            <w:kern w:val="2"/>
            <w:sz w:val="24"/>
            <w:szCs w:val="24"/>
            <w14:ligatures w14:val="standardContextual"/>
          </w:rPr>
          <w:tab/>
        </w:r>
        <w:r w:rsidRPr="00FB393E">
          <w:rPr>
            <w:rStyle w:val="Hyperlink"/>
          </w:rPr>
          <w:t>WMP Adoption Process</w:t>
        </w:r>
        <w:r>
          <w:rPr>
            <w:webHidden/>
          </w:rPr>
          <w:tab/>
        </w:r>
        <w:r>
          <w:rPr>
            <w:webHidden/>
          </w:rPr>
          <w:fldChar w:fldCharType="begin"/>
        </w:r>
        <w:r>
          <w:rPr>
            <w:webHidden/>
          </w:rPr>
          <w:instrText xml:space="preserve"> PAGEREF _Toc236903507 \h </w:instrText>
        </w:r>
        <w:r>
          <w:rPr>
            <w:webHidden/>
          </w:rPr>
        </w:r>
        <w:r>
          <w:rPr>
            <w:webHidden/>
          </w:rPr>
          <w:fldChar w:fldCharType="separate"/>
        </w:r>
        <w:r w:rsidR="002407AB">
          <w:rPr>
            <w:webHidden/>
          </w:rPr>
          <w:t>46</w:t>
        </w:r>
        <w:r>
          <w:rPr>
            <w:webHidden/>
          </w:rPr>
          <w:fldChar w:fldCharType="end"/>
        </w:r>
      </w:hyperlink>
    </w:p>
    <w:p w14:paraId="3CF2C3BB" w14:textId="7BA4D5BC" w:rsidR="006A4412" w:rsidRDefault="006A4412">
      <w:pPr>
        <w:pStyle w:val="TOC1"/>
        <w:rPr>
          <w:rFonts w:asciiTheme="minorHAnsi" w:hAnsiTheme="minorHAnsi"/>
          <w:b w:val="0"/>
          <w:kern w:val="2"/>
          <w:sz w:val="24"/>
          <w:szCs w:val="24"/>
          <w14:ligatures w14:val="standardContextual"/>
        </w:rPr>
      </w:pPr>
      <w:hyperlink w:anchor="_Toc236903508" w:history="1">
        <w:r w:rsidRPr="00FB393E">
          <w:rPr>
            <w:rStyle w:val="Hyperlink"/>
          </w:rPr>
          <w:t>X.</w:t>
        </w:r>
        <w:r>
          <w:rPr>
            <w:rFonts w:asciiTheme="minorHAnsi" w:hAnsiTheme="minorHAnsi"/>
            <w:b w:val="0"/>
            <w:kern w:val="2"/>
            <w:sz w:val="24"/>
            <w:szCs w:val="24"/>
            <w14:ligatures w14:val="standardContextual"/>
          </w:rPr>
          <w:tab/>
        </w:r>
        <w:r w:rsidRPr="00FB393E">
          <w:rPr>
            <w:rStyle w:val="Hyperlink"/>
          </w:rPr>
          <w:t>References</w:t>
        </w:r>
        <w:r>
          <w:rPr>
            <w:webHidden/>
          </w:rPr>
          <w:tab/>
        </w:r>
        <w:r>
          <w:rPr>
            <w:webHidden/>
          </w:rPr>
          <w:fldChar w:fldCharType="begin"/>
        </w:r>
        <w:r>
          <w:rPr>
            <w:webHidden/>
          </w:rPr>
          <w:instrText xml:space="preserve"> PAGEREF _Toc236903508 \h </w:instrText>
        </w:r>
        <w:r>
          <w:rPr>
            <w:webHidden/>
          </w:rPr>
        </w:r>
        <w:r>
          <w:rPr>
            <w:webHidden/>
          </w:rPr>
          <w:fldChar w:fldCharType="separate"/>
        </w:r>
        <w:r w:rsidR="002407AB">
          <w:rPr>
            <w:webHidden/>
          </w:rPr>
          <w:t>47</w:t>
        </w:r>
        <w:r>
          <w:rPr>
            <w:webHidden/>
          </w:rPr>
          <w:fldChar w:fldCharType="end"/>
        </w:r>
      </w:hyperlink>
    </w:p>
    <w:p w14:paraId="613109F8" w14:textId="484BA65D" w:rsidR="00131E1B" w:rsidRDefault="00A01221" w:rsidP="00A01221">
      <w:pPr>
        <w:pStyle w:val="TOCSectionHeading"/>
        <w:rPr>
          <w:noProof/>
          <w:szCs w:val="22"/>
        </w:rPr>
      </w:pPr>
      <w:r>
        <w:rPr>
          <w:noProof/>
          <w:szCs w:val="22"/>
        </w:rPr>
        <w:fldChar w:fldCharType="end"/>
      </w:r>
    </w:p>
    <w:p w14:paraId="26768205" w14:textId="77777777" w:rsidR="00131E1B" w:rsidRDefault="00131E1B">
      <w:pPr>
        <w:spacing w:before="0" w:after="0" w:line="240" w:lineRule="auto"/>
        <w:rPr>
          <w:rFonts w:ascii="Century Gothic" w:hAnsi="Century Gothic"/>
          <w:b/>
          <w:caps/>
          <w:noProof/>
          <w:sz w:val="22"/>
          <w:szCs w:val="22"/>
        </w:rPr>
      </w:pPr>
      <w:r>
        <w:rPr>
          <w:noProof/>
          <w:szCs w:val="22"/>
        </w:rPr>
        <w:br w:type="page"/>
      </w:r>
    </w:p>
    <w:p w14:paraId="7D2E0750" w14:textId="31586063" w:rsidR="00A01221" w:rsidRPr="00074039" w:rsidRDefault="00A01221" w:rsidP="00A01221">
      <w:pPr>
        <w:pStyle w:val="TOCSectionHeading"/>
      </w:pPr>
      <w:r w:rsidRPr="00074039">
        <w:lastRenderedPageBreak/>
        <w:t>Tabl</w:t>
      </w:r>
      <w:r w:rsidR="001B420C">
        <w:t>es</w:t>
      </w:r>
    </w:p>
    <w:p w14:paraId="3BBE5255" w14:textId="09E898F5" w:rsidR="006A4412" w:rsidRDefault="00A01221">
      <w:pPr>
        <w:pStyle w:val="TableofFigures"/>
        <w:rPr>
          <w:rFonts w:asciiTheme="minorHAnsi" w:hAnsiTheme="minorHAnsi"/>
          <w:noProof/>
          <w:kern w:val="2"/>
          <w:sz w:val="24"/>
          <w:szCs w:val="24"/>
          <w14:ligatures w14:val="standardContextual"/>
        </w:rPr>
      </w:pPr>
      <w:r w:rsidRPr="00074039">
        <w:fldChar w:fldCharType="begin"/>
      </w:r>
      <w:r w:rsidRPr="00074039">
        <w:instrText xml:space="preserve"> TOC \h \z \t "Table,1" \c "Figure" </w:instrText>
      </w:r>
      <w:r w:rsidRPr="00074039">
        <w:fldChar w:fldCharType="separate"/>
      </w:r>
      <w:hyperlink w:anchor="_Toc236903509" w:history="1">
        <w:r w:rsidR="006A4412" w:rsidRPr="0038346A">
          <w:rPr>
            <w:rStyle w:val="Hyperlink"/>
            <w:noProof/>
          </w:rPr>
          <w:t>Utility Description and Context Setting Table</w:t>
        </w:r>
        <w:r w:rsidR="006A4412">
          <w:rPr>
            <w:noProof/>
            <w:webHidden/>
          </w:rPr>
          <w:tab/>
        </w:r>
        <w:r w:rsidR="006A4412">
          <w:rPr>
            <w:noProof/>
            <w:webHidden/>
          </w:rPr>
          <w:fldChar w:fldCharType="begin"/>
        </w:r>
        <w:r w:rsidR="006A4412">
          <w:rPr>
            <w:noProof/>
            <w:webHidden/>
          </w:rPr>
          <w:instrText xml:space="preserve"> PAGEREF _Toc236903509 \h </w:instrText>
        </w:r>
        <w:r w:rsidR="006A4412">
          <w:rPr>
            <w:noProof/>
            <w:webHidden/>
          </w:rPr>
        </w:r>
        <w:r w:rsidR="006A4412">
          <w:rPr>
            <w:noProof/>
            <w:webHidden/>
          </w:rPr>
          <w:fldChar w:fldCharType="separate"/>
        </w:r>
        <w:r w:rsidR="002407AB">
          <w:rPr>
            <w:noProof/>
            <w:webHidden/>
          </w:rPr>
          <w:t>3</w:t>
        </w:r>
        <w:r w:rsidR="006A4412">
          <w:rPr>
            <w:noProof/>
            <w:webHidden/>
          </w:rPr>
          <w:fldChar w:fldCharType="end"/>
        </w:r>
      </w:hyperlink>
    </w:p>
    <w:p w14:paraId="0F69625F" w14:textId="3AD10CE8" w:rsidR="006A4412" w:rsidRDefault="006A4412">
      <w:pPr>
        <w:pStyle w:val="TableofFigures"/>
        <w:rPr>
          <w:rFonts w:asciiTheme="minorHAnsi" w:hAnsiTheme="minorHAnsi"/>
          <w:noProof/>
          <w:kern w:val="2"/>
          <w:sz w:val="24"/>
          <w:szCs w:val="24"/>
          <w14:ligatures w14:val="standardContextual"/>
        </w:rPr>
      </w:pPr>
      <w:hyperlink w:anchor="_Toc236903510" w:history="1">
        <w:r w:rsidRPr="0038346A">
          <w:rPr>
            <w:rStyle w:val="Hyperlink"/>
            <w:noProof/>
          </w:rPr>
          <w:t>Statutory Cross Reference Table</w:t>
        </w:r>
        <w:r>
          <w:rPr>
            <w:noProof/>
            <w:webHidden/>
          </w:rPr>
          <w:tab/>
        </w:r>
        <w:r>
          <w:rPr>
            <w:noProof/>
            <w:webHidden/>
          </w:rPr>
          <w:fldChar w:fldCharType="begin"/>
        </w:r>
        <w:r>
          <w:rPr>
            <w:noProof/>
            <w:webHidden/>
          </w:rPr>
          <w:instrText xml:space="preserve"> PAGEREF _Toc236903510 \h </w:instrText>
        </w:r>
        <w:r>
          <w:rPr>
            <w:noProof/>
            <w:webHidden/>
          </w:rPr>
        </w:r>
        <w:r>
          <w:rPr>
            <w:noProof/>
            <w:webHidden/>
          </w:rPr>
          <w:fldChar w:fldCharType="separate"/>
        </w:r>
        <w:r w:rsidR="002407AB">
          <w:rPr>
            <w:noProof/>
            <w:webHidden/>
          </w:rPr>
          <w:t>8</w:t>
        </w:r>
        <w:r>
          <w:rPr>
            <w:noProof/>
            <w:webHidden/>
          </w:rPr>
          <w:fldChar w:fldCharType="end"/>
        </w:r>
      </w:hyperlink>
    </w:p>
    <w:p w14:paraId="58EF81AB" w14:textId="7DA87BAA" w:rsidR="006A4412" w:rsidRDefault="006A4412">
      <w:pPr>
        <w:pStyle w:val="TableofFigures"/>
        <w:rPr>
          <w:rFonts w:asciiTheme="minorHAnsi" w:hAnsiTheme="minorHAnsi"/>
          <w:noProof/>
          <w:kern w:val="2"/>
          <w:sz w:val="24"/>
          <w:szCs w:val="24"/>
          <w14:ligatures w14:val="standardContextual"/>
        </w:rPr>
      </w:pPr>
      <w:hyperlink w:anchor="_Toc236903511" w:history="1">
        <w:r w:rsidRPr="0038346A">
          <w:rPr>
            <w:rStyle w:val="Hyperlink"/>
            <w:noProof/>
          </w:rPr>
          <w:t>SMART Goal Summary Table</w:t>
        </w:r>
        <w:r>
          <w:rPr>
            <w:noProof/>
            <w:webHidden/>
          </w:rPr>
          <w:tab/>
        </w:r>
        <w:r>
          <w:rPr>
            <w:noProof/>
            <w:webHidden/>
          </w:rPr>
          <w:fldChar w:fldCharType="begin"/>
        </w:r>
        <w:r>
          <w:rPr>
            <w:noProof/>
            <w:webHidden/>
          </w:rPr>
          <w:instrText xml:space="preserve"> PAGEREF _Toc236903511 \h </w:instrText>
        </w:r>
        <w:r>
          <w:rPr>
            <w:noProof/>
            <w:webHidden/>
          </w:rPr>
        </w:r>
        <w:r>
          <w:rPr>
            <w:noProof/>
            <w:webHidden/>
          </w:rPr>
          <w:fldChar w:fldCharType="separate"/>
        </w:r>
        <w:r w:rsidR="002407AB">
          <w:rPr>
            <w:noProof/>
            <w:webHidden/>
          </w:rPr>
          <w:t>35</w:t>
        </w:r>
        <w:r>
          <w:rPr>
            <w:noProof/>
            <w:webHidden/>
          </w:rPr>
          <w:fldChar w:fldCharType="end"/>
        </w:r>
      </w:hyperlink>
    </w:p>
    <w:p w14:paraId="774E6EEF" w14:textId="47AFF07E" w:rsidR="006A4412" w:rsidRDefault="006A4412">
      <w:pPr>
        <w:pStyle w:val="TableofFigures"/>
        <w:rPr>
          <w:rFonts w:asciiTheme="minorHAnsi" w:hAnsiTheme="minorHAnsi"/>
          <w:noProof/>
          <w:kern w:val="2"/>
          <w:sz w:val="24"/>
          <w:szCs w:val="24"/>
          <w14:ligatures w14:val="standardContextual"/>
        </w:rPr>
      </w:pPr>
      <w:hyperlink w:anchor="_Toc236903512" w:history="1">
        <w:r w:rsidRPr="0038346A">
          <w:rPr>
            <w:rStyle w:val="Hyperlink"/>
            <w:noProof/>
          </w:rPr>
          <w:t>2026–2028 Wildfire Mitigation SMART Goals Table</w:t>
        </w:r>
        <w:r>
          <w:rPr>
            <w:noProof/>
            <w:webHidden/>
          </w:rPr>
          <w:tab/>
        </w:r>
        <w:r>
          <w:rPr>
            <w:noProof/>
            <w:webHidden/>
          </w:rPr>
          <w:fldChar w:fldCharType="begin"/>
        </w:r>
        <w:r>
          <w:rPr>
            <w:noProof/>
            <w:webHidden/>
          </w:rPr>
          <w:instrText xml:space="preserve"> PAGEREF _Toc236903512 \h </w:instrText>
        </w:r>
        <w:r>
          <w:rPr>
            <w:noProof/>
            <w:webHidden/>
          </w:rPr>
        </w:r>
        <w:r>
          <w:rPr>
            <w:noProof/>
            <w:webHidden/>
          </w:rPr>
          <w:fldChar w:fldCharType="separate"/>
        </w:r>
        <w:r w:rsidR="002407AB">
          <w:rPr>
            <w:noProof/>
            <w:webHidden/>
          </w:rPr>
          <w:t>35</w:t>
        </w:r>
        <w:r>
          <w:rPr>
            <w:noProof/>
            <w:webHidden/>
          </w:rPr>
          <w:fldChar w:fldCharType="end"/>
        </w:r>
      </w:hyperlink>
    </w:p>
    <w:p w14:paraId="1702C3A8" w14:textId="439D1807" w:rsidR="006A4412" w:rsidRDefault="006A4412">
      <w:pPr>
        <w:pStyle w:val="TableofFigures"/>
        <w:rPr>
          <w:rFonts w:asciiTheme="minorHAnsi" w:hAnsiTheme="minorHAnsi"/>
          <w:noProof/>
          <w:kern w:val="2"/>
          <w:sz w:val="24"/>
          <w:szCs w:val="24"/>
          <w14:ligatures w14:val="standardContextual"/>
        </w:rPr>
      </w:pPr>
      <w:hyperlink w:anchor="_Toc236903513" w:history="1">
        <w:r w:rsidRPr="0038346A">
          <w:rPr>
            <w:rStyle w:val="Hyperlink"/>
            <w:noProof/>
          </w:rPr>
          <w:t>2025 Wildfire Season Outage Report</w:t>
        </w:r>
        <w:r>
          <w:rPr>
            <w:noProof/>
            <w:webHidden/>
          </w:rPr>
          <w:tab/>
        </w:r>
        <w:r>
          <w:rPr>
            <w:noProof/>
            <w:webHidden/>
          </w:rPr>
          <w:fldChar w:fldCharType="begin"/>
        </w:r>
        <w:r>
          <w:rPr>
            <w:noProof/>
            <w:webHidden/>
          </w:rPr>
          <w:instrText xml:space="preserve"> PAGEREF _Toc236903513 \h </w:instrText>
        </w:r>
        <w:r>
          <w:rPr>
            <w:noProof/>
            <w:webHidden/>
          </w:rPr>
        </w:r>
        <w:r>
          <w:rPr>
            <w:noProof/>
            <w:webHidden/>
          </w:rPr>
          <w:fldChar w:fldCharType="separate"/>
        </w:r>
        <w:r w:rsidR="002407AB">
          <w:rPr>
            <w:noProof/>
            <w:webHidden/>
          </w:rPr>
          <w:t>42</w:t>
        </w:r>
        <w:r>
          <w:rPr>
            <w:noProof/>
            <w:webHidden/>
          </w:rPr>
          <w:fldChar w:fldCharType="end"/>
        </w:r>
      </w:hyperlink>
    </w:p>
    <w:p w14:paraId="5637E44B" w14:textId="6018CF2F" w:rsidR="00A01221" w:rsidRPr="009931C8" w:rsidRDefault="00A01221" w:rsidP="009931C8">
      <w:pPr>
        <w:pStyle w:val="TOCSectionHeading"/>
      </w:pPr>
      <w:r w:rsidRPr="00074039">
        <w:fldChar w:fldCharType="end"/>
      </w:r>
      <w:r w:rsidRPr="009931C8">
        <w:t>Figure</w:t>
      </w:r>
    </w:p>
    <w:p w14:paraId="5B755EB8" w14:textId="76CC69F4" w:rsidR="006E1943" w:rsidRDefault="00A01221">
      <w:pPr>
        <w:pStyle w:val="TableofFigures"/>
        <w:rPr>
          <w:rFonts w:asciiTheme="minorHAnsi" w:hAnsiTheme="minorHAnsi"/>
          <w:noProof/>
          <w:kern w:val="2"/>
          <w:sz w:val="24"/>
          <w:szCs w:val="24"/>
          <w14:ligatures w14:val="standardContextual"/>
        </w:rPr>
      </w:pPr>
      <w:r w:rsidRPr="00074039">
        <w:rPr>
          <w:rFonts w:cs="Times New Roman"/>
          <w:b/>
          <w:bCs/>
          <w:caps/>
          <w:szCs w:val="24"/>
        </w:rPr>
        <w:fldChar w:fldCharType="begin"/>
      </w:r>
      <w:r w:rsidRPr="00074039">
        <w:rPr>
          <w:b/>
          <w:caps/>
        </w:rPr>
        <w:instrText xml:space="preserve"> TOC \h \z \t "Figure,1" \c "Figure" </w:instrText>
      </w:r>
      <w:r w:rsidRPr="00074039">
        <w:rPr>
          <w:rFonts w:cs="Times New Roman"/>
          <w:b/>
          <w:bCs/>
          <w:caps/>
          <w:szCs w:val="24"/>
        </w:rPr>
        <w:fldChar w:fldCharType="separate"/>
      </w:r>
      <w:hyperlink w:anchor="_Toc236900555" w:history="1">
        <w:r w:rsidR="006E1943" w:rsidRPr="00D7099C">
          <w:rPr>
            <w:rStyle w:val="Hyperlink"/>
            <w:noProof/>
          </w:rPr>
          <w:t>1</w:t>
        </w:r>
        <w:r w:rsidR="006E1943">
          <w:rPr>
            <w:rStyle w:val="Hyperlink"/>
            <w:noProof/>
          </w:rPr>
          <w:tab/>
        </w:r>
        <w:r w:rsidR="006E1943" w:rsidRPr="00D7099C">
          <w:rPr>
            <w:rStyle w:val="Hyperlink"/>
            <w:noProof/>
          </w:rPr>
          <w:t>TDPUD Electric Service Territory</w:t>
        </w:r>
        <w:r w:rsidR="006E1943">
          <w:rPr>
            <w:noProof/>
            <w:webHidden/>
          </w:rPr>
          <w:tab/>
        </w:r>
        <w:r w:rsidR="006E1943">
          <w:rPr>
            <w:noProof/>
            <w:webHidden/>
          </w:rPr>
          <w:fldChar w:fldCharType="begin"/>
        </w:r>
        <w:r w:rsidR="006E1943">
          <w:rPr>
            <w:noProof/>
            <w:webHidden/>
          </w:rPr>
          <w:instrText xml:space="preserve"> PAGEREF _Toc236900555 \h </w:instrText>
        </w:r>
        <w:r w:rsidR="006E1943">
          <w:rPr>
            <w:noProof/>
            <w:webHidden/>
          </w:rPr>
        </w:r>
        <w:r w:rsidR="006E1943">
          <w:rPr>
            <w:noProof/>
            <w:webHidden/>
          </w:rPr>
          <w:fldChar w:fldCharType="separate"/>
        </w:r>
        <w:r w:rsidR="002407AB">
          <w:rPr>
            <w:noProof/>
            <w:webHidden/>
          </w:rPr>
          <w:t>12</w:t>
        </w:r>
        <w:r w:rsidR="006E1943">
          <w:rPr>
            <w:noProof/>
            <w:webHidden/>
          </w:rPr>
          <w:fldChar w:fldCharType="end"/>
        </w:r>
      </w:hyperlink>
    </w:p>
    <w:p w14:paraId="713625CD" w14:textId="40BFAF9B" w:rsidR="009931C8" w:rsidRDefault="00A01221" w:rsidP="00A01221">
      <w:pPr>
        <w:pStyle w:val="TOCSectionHeading"/>
        <w:rPr>
          <w:noProof/>
        </w:rPr>
      </w:pPr>
      <w:r w:rsidRPr="00074039">
        <w:rPr>
          <w:rFonts w:ascii="Franklin Gothic Book" w:hAnsi="Franklin Gothic Book" w:cs="Segoe UI"/>
          <w:noProof/>
          <w:sz w:val="21"/>
          <w:szCs w:val="21"/>
        </w:rPr>
        <w:fldChar w:fldCharType="end"/>
      </w:r>
      <w:r w:rsidRPr="00074039">
        <w:t>Appendixces</w:t>
      </w:r>
      <w:r w:rsidRPr="00074039">
        <w:rPr>
          <w:rFonts w:ascii="Avenir Next LT Pro" w:hAnsi="Avenir Next LT Pro"/>
          <w:color w:val="0F2B4D"/>
          <w:sz w:val="24"/>
        </w:rPr>
        <w:fldChar w:fldCharType="begin"/>
      </w:r>
      <w:r w:rsidRPr="00074039">
        <w:instrText xml:space="preserve"> TOC \n \p " " \h \z \t "Appendix Title,1" \c "Figure" </w:instrText>
      </w:r>
      <w:r w:rsidRPr="00074039">
        <w:rPr>
          <w:rFonts w:ascii="Avenir Next LT Pro" w:hAnsi="Avenir Next LT Pro"/>
          <w:color w:val="0F2B4D"/>
          <w:sz w:val="24"/>
        </w:rPr>
        <w:fldChar w:fldCharType="separate"/>
      </w:r>
    </w:p>
    <w:p w14:paraId="45551CB6" w14:textId="50D4D290" w:rsidR="009931C8" w:rsidRPr="009931C8" w:rsidRDefault="009931C8">
      <w:pPr>
        <w:pStyle w:val="TableofFigures"/>
        <w:rPr>
          <w:rFonts w:asciiTheme="minorHAnsi" w:hAnsiTheme="minorHAnsi"/>
          <w:noProof/>
          <w:kern w:val="2"/>
          <w:sz w:val="24"/>
          <w:szCs w:val="24"/>
          <w14:ligatures w14:val="standardContextual"/>
        </w:rPr>
      </w:pPr>
      <w:r w:rsidRPr="009931C8">
        <w:rPr>
          <w:rStyle w:val="Hyperlink"/>
          <w:noProof/>
          <w:color w:val="auto"/>
          <w:u w:val="none"/>
        </w:rPr>
        <w:t>A</w:t>
      </w:r>
      <w:r w:rsidRPr="009931C8">
        <w:rPr>
          <w:rStyle w:val="Hyperlink"/>
          <w:noProof/>
          <w:color w:val="auto"/>
          <w:u w:val="none"/>
        </w:rPr>
        <w:tab/>
      </w:r>
      <w:hyperlink w:anchor="_Toc236837855" w:history="1">
        <w:r w:rsidRPr="009931C8">
          <w:rPr>
            <w:rStyle w:val="Hyperlink"/>
            <w:noProof/>
            <w:color w:val="auto"/>
            <w:u w:val="none"/>
          </w:rPr>
          <w:t>CPUC High Fire Threat District Map for the Truckee Donner Public Utility</w:t>
        </w:r>
      </w:hyperlink>
    </w:p>
    <w:p w14:paraId="6D3B5A0A" w14:textId="593EE87E" w:rsidR="009931C8" w:rsidRPr="009931C8" w:rsidRDefault="009931C8">
      <w:pPr>
        <w:pStyle w:val="TableofFigures"/>
        <w:rPr>
          <w:rFonts w:asciiTheme="minorHAnsi" w:hAnsiTheme="minorHAnsi"/>
          <w:noProof/>
          <w:kern w:val="2"/>
          <w:sz w:val="24"/>
          <w:szCs w:val="24"/>
          <w14:ligatures w14:val="standardContextual"/>
        </w:rPr>
      </w:pPr>
      <w:r w:rsidRPr="009931C8">
        <w:rPr>
          <w:rStyle w:val="Hyperlink"/>
          <w:noProof/>
          <w:color w:val="auto"/>
          <w:u w:val="none"/>
        </w:rPr>
        <w:t>B</w:t>
      </w:r>
      <w:r w:rsidRPr="009931C8">
        <w:rPr>
          <w:rStyle w:val="Hyperlink"/>
          <w:noProof/>
          <w:color w:val="auto"/>
          <w:u w:val="none"/>
        </w:rPr>
        <w:tab/>
      </w:r>
      <w:hyperlink w:anchor="_Toc236837856" w:history="1">
        <w:r w:rsidRPr="009931C8">
          <w:rPr>
            <w:rStyle w:val="Hyperlink"/>
            <w:noProof/>
            <w:color w:val="auto"/>
            <w:u w:val="none"/>
          </w:rPr>
          <w:t>Prevailing Wind Map</w:t>
        </w:r>
      </w:hyperlink>
    </w:p>
    <w:p w14:paraId="18FA2F5D" w14:textId="46B7B41B" w:rsidR="009931C8" w:rsidRPr="009931C8" w:rsidRDefault="009931C8">
      <w:pPr>
        <w:pStyle w:val="TableofFigures"/>
        <w:rPr>
          <w:rFonts w:asciiTheme="minorHAnsi" w:hAnsiTheme="minorHAnsi"/>
          <w:noProof/>
          <w:kern w:val="2"/>
          <w:sz w:val="24"/>
          <w:szCs w:val="24"/>
          <w14:ligatures w14:val="standardContextual"/>
        </w:rPr>
      </w:pPr>
      <w:r w:rsidRPr="009931C8">
        <w:rPr>
          <w:rStyle w:val="Hyperlink"/>
          <w:noProof/>
          <w:color w:val="auto"/>
          <w:u w:val="none"/>
        </w:rPr>
        <w:t>C</w:t>
      </w:r>
      <w:r w:rsidRPr="009931C8">
        <w:rPr>
          <w:rStyle w:val="Hyperlink"/>
          <w:noProof/>
          <w:color w:val="auto"/>
          <w:u w:val="none"/>
        </w:rPr>
        <w:tab/>
      </w:r>
      <w:hyperlink w:anchor="_Toc236837857" w:history="1">
        <w:r w:rsidRPr="009931C8">
          <w:rPr>
            <w:rStyle w:val="Hyperlink"/>
            <w:noProof/>
            <w:color w:val="auto"/>
            <w:u w:val="none"/>
          </w:rPr>
          <w:t>Vegetation Management Program</w:t>
        </w:r>
      </w:hyperlink>
    </w:p>
    <w:p w14:paraId="4EACC53F" w14:textId="0274498E" w:rsidR="009931C8" w:rsidRPr="009931C8" w:rsidRDefault="009931C8">
      <w:pPr>
        <w:pStyle w:val="TableofFigures"/>
        <w:rPr>
          <w:rFonts w:asciiTheme="minorHAnsi" w:hAnsiTheme="minorHAnsi"/>
          <w:noProof/>
          <w:kern w:val="2"/>
          <w:sz w:val="24"/>
          <w:szCs w:val="24"/>
          <w14:ligatures w14:val="standardContextual"/>
        </w:rPr>
      </w:pPr>
      <w:r w:rsidRPr="009931C8">
        <w:rPr>
          <w:rStyle w:val="Hyperlink"/>
          <w:noProof/>
          <w:color w:val="auto"/>
          <w:u w:val="none"/>
        </w:rPr>
        <w:t>D</w:t>
      </w:r>
      <w:r w:rsidRPr="009931C8">
        <w:rPr>
          <w:rStyle w:val="Hyperlink"/>
          <w:noProof/>
          <w:color w:val="auto"/>
          <w:u w:val="none"/>
        </w:rPr>
        <w:tab/>
      </w:r>
      <w:hyperlink w:anchor="_Toc236837858" w:history="1">
        <w:r w:rsidRPr="009931C8">
          <w:rPr>
            <w:rStyle w:val="Hyperlink"/>
            <w:noProof/>
            <w:color w:val="auto"/>
            <w:u w:val="none"/>
          </w:rPr>
          <w:t>Preemptive Power Shutoff</w:t>
        </w:r>
      </w:hyperlink>
      <w:r w:rsidR="00CC139F">
        <w:rPr>
          <w:rStyle w:val="Hyperlink"/>
          <w:noProof/>
          <w:color w:val="auto"/>
          <w:u w:val="none"/>
        </w:rPr>
        <w:t xml:space="preserve"> - </w:t>
      </w:r>
      <w:hyperlink w:anchor="_Toc236837859" w:history="1">
        <w:r w:rsidRPr="009931C8">
          <w:rPr>
            <w:rStyle w:val="Hyperlink"/>
            <w:noProof/>
            <w:color w:val="auto"/>
            <w:u w:val="none"/>
          </w:rPr>
          <w:t>Standard Operating Procedure</w:t>
        </w:r>
      </w:hyperlink>
    </w:p>
    <w:p w14:paraId="5517E1DE" w14:textId="423677AB" w:rsidR="009931C8" w:rsidRPr="009931C8" w:rsidRDefault="00CC139F">
      <w:pPr>
        <w:pStyle w:val="TableofFigures"/>
        <w:rPr>
          <w:rFonts w:asciiTheme="minorHAnsi" w:hAnsiTheme="minorHAnsi"/>
          <w:noProof/>
          <w:kern w:val="2"/>
          <w:sz w:val="24"/>
          <w:szCs w:val="24"/>
          <w14:ligatures w14:val="standardContextual"/>
        </w:rPr>
      </w:pPr>
      <w:r>
        <w:rPr>
          <w:rStyle w:val="Hyperlink"/>
          <w:noProof/>
          <w:color w:val="auto"/>
          <w:u w:val="none"/>
        </w:rPr>
        <w:t>E</w:t>
      </w:r>
      <w:r w:rsidR="009931C8" w:rsidRPr="009931C8">
        <w:rPr>
          <w:rStyle w:val="Hyperlink"/>
          <w:noProof/>
          <w:color w:val="auto"/>
          <w:u w:val="none"/>
        </w:rPr>
        <w:tab/>
      </w:r>
      <w:hyperlink w:anchor="_Toc236837860" w:history="1">
        <w:r w:rsidR="009931C8" w:rsidRPr="009931C8">
          <w:rPr>
            <w:rStyle w:val="Hyperlink"/>
            <w:noProof/>
            <w:color w:val="auto"/>
            <w:u w:val="none"/>
          </w:rPr>
          <w:t>Weather and Risk Intelligence</w:t>
        </w:r>
        <w:r w:rsidR="00B361FD">
          <w:rPr>
            <w:rStyle w:val="Hyperlink"/>
            <w:noProof/>
            <w:color w:val="auto"/>
            <w:u w:val="none"/>
          </w:rPr>
          <w:t xml:space="preserve"> </w:t>
        </w:r>
        <w:r w:rsidR="009931C8" w:rsidRPr="009931C8">
          <w:rPr>
            <w:rStyle w:val="Hyperlink"/>
            <w:noProof/>
            <w:color w:val="auto"/>
            <w:u w:val="none"/>
          </w:rPr>
          <w:t>(Cloudfire) Dashboard</w:t>
        </w:r>
      </w:hyperlink>
    </w:p>
    <w:p w14:paraId="0114CBD0" w14:textId="1CAF56BB" w:rsidR="00451956" w:rsidRPr="00B7066A" w:rsidRDefault="00A01221" w:rsidP="00A01221">
      <w:pPr>
        <w:pStyle w:val="TOCSectionHeading"/>
        <w:sectPr w:rsidR="00451956" w:rsidRPr="00B7066A" w:rsidSect="006B5EB1">
          <w:headerReference w:type="default" r:id="rId13"/>
          <w:footerReference w:type="default" r:id="rId14"/>
          <w:headerReference w:type="first" r:id="rId15"/>
          <w:footerReference w:type="first" r:id="rId16"/>
          <w:pgSz w:w="12240" w:h="15840" w:code="1"/>
          <w:pgMar w:top="1440" w:right="1440" w:bottom="1440" w:left="1440" w:header="720" w:footer="720" w:gutter="0"/>
          <w:pgNumType w:fmt="lowerRoman" w:start="1"/>
          <w:cols w:space="720"/>
          <w:titlePg/>
          <w:docGrid w:linePitch="360"/>
        </w:sectPr>
      </w:pPr>
      <w:r w:rsidRPr="00074039">
        <w:rPr>
          <w:color w:val="1F497D" w:themeColor="text2"/>
          <w:sz w:val="28"/>
        </w:rPr>
        <w:fldChar w:fldCharType="end"/>
      </w:r>
    </w:p>
    <w:p w14:paraId="15DB8D7B" w14:textId="77777777" w:rsidR="002B70A7" w:rsidRPr="003B5CDE" w:rsidRDefault="002B70A7" w:rsidP="00F82879">
      <w:pPr>
        <w:pStyle w:val="Heading1"/>
        <w:spacing w:after="240"/>
      </w:pPr>
      <w:bookmarkStart w:id="1" w:name="_Toc30776164"/>
      <w:bookmarkStart w:id="2" w:name="_Toc36204417"/>
      <w:bookmarkStart w:id="3" w:name="_Toc135748517"/>
      <w:bookmarkStart w:id="4" w:name="_Toc236903442"/>
      <w:bookmarkStart w:id="5" w:name="_Hlk133246054"/>
      <w:bookmarkStart w:id="6" w:name="_Toc157230978"/>
      <w:r w:rsidRPr="003B5CDE">
        <w:lastRenderedPageBreak/>
        <w:t>Acronyms and Abbreviations</w:t>
      </w:r>
      <w:bookmarkEnd w:id="1"/>
      <w:bookmarkEnd w:id="2"/>
      <w:bookmarkEnd w:id="3"/>
      <w:bookmarkEnd w:id="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7"/>
        <w:gridCol w:w="6143"/>
      </w:tblGrid>
      <w:tr w:rsidR="0031330A" w:rsidRPr="00293728" w14:paraId="2C486960" w14:textId="77777777" w:rsidTr="001D7993">
        <w:trPr>
          <w:tblHeader/>
          <w:jc w:val="center"/>
        </w:trPr>
        <w:tc>
          <w:tcPr>
            <w:tcW w:w="3239" w:type="dxa"/>
            <w:shd w:val="clear" w:color="auto" w:fill="1CADE4"/>
            <w:vAlign w:val="center"/>
          </w:tcPr>
          <w:p w14:paraId="1133D334" w14:textId="77777777" w:rsidR="0031330A" w:rsidRPr="00F82879" w:rsidRDefault="0031330A" w:rsidP="00BB0CE1">
            <w:pPr>
              <w:pStyle w:val="TableHeading"/>
            </w:pPr>
            <w:r w:rsidRPr="00F82879">
              <w:t>Acronym/Abbreviation</w:t>
            </w:r>
          </w:p>
        </w:tc>
        <w:tc>
          <w:tcPr>
            <w:tcW w:w="6639" w:type="dxa"/>
            <w:shd w:val="clear" w:color="auto" w:fill="1CADE4"/>
            <w:vAlign w:val="center"/>
          </w:tcPr>
          <w:p w14:paraId="0C3A1BC7" w14:textId="77777777" w:rsidR="0031330A" w:rsidRPr="00F82879" w:rsidRDefault="0031330A" w:rsidP="00BB0CE1">
            <w:pPr>
              <w:pStyle w:val="TableHeading"/>
            </w:pPr>
            <w:r w:rsidRPr="00F82879">
              <w:t>Definition</w:t>
            </w:r>
          </w:p>
        </w:tc>
      </w:tr>
      <w:tr w:rsidR="0031330A" w:rsidRPr="00293728" w14:paraId="5B29F335" w14:textId="77777777" w:rsidTr="001D7993">
        <w:trPr>
          <w:jc w:val="center"/>
        </w:trPr>
        <w:tc>
          <w:tcPr>
            <w:tcW w:w="3239" w:type="dxa"/>
          </w:tcPr>
          <w:p w14:paraId="70FF57AC" w14:textId="77777777" w:rsidR="0031330A" w:rsidRPr="00BB0CE1" w:rsidRDefault="0031330A" w:rsidP="00BB0CE1">
            <w:pPr>
              <w:pStyle w:val="TableText"/>
            </w:pPr>
            <w:r w:rsidRPr="00BB0CE1">
              <w:t>AGM</w:t>
            </w:r>
          </w:p>
        </w:tc>
        <w:tc>
          <w:tcPr>
            <w:tcW w:w="6639" w:type="dxa"/>
          </w:tcPr>
          <w:p w14:paraId="0ED34C7C" w14:textId="77777777" w:rsidR="0031330A" w:rsidRPr="00BB0CE1" w:rsidRDefault="0031330A" w:rsidP="00BB0CE1">
            <w:pPr>
              <w:pStyle w:val="TableText"/>
            </w:pPr>
            <w:r w:rsidRPr="00BB0CE1">
              <w:t>Assistant General Manager</w:t>
            </w:r>
          </w:p>
        </w:tc>
      </w:tr>
      <w:tr w:rsidR="0031330A" w:rsidRPr="00293728" w14:paraId="0166CA0A" w14:textId="77777777" w:rsidTr="001D7993">
        <w:trPr>
          <w:jc w:val="center"/>
        </w:trPr>
        <w:tc>
          <w:tcPr>
            <w:tcW w:w="3239" w:type="dxa"/>
          </w:tcPr>
          <w:p w14:paraId="73642100" w14:textId="77777777" w:rsidR="0031330A" w:rsidRPr="00BB0CE1" w:rsidRDefault="0031330A" w:rsidP="00BB0CE1">
            <w:pPr>
              <w:pStyle w:val="TableText"/>
            </w:pPr>
            <w:r w:rsidRPr="00BB0CE1">
              <w:t>AMI</w:t>
            </w:r>
          </w:p>
        </w:tc>
        <w:tc>
          <w:tcPr>
            <w:tcW w:w="6639" w:type="dxa"/>
          </w:tcPr>
          <w:p w14:paraId="6352FAA7" w14:textId="77777777" w:rsidR="0031330A" w:rsidRPr="00BB0CE1" w:rsidRDefault="0031330A" w:rsidP="00BB0CE1">
            <w:pPr>
              <w:pStyle w:val="TableText"/>
            </w:pPr>
            <w:r w:rsidRPr="00BB0CE1">
              <w:t>advanced metering infrastructure</w:t>
            </w:r>
          </w:p>
        </w:tc>
      </w:tr>
      <w:tr w:rsidR="0031330A" w:rsidRPr="00293728" w14:paraId="5D64B345" w14:textId="77777777" w:rsidTr="001D7993">
        <w:trPr>
          <w:jc w:val="center"/>
        </w:trPr>
        <w:tc>
          <w:tcPr>
            <w:tcW w:w="3239" w:type="dxa"/>
          </w:tcPr>
          <w:p w14:paraId="5F618E4A" w14:textId="77777777" w:rsidR="0031330A" w:rsidRPr="00BB0CE1" w:rsidRDefault="0031330A" w:rsidP="00BB0CE1">
            <w:pPr>
              <w:pStyle w:val="TableText"/>
            </w:pPr>
            <w:r w:rsidRPr="00BB0CE1">
              <w:t>CAL FIRE</w:t>
            </w:r>
          </w:p>
        </w:tc>
        <w:tc>
          <w:tcPr>
            <w:tcW w:w="6639" w:type="dxa"/>
          </w:tcPr>
          <w:p w14:paraId="3C9C909D" w14:textId="77777777" w:rsidR="0031330A" w:rsidRPr="00BB0CE1" w:rsidRDefault="0031330A" w:rsidP="00BB0CE1">
            <w:pPr>
              <w:pStyle w:val="TableText"/>
            </w:pPr>
            <w:r w:rsidRPr="00BB0CE1">
              <w:t>California Department of Forestry and Fire Protection</w:t>
            </w:r>
          </w:p>
        </w:tc>
      </w:tr>
      <w:tr w:rsidR="0031330A" w:rsidRPr="00293728" w14:paraId="057DB68B" w14:textId="77777777" w:rsidTr="001D7993">
        <w:trPr>
          <w:jc w:val="center"/>
        </w:trPr>
        <w:tc>
          <w:tcPr>
            <w:tcW w:w="3239" w:type="dxa"/>
          </w:tcPr>
          <w:p w14:paraId="7B3E4EE8" w14:textId="77777777" w:rsidR="0031330A" w:rsidRPr="00BB0CE1" w:rsidRDefault="0031330A" w:rsidP="00BB0CE1">
            <w:pPr>
              <w:pStyle w:val="TableText"/>
            </w:pPr>
            <w:r w:rsidRPr="00BB0CE1">
              <w:t>CPUC</w:t>
            </w:r>
          </w:p>
        </w:tc>
        <w:tc>
          <w:tcPr>
            <w:tcW w:w="6639" w:type="dxa"/>
          </w:tcPr>
          <w:p w14:paraId="20660941" w14:textId="77777777" w:rsidR="0031330A" w:rsidRPr="00BB0CE1" w:rsidRDefault="0031330A" w:rsidP="00BB0CE1">
            <w:pPr>
              <w:pStyle w:val="TableText"/>
            </w:pPr>
            <w:r w:rsidRPr="00BB0CE1">
              <w:t>California Public Utilities Commission</w:t>
            </w:r>
          </w:p>
        </w:tc>
      </w:tr>
      <w:tr w:rsidR="007869D9" w:rsidRPr="00293728" w14:paraId="4E3F9DAF" w14:textId="77777777" w:rsidTr="001D7993">
        <w:trPr>
          <w:jc w:val="center"/>
        </w:trPr>
        <w:tc>
          <w:tcPr>
            <w:tcW w:w="3239" w:type="dxa"/>
          </w:tcPr>
          <w:p w14:paraId="485399A9" w14:textId="546C3A28" w:rsidR="007869D9" w:rsidRPr="00BB0CE1" w:rsidRDefault="007869D9" w:rsidP="00BB0CE1">
            <w:pPr>
              <w:pStyle w:val="TableText"/>
            </w:pPr>
            <w:r w:rsidRPr="00BB0CE1">
              <w:t>ELF</w:t>
            </w:r>
          </w:p>
        </w:tc>
        <w:tc>
          <w:tcPr>
            <w:tcW w:w="6639" w:type="dxa"/>
          </w:tcPr>
          <w:p w14:paraId="4A3AD664" w14:textId="2E470ECE" w:rsidR="007869D9" w:rsidRPr="00BB0CE1" w:rsidRDefault="007869D9" w:rsidP="00BB0CE1">
            <w:pPr>
              <w:pStyle w:val="TableText"/>
            </w:pPr>
            <w:r w:rsidRPr="00BB0CE1">
              <w:t>Energy Limiting Fuse</w:t>
            </w:r>
          </w:p>
        </w:tc>
      </w:tr>
      <w:tr w:rsidR="0031330A" w:rsidRPr="00293728" w14:paraId="64A2A344" w14:textId="77777777" w:rsidTr="001D7993">
        <w:trPr>
          <w:jc w:val="center"/>
        </w:trPr>
        <w:tc>
          <w:tcPr>
            <w:tcW w:w="3239" w:type="dxa"/>
          </w:tcPr>
          <w:p w14:paraId="42D0A140" w14:textId="77777777" w:rsidR="0031330A" w:rsidRPr="00BB0CE1" w:rsidRDefault="0031330A" w:rsidP="00BB0CE1">
            <w:pPr>
              <w:pStyle w:val="TableText"/>
            </w:pPr>
            <w:r w:rsidRPr="00BB0CE1">
              <w:t>GIS</w:t>
            </w:r>
          </w:p>
        </w:tc>
        <w:tc>
          <w:tcPr>
            <w:tcW w:w="6639" w:type="dxa"/>
          </w:tcPr>
          <w:p w14:paraId="58C6FB46" w14:textId="77777777" w:rsidR="0031330A" w:rsidRPr="00BB0CE1" w:rsidRDefault="0031330A" w:rsidP="00BB0CE1">
            <w:pPr>
              <w:pStyle w:val="TableText"/>
            </w:pPr>
            <w:r w:rsidRPr="00BB0CE1">
              <w:t>geographic information system</w:t>
            </w:r>
          </w:p>
        </w:tc>
      </w:tr>
      <w:tr w:rsidR="0031330A" w:rsidRPr="00293728" w14:paraId="297C016C" w14:textId="77777777" w:rsidTr="001D7993">
        <w:trPr>
          <w:jc w:val="center"/>
        </w:trPr>
        <w:tc>
          <w:tcPr>
            <w:tcW w:w="3239" w:type="dxa"/>
          </w:tcPr>
          <w:p w14:paraId="4E5E44B0" w14:textId="77777777" w:rsidR="0031330A" w:rsidRPr="00BB0CE1" w:rsidRDefault="0031330A" w:rsidP="00BB0CE1">
            <w:pPr>
              <w:pStyle w:val="TableText"/>
            </w:pPr>
            <w:r w:rsidRPr="00BB0CE1">
              <w:t>GO</w:t>
            </w:r>
          </w:p>
        </w:tc>
        <w:tc>
          <w:tcPr>
            <w:tcW w:w="6639" w:type="dxa"/>
          </w:tcPr>
          <w:p w14:paraId="117DFDBD" w14:textId="77777777" w:rsidR="0031330A" w:rsidRPr="00BB0CE1" w:rsidRDefault="0031330A" w:rsidP="00BB0CE1">
            <w:pPr>
              <w:pStyle w:val="TableText"/>
            </w:pPr>
            <w:r w:rsidRPr="00BB0CE1">
              <w:t>General Order</w:t>
            </w:r>
          </w:p>
        </w:tc>
      </w:tr>
      <w:tr w:rsidR="0031330A" w:rsidRPr="00293728" w14:paraId="5B01B0C2" w14:textId="77777777" w:rsidTr="001D7993">
        <w:trPr>
          <w:jc w:val="center"/>
        </w:trPr>
        <w:tc>
          <w:tcPr>
            <w:tcW w:w="3239" w:type="dxa"/>
          </w:tcPr>
          <w:p w14:paraId="154F43D6" w14:textId="77777777" w:rsidR="0031330A" w:rsidRPr="00BB0CE1" w:rsidRDefault="0031330A" w:rsidP="00BB0CE1">
            <w:pPr>
              <w:pStyle w:val="TableText"/>
            </w:pPr>
            <w:r w:rsidRPr="00BB0CE1">
              <w:t>HFTD</w:t>
            </w:r>
          </w:p>
        </w:tc>
        <w:tc>
          <w:tcPr>
            <w:tcW w:w="6639" w:type="dxa"/>
          </w:tcPr>
          <w:p w14:paraId="1CEA13AE" w14:textId="77777777" w:rsidR="0031330A" w:rsidRPr="00BB0CE1" w:rsidRDefault="0031330A" w:rsidP="00BB0CE1">
            <w:pPr>
              <w:pStyle w:val="TableText"/>
            </w:pPr>
            <w:r w:rsidRPr="00BB0CE1">
              <w:t>High Fire Threat District</w:t>
            </w:r>
          </w:p>
        </w:tc>
      </w:tr>
      <w:tr w:rsidR="0031330A" w:rsidRPr="00293728" w14:paraId="5C2FF880" w14:textId="77777777" w:rsidTr="001D7993">
        <w:trPr>
          <w:jc w:val="center"/>
        </w:trPr>
        <w:tc>
          <w:tcPr>
            <w:tcW w:w="3239" w:type="dxa"/>
          </w:tcPr>
          <w:p w14:paraId="6AE6E54E" w14:textId="77777777" w:rsidR="0031330A" w:rsidRPr="00BB0CE1" w:rsidRDefault="0031330A" w:rsidP="00BB0CE1">
            <w:pPr>
              <w:pStyle w:val="TableText"/>
            </w:pPr>
            <w:r w:rsidRPr="00BB0CE1">
              <w:t>kV</w:t>
            </w:r>
          </w:p>
        </w:tc>
        <w:tc>
          <w:tcPr>
            <w:tcW w:w="6639" w:type="dxa"/>
          </w:tcPr>
          <w:p w14:paraId="36F7D194" w14:textId="77777777" w:rsidR="0031330A" w:rsidRPr="00BB0CE1" w:rsidRDefault="0031330A" w:rsidP="00BB0CE1">
            <w:pPr>
              <w:pStyle w:val="TableText"/>
            </w:pPr>
            <w:r w:rsidRPr="00BB0CE1">
              <w:t>kilovolt</w:t>
            </w:r>
          </w:p>
        </w:tc>
      </w:tr>
      <w:tr w:rsidR="0031330A" w:rsidRPr="00293728" w14:paraId="2577652C" w14:textId="77777777" w:rsidTr="001D7993">
        <w:trPr>
          <w:jc w:val="center"/>
        </w:trPr>
        <w:tc>
          <w:tcPr>
            <w:tcW w:w="3239" w:type="dxa"/>
          </w:tcPr>
          <w:p w14:paraId="375D2942" w14:textId="77777777" w:rsidR="0031330A" w:rsidRPr="00BB0CE1" w:rsidRDefault="0031330A" w:rsidP="00BB0CE1">
            <w:pPr>
              <w:pStyle w:val="TableText"/>
            </w:pPr>
            <w:r w:rsidRPr="00BB0CE1">
              <w:t>NCJPA</w:t>
            </w:r>
          </w:p>
        </w:tc>
        <w:tc>
          <w:tcPr>
            <w:tcW w:w="6639" w:type="dxa"/>
          </w:tcPr>
          <w:p w14:paraId="0C048BE4" w14:textId="77777777" w:rsidR="0031330A" w:rsidRPr="00BB0CE1" w:rsidRDefault="0031330A" w:rsidP="00BB0CE1">
            <w:pPr>
              <w:pStyle w:val="TableText"/>
            </w:pPr>
            <w:r w:rsidRPr="00BB0CE1">
              <w:t>Northern California Joint Pole Association</w:t>
            </w:r>
          </w:p>
        </w:tc>
      </w:tr>
      <w:tr w:rsidR="0031330A" w:rsidRPr="00293728" w14:paraId="3BFDE391" w14:textId="77777777" w:rsidTr="001D7993">
        <w:trPr>
          <w:jc w:val="center"/>
        </w:trPr>
        <w:tc>
          <w:tcPr>
            <w:tcW w:w="3239" w:type="dxa"/>
          </w:tcPr>
          <w:p w14:paraId="70711D6D" w14:textId="77777777" w:rsidR="0031330A" w:rsidRPr="00BB0CE1" w:rsidRDefault="0031330A" w:rsidP="00BB0CE1">
            <w:pPr>
              <w:pStyle w:val="TableText"/>
            </w:pPr>
            <w:r w:rsidRPr="00BB0CE1">
              <w:t>NISC</w:t>
            </w:r>
          </w:p>
        </w:tc>
        <w:tc>
          <w:tcPr>
            <w:tcW w:w="6639" w:type="dxa"/>
          </w:tcPr>
          <w:p w14:paraId="3E82D3A3" w14:textId="77777777" w:rsidR="0031330A" w:rsidRPr="00BB0CE1" w:rsidRDefault="0031330A" w:rsidP="00BB0CE1">
            <w:pPr>
              <w:pStyle w:val="TableText"/>
            </w:pPr>
            <w:r w:rsidRPr="00BB0CE1">
              <w:t>National Information Solutions Cooperative</w:t>
            </w:r>
          </w:p>
        </w:tc>
      </w:tr>
      <w:tr w:rsidR="0031330A" w:rsidRPr="00293728" w14:paraId="73EBF57C" w14:textId="77777777" w:rsidTr="001D7993">
        <w:trPr>
          <w:jc w:val="center"/>
        </w:trPr>
        <w:tc>
          <w:tcPr>
            <w:tcW w:w="3239" w:type="dxa"/>
          </w:tcPr>
          <w:p w14:paraId="160FF2DE" w14:textId="77777777" w:rsidR="0031330A" w:rsidRPr="00BB0CE1" w:rsidRDefault="0031330A" w:rsidP="00BB0CE1">
            <w:pPr>
              <w:pStyle w:val="TableText"/>
            </w:pPr>
            <w:r w:rsidRPr="00BB0CE1">
              <w:t>OMS</w:t>
            </w:r>
          </w:p>
        </w:tc>
        <w:tc>
          <w:tcPr>
            <w:tcW w:w="6639" w:type="dxa"/>
          </w:tcPr>
          <w:p w14:paraId="7CE4E32B" w14:textId="77777777" w:rsidR="0031330A" w:rsidRPr="00BB0CE1" w:rsidRDefault="0031330A" w:rsidP="00BB0CE1">
            <w:pPr>
              <w:pStyle w:val="TableText"/>
            </w:pPr>
            <w:r w:rsidRPr="00BB0CE1">
              <w:t>Outage Management System</w:t>
            </w:r>
          </w:p>
        </w:tc>
      </w:tr>
      <w:tr w:rsidR="0031330A" w:rsidRPr="00293728" w14:paraId="5EFA71DC" w14:textId="77777777" w:rsidTr="001D7993">
        <w:trPr>
          <w:jc w:val="center"/>
        </w:trPr>
        <w:tc>
          <w:tcPr>
            <w:tcW w:w="3239" w:type="dxa"/>
          </w:tcPr>
          <w:p w14:paraId="3E358278" w14:textId="77777777" w:rsidR="0031330A" w:rsidRPr="00BB0CE1" w:rsidRDefault="0031330A" w:rsidP="00BB0CE1">
            <w:pPr>
              <w:pStyle w:val="TableText"/>
            </w:pPr>
            <w:r w:rsidRPr="00BB0CE1">
              <w:t>PIO</w:t>
            </w:r>
          </w:p>
        </w:tc>
        <w:tc>
          <w:tcPr>
            <w:tcW w:w="6639" w:type="dxa"/>
          </w:tcPr>
          <w:p w14:paraId="25DB0924" w14:textId="77777777" w:rsidR="0031330A" w:rsidRPr="00BB0CE1" w:rsidRDefault="0031330A" w:rsidP="00BB0CE1">
            <w:pPr>
              <w:pStyle w:val="TableText"/>
            </w:pPr>
            <w:r w:rsidRPr="00BB0CE1">
              <w:t>Public Information Officer</w:t>
            </w:r>
          </w:p>
        </w:tc>
      </w:tr>
      <w:tr w:rsidR="00E03609" w:rsidRPr="00293728" w14:paraId="548D56F8" w14:textId="77777777" w:rsidTr="001D7993">
        <w:trPr>
          <w:jc w:val="center"/>
        </w:trPr>
        <w:tc>
          <w:tcPr>
            <w:tcW w:w="3239" w:type="dxa"/>
          </w:tcPr>
          <w:p w14:paraId="1BCD6429" w14:textId="08DEE58A" w:rsidR="00E03609" w:rsidRPr="00BB0CE1" w:rsidRDefault="00E03609" w:rsidP="00BB0CE1">
            <w:pPr>
              <w:pStyle w:val="TableText"/>
            </w:pPr>
            <w:r w:rsidRPr="00BB0CE1">
              <w:t>PPS</w:t>
            </w:r>
          </w:p>
        </w:tc>
        <w:tc>
          <w:tcPr>
            <w:tcW w:w="6639" w:type="dxa"/>
          </w:tcPr>
          <w:p w14:paraId="31884A0B" w14:textId="45BAD5DF" w:rsidR="00E03609" w:rsidRPr="00BB0CE1" w:rsidRDefault="00992235" w:rsidP="00BB0CE1">
            <w:pPr>
              <w:pStyle w:val="TableText"/>
            </w:pPr>
            <w:r w:rsidRPr="00BB0CE1">
              <w:t>Preemptive Power Shutoff</w:t>
            </w:r>
          </w:p>
        </w:tc>
      </w:tr>
      <w:tr w:rsidR="0031330A" w:rsidRPr="00293728" w14:paraId="0BFAE654" w14:textId="77777777" w:rsidTr="001D7993">
        <w:trPr>
          <w:jc w:val="center"/>
        </w:trPr>
        <w:tc>
          <w:tcPr>
            <w:tcW w:w="3239" w:type="dxa"/>
          </w:tcPr>
          <w:p w14:paraId="48EEDF36" w14:textId="77777777" w:rsidR="0031330A" w:rsidRPr="00BB0CE1" w:rsidRDefault="0031330A" w:rsidP="00BB0CE1">
            <w:pPr>
              <w:pStyle w:val="TableText"/>
            </w:pPr>
            <w:r w:rsidRPr="00BB0CE1">
              <w:lastRenderedPageBreak/>
              <w:t>PSOM</w:t>
            </w:r>
          </w:p>
        </w:tc>
        <w:tc>
          <w:tcPr>
            <w:tcW w:w="6639" w:type="dxa"/>
          </w:tcPr>
          <w:p w14:paraId="0EF5EFBD" w14:textId="77777777" w:rsidR="0031330A" w:rsidRPr="00BB0CE1" w:rsidRDefault="0031330A" w:rsidP="00BB0CE1">
            <w:pPr>
              <w:pStyle w:val="TableText"/>
            </w:pPr>
            <w:r w:rsidRPr="00BB0CE1">
              <w:t>Public Safety Outage Management</w:t>
            </w:r>
          </w:p>
        </w:tc>
      </w:tr>
      <w:tr w:rsidR="005F4962" w:rsidRPr="00293728" w14:paraId="58BB7726" w14:textId="77777777" w:rsidTr="001D7993">
        <w:trPr>
          <w:jc w:val="center"/>
        </w:trPr>
        <w:tc>
          <w:tcPr>
            <w:tcW w:w="3239" w:type="dxa"/>
          </w:tcPr>
          <w:p w14:paraId="2CE34064" w14:textId="2975B2B4" w:rsidR="005F4962" w:rsidRPr="00BB0CE1" w:rsidRDefault="005F4962" w:rsidP="00BB0CE1">
            <w:pPr>
              <w:pStyle w:val="TableText"/>
            </w:pPr>
            <w:r w:rsidRPr="00BB0CE1">
              <w:t>PSPS</w:t>
            </w:r>
          </w:p>
        </w:tc>
        <w:tc>
          <w:tcPr>
            <w:tcW w:w="6639" w:type="dxa"/>
          </w:tcPr>
          <w:p w14:paraId="252A0982" w14:textId="23556A6D" w:rsidR="005F4962" w:rsidRPr="00BB0CE1" w:rsidRDefault="005F4962" w:rsidP="00BB0CE1">
            <w:pPr>
              <w:pStyle w:val="TableText"/>
            </w:pPr>
            <w:r w:rsidRPr="00BB0CE1">
              <w:t>Public Safety Power Shutoff</w:t>
            </w:r>
          </w:p>
        </w:tc>
      </w:tr>
      <w:tr w:rsidR="005F4962" w:rsidRPr="00293728" w14:paraId="7934A7B7" w14:textId="77777777" w:rsidTr="001D7993">
        <w:trPr>
          <w:jc w:val="center"/>
        </w:trPr>
        <w:tc>
          <w:tcPr>
            <w:tcW w:w="3239" w:type="dxa"/>
          </w:tcPr>
          <w:p w14:paraId="61F0BA37" w14:textId="77777777" w:rsidR="005F4962" w:rsidRPr="00BB0CE1" w:rsidRDefault="005F4962" w:rsidP="00BB0CE1">
            <w:pPr>
              <w:pStyle w:val="TableText"/>
            </w:pPr>
            <w:r w:rsidRPr="00BB0CE1">
              <w:t>RFW</w:t>
            </w:r>
          </w:p>
        </w:tc>
        <w:tc>
          <w:tcPr>
            <w:tcW w:w="6639" w:type="dxa"/>
          </w:tcPr>
          <w:p w14:paraId="6B24AE03" w14:textId="77777777" w:rsidR="005F4962" w:rsidRPr="00BB0CE1" w:rsidRDefault="005F4962" w:rsidP="00BB0CE1">
            <w:pPr>
              <w:pStyle w:val="TableText"/>
            </w:pPr>
            <w:r w:rsidRPr="00BB0CE1">
              <w:t>Red Flag Warning</w:t>
            </w:r>
          </w:p>
        </w:tc>
      </w:tr>
      <w:tr w:rsidR="005F4962" w:rsidRPr="00293728" w14:paraId="7C954188" w14:textId="77777777" w:rsidTr="001D7993">
        <w:trPr>
          <w:jc w:val="center"/>
        </w:trPr>
        <w:tc>
          <w:tcPr>
            <w:tcW w:w="3239" w:type="dxa"/>
          </w:tcPr>
          <w:p w14:paraId="741316C8" w14:textId="77777777" w:rsidR="005F4962" w:rsidRPr="00BB0CE1" w:rsidRDefault="005F4962" w:rsidP="00BB0CE1">
            <w:pPr>
              <w:pStyle w:val="TableText"/>
            </w:pPr>
            <w:r w:rsidRPr="00BB0CE1">
              <w:t>SCADA</w:t>
            </w:r>
          </w:p>
        </w:tc>
        <w:tc>
          <w:tcPr>
            <w:tcW w:w="6639" w:type="dxa"/>
          </w:tcPr>
          <w:p w14:paraId="1B5DE7E0" w14:textId="77777777" w:rsidR="005F4962" w:rsidRPr="00BB0CE1" w:rsidRDefault="005F4962" w:rsidP="00BB0CE1">
            <w:pPr>
              <w:pStyle w:val="TableText"/>
            </w:pPr>
            <w:r w:rsidRPr="00BB0CE1">
              <w:t>Supervisory Control and Data Acquisition</w:t>
            </w:r>
          </w:p>
        </w:tc>
      </w:tr>
      <w:tr w:rsidR="005F4962" w:rsidRPr="00293728" w14:paraId="05872A75" w14:textId="77777777" w:rsidTr="001D7993">
        <w:trPr>
          <w:jc w:val="center"/>
        </w:trPr>
        <w:tc>
          <w:tcPr>
            <w:tcW w:w="3239" w:type="dxa"/>
          </w:tcPr>
          <w:p w14:paraId="04FFF15A" w14:textId="77777777" w:rsidR="005F4962" w:rsidRPr="00BB0CE1" w:rsidRDefault="005F4962" w:rsidP="00BB0CE1">
            <w:pPr>
              <w:pStyle w:val="TableText"/>
            </w:pPr>
            <w:r w:rsidRPr="00BB0CE1">
              <w:t>SEMS</w:t>
            </w:r>
          </w:p>
        </w:tc>
        <w:tc>
          <w:tcPr>
            <w:tcW w:w="6639" w:type="dxa"/>
          </w:tcPr>
          <w:p w14:paraId="69DAAF62" w14:textId="77777777" w:rsidR="005F4962" w:rsidRPr="00BB0CE1" w:rsidRDefault="005F4962" w:rsidP="00BB0CE1">
            <w:pPr>
              <w:pStyle w:val="TableText"/>
            </w:pPr>
            <w:r w:rsidRPr="00BB0CE1">
              <w:t>Standardized Emergency Management System</w:t>
            </w:r>
          </w:p>
        </w:tc>
      </w:tr>
      <w:tr w:rsidR="005F4962" w:rsidRPr="00293728" w14:paraId="25EAA7BA" w14:textId="77777777" w:rsidTr="001D7993">
        <w:trPr>
          <w:jc w:val="center"/>
        </w:trPr>
        <w:tc>
          <w:tcPr>
            <w:tcW w:w="3239" w:type="dxa"/>
          </w:tcPr>
          <w:p w14:paraId="2D74748A" w14:textId="77777777" w:rsidR="005F4962" w:rsidRPr="00BB0CE1" w:rsidRDefault="005F4962" w:rsidP="00BB0CE1">
            <w:pPr>
              <w:pStyle w:val="TableText"/>
            </w:pPr>
            <w:r w:rsidRPr="00BB0CE1">
              <w:t>TDPUD</w:t>
            </w:r>
          </w:p>
        </w:tc>
        <w:tc>
          <w:tcPr>
            <w:tcW w:w="6639" w:type="dxa"/>
          </w:tcPr>
          <w:p w14:paraId="67A7A826" w14:textId="77777777" w:rsidR="005F4962" w:rsidRPr="00BB0CE1" w:rsidRDefault="005F4962" w:rsidP="00BB0CE1">
            <w:pPr>
              <w:pStyle w:val="TableText"/>
            </w:pPr>
            <w:r w:rsidRPr="00BB0CE1">
              <w:t>Truckee Donner Public Utility District</w:t>
            </w:r>
          </w:p>
        </w:tc>
      </w:tr>
      <w:tr w:rsidR="005F4962" w:rsidRPr="00293728" w14:paraId="37FDFC2A" w14:textId="77777777" w:rsidTr="001D7993">
        <w:trPr>
          <w:jc w:val="center"/>
        </w:trPr>
        <w:tc>
          <w:tcPr>
            <w:tcW w:w="3239" w:type="dxa"/>
          </w:tcPr>
          <w:p w14:paraId="36314FF4" w14:textId="77777777" w:rsidR="005F4962" w:rsidRPr="00BB0CE1" w:rsidRDefault="005F4962" w:rsidP="00BB0CE1">
            <w:pPr>
              <w:pStyle w:val="TableText"/>
            </w:pPr>
            <w:r w:rsidRPr="00BB0CE1">
              <w:t>VMP</w:t>
            </w:r>
          </w:p>
        </w:tc>
        <w:tc>
          <w:tcPr>
            <w:tcW w:w="6639" w:type="dxa"/>
          </w:tcPr>
          <w:p w14:paraId="1CD52520" w14:textId="77777777" w:rsidR="005F4962" w:rsidRPr="00BB0CE1" w:rsidRDefault="005F4962" w:rsidP="00BB0CE1">
            <w:pPr>
              <w:pStyle w:val="TableText"/>
            </w:pPr>
            <w:r w:rsidRPr="00BB0CE1">
              <w:t>Vegetation Management Plan</w:t>
            </w:r>
          </w:p>
        </w:tc>
      </w:tr>
      <w:tr w:rsidR="005F4962" w:rsidRPr="00106BF3" w14:paraId="0223ACC2" w14:textId="77777777" w:rsidTr="001D7993">
        <w:trPr>
          <w:jc w:val="center"/>
        </w:trPr>
        <w:tc>
          <w:tcPr>
            <w:tcW w:w="3239" w:type="dxa"/>
          </w:tcPr>
          <w:p w14:paraId="25BFB24C" w14:textId="77777777" w:rsidR="005F4962" w:rsidRPr="00BB0CE1" w:rsidRDefault="005F4962" w:rsidP="00BB0CE1">
            <w:pPr>
              <w:pStyle w:val="TableText"/>
            </w:pPr>
            <w:r w:rsidRPr="00BB0CE1">
              <w:t>WMP (or Plan)</w:t>
            </w:r>
          </w:p>
        </w:tc>
        <w:tc>
          <w:tcPr>
            <w:tcW w:w="6639" w:type="dxa"/>
          </w:tcPr>
          <w:p w14:paraId="4627DBAF" w14:textId="77777777" w:rsidR="005F4962" w:rsidRPr="00BB0CE1" w:rsidRDefault="005F4962" w:rsidP="00BB0CE1">
            <w:pPr>
              <w:pStyle w:val="TableText"/>
            </w:pPr>
            <w:r w:rsidRPr="00BB0CE1">
              <w:t>Wildfire Mitigation Plan</w:t>
            </w:r>
          </w:p>
        </w:tc>
      </w:tr>
    </w:tbl>
    <w:p w14:paraId="1D6E2DD4" w14:textId="77777777" w:rsidR="00B1400C" w:rsidRDefault="00B1400C" w:rsidP="00BB0CE1">
      <w:pPr>
        <w:pStyle w:val="TableSourceNote"/>
      </w:pPr>
    </w:p>
    <w:p w14:paraId="16E8C85E" w14:textId="67CC5964" w:rsidR="000B0A45" w:rsidRDefault="000B0A45">
      <w:pPr>
        <w:spacing w:before="0" w:after="0" w:line="240" w:lineRule="auto"/>
        <w:rPr>
          <w:rFonts w:ascii="Franklin Gothic Book" w:hAnsi="Franklin Gothic Book"/>
          <w:bCs/>
          <w:caps/>
          <w:sz w:val="21"/>
          <w:szCs w:val="21"/>
        </w:rPr>
      </w:pPr>
      <w:r>
        <w:rPr>
          <w:rFonts w:ascii="Franklin Gothic Book" w:hAnsi="Franklin Gothic Book"/>
          <w:bCs/>
          <w:caps/>
          <w:sz w:val="21"/>
          <w:szCs w:val="21"/>
        </w:rPr>
        <w:br w:type="page"/>
      </w:r>
    </w:p>
    <w:p w14:paraId="3AE41469" w14:textId="4DF5450D" w:rsidR="00DF069D" w:rsidRPr="001A6E59" w:rsidRDefault="00DF069D" w:rsidP="000B0A45">
      <w:pPr>
        <w:pStyle w:val="Heading1"/>
        <w:rPr>
          <w:rFonts w:eastAsia="Times New Roman"/>
        </w:rPr>
      </w:pPr>
      <w:bookmarkStart w:id="7" w:name="_Toc236903443"/>
      <w:bookmarkEnd w:id="5"/>
      <w:r w:rsidRPr="001A6E59">
        <w:rPr>
          <w:rFonts w:eastAsia="Times New Roman"/>
        </w:rPr>
        <w:lastRenderedPageBreak/>
        <w:t>Executive Summary</w:t>
      </w:r>
      <w:bookmarkEnd w:id="7"/>
    </w:p>
    <w:p w14:paraId="5AEFCC58" w14:textId="770761EE" w:rsidR="00DF069D" w:rsidRPr="001A6E59" w:rsidRDefault="00DF069D" w:rsidP="000B0A45">
      <w:pPr>
        <w:pStyle w:val="BodyText"/>
        <w:rPr>
          <w:rFonts w:eastAsia="Times New Roman"/>
        </w:rPr>
      </w:pPr>
      <w:r w:rsidRPr="001A6E59">
        <w:rPr>
          <w:rFonts w:eastAsia="Times New Roman"/>
        </w:rPr>
        <w:t>The Truckee Donner Public Utility District (TDPUD</w:t>
      </w:r>
      <w:r w:rsidR="006014FA">
        <w:rPr>
          <w:rFonts w:eastAsia="Times New Roman"/>
        </w:rPr>
        <w:t xml:space="preserve"> or District</w:t>
      </w:r>
      <w:r w:rsidRPr="001A6E59">
        <w:rPr>
          <w:rFonts w:eastAsia="Times New Roman"/>
        </w:rPr>
        <w:t>) is committed to providing safe, reliable, and resilient electric service while reducing the risk of utility-related wildfire ignitions. The District's Wildfire Mitigation Plan (WMP</w:t>
      </w:r>
      <w:r w:rsidR="006014FA">
        <w:rPr>
          <w:rFonts w:eastAsia="Times New Roman"/>
        </w:rPr>
        <w:t xml:space="preserve"> or Plan</w:t>
      </w:r>
      <w:r w:rsidRPr="001A6E59">
        <w:rPr>
          <w:rFonts w:eastAsia="Times New Roman"/>
        </w:rPr>
        <w:t>) establishes a comprehensive, risk-based approach to wildfire prevention through strategic investments in infrastructure, advanced technologies, vegetation management, operational readiness, and continuous improvement.</w:t>
      </w:r>
    </w:p>
    <w:p w14:paraId="3C7F41C2" w14:textId="77777777" w:rsidR="00DF069D" w:rsidRPr="001A6E59" w:rsidRDefault="00DF069D" w:rsidP="000B0A45">
      <w:pPr>
        <w:pStyle w:val="BodyText"/>
        <w:rPr>
          <w:rFonts w:eastAsia="Times New Roman"/>
        </w:rPr>
      </w:pPr>
      <w:r w:rsidRPr="001A6E59">
        <w:rPr>
          <w:rFonts w:eastAsia="Times New Roman"/>
        </w:rPr>
        <w:t>Prepared in accordance with California Public Utilities Code Section 8387, as amended by Senate Bill 254, this Wildfire Mitigation Plan documents the District's wildfire mitigation strategies, operational practices, and long-term investment priorities. The Plan reflects TDPUD's commitment to protecting public safety, enhancing system reliability, reducing wildfire risk, and adapting to evolving environmental conditions and regulatory requirements.</w:t>
      </w:r>
    </w:p>
    <w:p w14:paraId="790A77A1" w14:textId="77777777" w:rsidR="00DF069D" w:rsidRPr="001A6E59" w:rsidRDefault="00DF069D" w:rsidP="005F4962">
      <w:pPr>
        <w:pStyle w:val="Heading2"/>
        <w:rPr>
          <w:rFonts w:eastAsia="Times New Roman"/>
        </w:rPr>
      </w:pPr>
      <w:bookmarkStart w:id="8" w:name="_Toc236903444"/>
      <w:r w:rsidRPr="001A6E59">
        <w:rPr>
          <w:rFonts w:eastAsia="Times New Roman"/>
        </w:rPr>
        <w:t>Wildfire Mitigation Program Highlights</w:t>
      </w:r>
      <w:bookmarkEnd w:id="8"/>
    </w:p>
    <w:p w14:paraId="219C589F" w14:textId="77777777" w:rsidR="00DF069D" w:rsidRPr="001A6E59" w:rsidRDefault="00DF069D" w:rsidP="000B0A45">
      <w:pPr>
        <w:pStyle w:val="BodyText"/>
        <w:rPr>
          <w:rFonts w:eastAsia="Times New Roman"/>
        </w:rPr>
      </w:pPr>
      <w:r w:rsidRPr="001A6E59">
        <w:rPr>
          <w:rFonts w:eastAsia="Times New Roman"/>
        </w:rPr>
        <w:t>Since 2025, TDPUD has significantly expanded its wildfire mitigation program through targeted investments in infrastructure, advanced protection technologies, situational awareness, and operational preparedness. These investments have strengthened the District's ability to reduce wildfire ignition risk, improve system reliability, and enhance operational readiness during elevated fire weather conditions. Major initiatives include:</w:t>
      </w:r>
    </w:p>
    <w:p w14:paraId="06008C6E" w14:textId="77777777" w:rsidR="00DF069D" w:rsidRPr="001A6E59" w:rsidRDefault="00DF069D" w:rsidP="000B0A45">
      <w:pPr>
        <w:pStyle w:val="BulletList"/>
        <w:rPr>
          <w:rFonts w:eastAsia="Times New Roman"/>
        </w:rPr>
      </w:pPr>
      <w:r w:rsidRPr="001A6E59">
        <w:rPr>
          <w:rFonts w:eastAsia="Times New Roman"/>
        </w:rPr>
        <w:t>Established an annual overhead system hardening program targeting approximately six miles of distribution line improvements utilizing ductile iron poles, covered conductor, and composite crossarms.</w:t>
      </w:r>
    </w:p>
    <w:p w14:paraId="5E180212" w14:textId="5B79911E" w:rsidR="00DF069D" w:rsidRPr="001A6E59" w:rsidRDefault="00DF069D" w:rsidP="000B0A45">
      <w:pPr>
        <w:pStyle w:val="BulletList"/>
        <w:rPr>
          <w:rFonts w:eastAsia="Times New Roman"/>
        </w:rPr>
      </w:pPr>
      <w:r w:rsidRPr="001A6E59">
        <w:rPr>
          <w:rFonts w:eastAsia="Times New Roman"/>
        </w:rPr>
        <w:t>Deployed approximately 37</w:t>
      </w:r>
      <w:r w:rsidR="00902CF4">
        <w:rPr>
          <w:rFonts w:eastAsia="Times New Roman"/>
        </w:rPr>
        <w:t>8</w:t>
      </w:r>
      <w:r w:rsidRPr="001A6E59">
        <w:rPr>
          <w:rFonts w:eastAsia="Times New Roman"/>
        </w:rPr>
        <w:t xml:space="preserve"> Gridware line sensors and </w:t>
      </w:r>
      <w:r w:rsidR="00086D78">
        <w:rPr>
          <w:rFonts w:eastAsia="Times New Roman"/>
        </w:rPr>
        <w:t>t</w:t>
      </w:r>
      <w:r w:rsidR="00592C59">
        <w:rPr>
          <w:rFonts w:eastAsia="Times New Roman"/>
        </w:rPr>
        <w:t>hree</w:t>
      </w:r>
      <w:r w:rsidR="006014FA" w:rsidRPr="001A6E59">
        <w:rPr>
          <w:rFonts w:eastAsia="Times New Roman"/>
        </w:rPr>
        <w:t xml:space="preserve"> </w:t>
      </w:r>
      <w:r w:rsidRPr="001A6E59">
        <w:rPr>
          <w:rFonts w:eastAsia="Times New Roman"/>
        </w:rPr>
        <w:t>weather stations to enhance system monitoring and situational awareness.</w:t>
      </w:r>
    </w:p>
    <w:p w14:paraId="5A144986" w14:textId="77777777" w:rsidR="00DF069D" w:rsidRPr="001A6E59" w:rsidRDefault="00DF069D" w:rsidP="000B0A45">
      <w:pPr>
        <w:pStyle w:val="BulletList"/>
        <w:rPr>
          <w:rFonts w:eastAsia="Times New Roman"/>
        </w:rPr>
      </w:pPr>
      <w:r w:rsidRPr="001A6E59">
        <w:rPr>
          <w:rFonts w:eastAsia="Times New Roman"/>
        </w:rPr>
        <w:t>Integrated CloudFire weather forecasting, Composite Risk Index (CRI), and AlertWest camera systems to support operational decision-making.</w:t>
      </w:r>
    </w:p>
    <w:p w14:paraId="5755837A" w14:textId="77777777" w:rsidR="00DF069D" w:rsidRPr="001A6E59" w:rsidRDefault="00DF069D" w:rsidP="000B0A45">
      <w:pPr>
        <w:pStyle w:val="BulletList"/>
        <w:rPr>
          <w:rFonts w:eastAsia="Times New Roman"/>
        </w:rPr>
      </w:pPr>
      <w:r w:rsidRPr="001A6E59">
        <w:rPr>
          <w:rFonts w:eastAsia="Times New Roman"/>
        </w:rPr>
        <w:t>Implemented a comprehensive vegetation management program supported by LiDAR analysis, annual inspections, enhanced patrols, and risk-based asset inspections.</w:t>
      </w:r>
    </w:p>
    <w:p w14:paraId="06A1CB72" w14:textId="2D4E8CF0" w:rsidR="00DF069D" w:rsidRPr="001A6E59" w:rsidRDefault="00DF069D" w:rsidP="000B0A45">
      <w:pPr>
        <w:pStyle w:val="BulletList"/>
        <w:rPr>
          <w:rFonts w:eastAsia="Times New Roman"/>
        </w:rPr>
      </w:pPr>
      <w:r w:rsidRPr="001A6E59">
        <w:rPr>
          <w:rFonts w:eastAsia="Times New Roman"/>
        </w:rPr>
        <w:t>Developed Public Safety Power Shutoff (P</w:t>
      </w:r>
      <w:r w:rsidR="00992235">
        <w:rPr>
          <w:rFonts w:eastAsia="Times New Roman"/>
        </w:rPr>
        <w:t>S</w:t>
      </w:r>
      <w:r w:rsidRPr="001A6E59">
        <w:rPr>
          <w:rFonts w:eastAsia="Times New Roman"/>
        </w:rPr>
        <w:t>PS) procedures supported by Incident Command System (ICS) training, tabletop exercises, and emergency response planning.</w:t>
      </w:r>
    </w:p>
    <w:p w14:paraId="08068C04" w14:textId="77777777" w:rsidR="00DF069D" w:rsidRPr="001A6E59" w:rsidRDefault="00DF069D" w:rsidP="000B0A45">
      <w:pPr>
        <w:pStyle w:val="BulletList"/>
        <w:rPr>
          <w:rFonts w:eastAsia="Times New Roman"/>
        </w:rPr>
      </w:pPr>
      <w:r w:rsidRPr="001A6E59">
        <w:rPr>
          <w:rFonts w:eastAsia="Times New Roman"/>
        </w:rPr>
        <w:t>Implemented FAST Trip (Adaptive Protection Settings Scheme – APSS) to reduce fault clearing times during elevated wildfire risk conditions.</w:t>
      </w:r>
    </w:p>
    <w:p w14:paraId="7E362062" w14:textId="7274664C" w:rsidR="00DF069D" w:rsidRPr="001A6E59" w:rsidRDefault="00DF069D" w:rsidP="000B0A45">
      <w:pPr>
        <w:pStyle w:val="BulletList"/>
        <w:rPr>
          <w:rFonts w:eastAsia="Times New Roman"/>
        </w:rPr>
      </w:pPr>
      <w:r w:rsidRPr="001A6E59">
        <w:rPr>
          <w:rFonts w:eastAsia="Times New Roman"/>
        </w:rPr>
        <w:t>Initiated a phased Fault Tamer Fuse program to improve protection coordination and wildfire resilience on the Glenshire 14.4-</w:t>
      </w:r>
      <w:r w:rsidR="00ED610D">
        <w:rPr>
          <w:rFonts w:eastAsia="Times New Roman"/>
        </w:rPr>
        <w:t>kilovolt (</w:t>
      </w:r>
      <w:r w:rsidRPr="001A6E59">
        <w:rPr>
          <w:rFonts w:eastAsia="Times New Roman"/>
        </w:rPr>
        <w:t>kV</w:t>
      </w:r>
      <w:r w:rsidR="00ED610D">
        <w:rPr>
          <w:rFonts w:eastAsia="Times New Roman"/>
        </w:rPr>
        <w:t>)</w:t>
      </w:r>
      <w:r w:rsidRPr="001A6E59">
        <w:rPr>
          <w:rFonts w:eastAsia="Times New Roman"/>
        </w:rPr>
        <w:t xml:space="preserve"> distribution system.</w:t>
      </w:r>
    </w:p>
    <w:p w14:paraId="7D8552DF" w14:textId="77777777" w:rsidR="00DF069D" w:rsidRPr="001A6E59" w:rsidRDefault="00DF069D" w:rsidP="000B0A45">
      <w:pPr>
        <w:pStyle w:val="BulletList"/>
        <w:rPr>
          <w:rFonts w:eastAsia="Times New Roman"/>
        </w:rPr>
      </w:pPr>
      <w:r w:rsidRPr="001A6E59">
        <w:rPr>
          <w:rFonts w:eastAsia="Times New Roman"/>
        </w:rPr>
        <w:t>Continued strategic investments in asset inspection, maintenance, and infrastructure replacement to improve system resilience and reduce wildfire ignition risk.</w:t>
      </w:r>
    </w:p>
    <w:p w14:paraId="1763E680" w14:textId="77777777" w:rsidR="00604DCF" w:rsidRPr="00E03609" w:rsidRDefault="00604DCF" w:rsidP="000B0A45">
      <w:pPr>
        <w:pStyle w:val="Heading2"/>
        <w:keepLines/>
        <w:rPr>
          <w:rFonts w:eastAsia="Times New Roman"/>
        </w:rPr>
      </w:pPr>
      <w:bookmarkStart w:id="9" w:name="_Toc236903445"/>
      <w:r w:rsidRPr="00E03609">
        <w:rPr>
          <w:rFonts w:eastAsia="Times New Roman"/>
        </w:rPr>
        <w:lastRenderedPageBreak/>
        <w:t>Layered Wildfire Mitigation Strategy</w:t>
      </w:r>
      <w:bookmarkEnd w:id="9"/>
    </w:p>
    <w:p w14:paraId="6E8E6FF9" w14:textId="77777777" w:rsidR="00604DCF" w:rsidRPr="00E03609" w:rsidRDefault="00604DCF" w:rsidP="000B0A45">
      <w:pPr>
        <w:pStyle w:val="BodyText"/>
        <w:rPr>
          <w:rFonts w:eastAsia="Times New Roman"/>
        </w:rPr>
      </w:pPr>
      <w:r w:rsidRPr="00E03609">
        <w:rPr>
          <w:rFonts w:eastAsia="Times New Roman"/>
        </w:rPr>
        <w:t>TDPUD's wildfire mitigation program is built upon a layered defense strategy that integrates prevention, detection, and protection to reduce the likelihood of utility-related wildfire ignitions while enhancing system reliability and operational resiliency. Rather than relying on a single mitigation measure, the District employs multiple complementary strategies that work together to reduce wildfire risk.</w:t>
      </w:r>
    </w:p>
    <w:p w14:paraId="696A9B7D" w14:textId="77777777" w:rsidR="00604DCF" w:rsidRPr="00E03609" w:rsidRDefault="00604DCF" w:rsidP="005F4962">
      <w:pPr>
        <w:pStyle w:val="Heading3"/>
        <w:rPr>
          <w:rFonts w:eastAsia="Times New Roman"/>
        </w:rPr>
      </w:pPr>
      <w:bookmarkStart w:id="10" w:name="_Toc236903446"/>
      <w:r w:rsidRPr="00E03609">
        <w:rPr>
          <w:rFonts w:eastAsia="Times New Roman"/>
        </w:rPr>
        <w:t>Prevention</w:t>
      </w:r>
      <w:bookmarkEnd w:id="10"/>
    </w:p>
    <w:p w14:paraId="39DC0A50" w14:textId="77777777" w:rsidR="00604DCF" w:rsidRPr="00E03609" w:rsidRDefault="00604DCF" w:rsidP="000B0A45">
      <w:pPr>
        <w:pStyle w:val="BodyText"/>
        <w:rPr>
          <w:rFonts w:eastAsia="Times New Roman"/>
        </w:rPr>
      </w:pPr>
      <w:r w:rsidRPr="00E03609">
        <w:rPr>
          <w:rFonts w:eastAsia="Times New Roman"/>
        </w:rPr>
        <w:t>The prevention layer focuses on reducing the likelihood of a wildfire ignition through proactive infrastructure investments, vegetation management, inspections, and engineering practices.</w:t>
      </w:r>
    </w:p>
    <w:p w14:paraId="49847B39" w14:textId="77777777" w:rsidR="00604DCF" w:rsidRPr="00E03609" w:rsidRDefault="00604DCF" w:rsidP="005F4962">
      <w:pPr>
        <w:pStyle w:val="Subheading1"/>
        <w:rPr>
          <w:rFonts w:eastAsia="Times New Roman"/>
        </w:rPr>
      </w:pPr>
      <w:r w:rsidRPr="00E03609">
        <w:rPr>
          <w:rFonts w:eastAsia="Times New Roman"/>
        </w:rPr>
        <w:t>System Hardening</w:t>
      </w:r>
    </w:p>
    <w:p w14:paraId="7A782394" w14:textId="77777777" w:rsidR="00604DCF" w:rsidRPr="00E03609" w:rsidRDefault="00604DCF" w:rsidP="000B0A45">
      <w:pPr>
        <w:pStyle w:val="BulletList"/>
        <w:rPr>
          <w:rFonts w:eastAsia="Times New Roman"/>
        </w:rPr>
      </w:pPr>
      <w:r w:rsidRPr="00E03609">
        <w:rPr>
          <w:rFonts w:eastAsia="Times New Roman"/>
        </w:rPr>
        <w:t>Covered conductor</w:t>
      </w:r>
    </w:p>
    <w:p w14:paraId="6DF9D7DA" w14:textId="77777777" w:rsidR="00604DCF" w:rsidRPr="00E03609" w:rsidRDefault="00604DCF" w:rsidP="000B0A45">
      <w:pPr>
        <w:pStyle w:val="BulletList"/>
        <w:rPr>
          <w:rFonts w:eastAsia="Times New Roman"/>
        </w:rPr>
      </w:pPr>
      <w:r w:rsidRPr="00E03609">
        <w:rPr>
          <w:rFonts w:eastAsia="Times New Roman"/>
        </w:rPr>
        <w:t>Ductile iron poles</w:t>
      </w:r>
    </w:p>
    <w:p w14:paraId="24DAC666" w14:textId="77777777" w:rsidR="00604DCF" w:rsidRPr="00E03609" w:rsidRDefault="00604DCF" w:rsidP="000B0A45">
      <w:pPr>
        <w:pStyle w:val="BulletList"/>
        <w:rPr>
          <w:rFonts w:eastAsia="Times New Roman"/>
        </w:rPr>
      </w:pPr>
      <w:r w:rsidRPr="00E03609">
        <w:rPr>
          <w:rFonts w:eastAsia="Times New Roman"/>
        </w:rPr>
        <w:t>Composite crossarms</w:t>
      </w:r>
    </w:p>
    <w:p w14:paraId="77FA08CC" w14:textId="3F5606AD" w:rsidR="00604DCF" w:rsidRPr="00E03609" w:rsidRDefault="00604DCF" w:rsidP="000B0A45">
      <w:pPr>
        <w:pStyle w:val="BulletList"/>
        <w:rPr>
          <w:rFonts w:eastAsia="Times New Roman"/>
        </w:rPr>
      </w:pPr>
      <w:r w:rsidRPr="00E03609">
        <w:rPr>
          <w:rFonts w:eastAsia="Times New Roman"/>
        </w:rPr>
        <w:t>CAL FIRE</w:t>
      </w:r>
      <w:r w:rsidR="006014FA">
        <w:rPr>
          <w:rFonts w:eastAsia="Times New Roman"/>
        </w:rPr>
        <w:t>–</w:t>
      </w:r>
      <w:r w:rsidRPr="00E03609">
        <w:rPr>
          <w:rFonts w:eastAsia="Times New Roman"/>
        </w:rPr>
        <w:t>approved non-expulsion fuse technology, where appropriate</w:t>
      </w:r>
    </w:p>
    <w:p w14:paraId="4E3080D4" w14:textId="77777777" w:rsidR="00604DCF" w:rsidRPr="00E03609" w:rsidRDefault="00604DCF" w:rsidP="005F4962">
      <w:pPr>
        <w:pStyle w:val="Subheading1"/>
        <w:rPr>
          <w:rFonts w:eastAsia="Times New Roman"/>
        </w:rPr>
      </w:pPr>
      <w:r w:rsidRPr="00E03609">
        <w:rPr>
          <w:rFonts w:eastAsia="Times New Roman"/>
        </w:rPr>
        <w:t>Vegetation Management</w:t>
      </w:r>
    </w:p>
    <w:p w14:paraId="35CB35A2" w14:textId="77777777" w:rsidR="00604DCF" w:rsidRPr="00E03609" w:rsidRDefault="00604DCF" w:rsidP="000B0A45">
      <w:pPr>
        <w:pStyle w:val="BulletList"/>
        <w:rPr>
          <w:rFonts w:eastAsia="Times New Roman"/>
        </w:rPr>
      </w:pPr>
      <w:r w:rsidRPr="00E03609">
        <w:rPr>
          <w:rFonts w:eastAsia="Times New Roman"/>
        </w:rPr>
        <w:t>Routine vegetation inspections and clearances</w:t>
      </w:r>
    </w:p>
    <w:p w14:paraId="4FD561EA" w14:textId="77777777" w:rsidR="00604DCF" w:rsidRPr="00E03609" w:rsidRDefault="00604DCF" w:rsidP="000B0A45">
      <w:pPr>
        <w:pStyle w:val="BulletList"/>
        <w:rPr>
          <w:rFonts w:eastAsia="Times New Roman"/>
        </w:rPr>
      </w:pPr>
      <w:r w:rsidRPr="00E03609">
        <w:rPr>
          <w:rFonts w:eastAsia="Times New Roman"/>
        </w:rPr>
        <w:t>LiDAR-supported vegetation analysis</w:t>
      </w:r>
    </w:p>
    <w:p w14:paraId="481A3496" w14:textId="77777777" w:rsidR="00604DCF" w:rsidRPr="00E03609" w:rsidRDefault="00604DCF" w:rsidP="000B0A45">
      <w:pPr>
        <w:pStyle w:val="BulletList"/>
        <w:rPr>
          <w:rFonts w:eastAsia="Times New Roman"/>
        </w:rPr>
      </w:pPr>
      <w:r w:rsidRPr="00E03609">
        <w:rPr>
          <w:rFonts w:eastAsia="Times New Roman"/>
        </w:rPr>
        <w:t>Targeted hazard tree mitigation</w:t>
      </w:r>
    </w:p>
    <w:p w14:paraId="30602B85" w14:textId="77777777" w:rsidR="00604DCF" w:rsidRPr="00E03609" w:rsidRDefault="00604DCF" w:rsidP="005F4962">
      <w:pPr>
        <w:pStyle w:val="Subheading1"/>
        <w:rPr>
          <w:rFonts w:eastAsia="Times New Roman"/>
        </w:rPr>
      </w:pPr>
      <w:r w:rsidRPr="00E03609">
        <w:rPr>
          <w:rFonts w:eastAsia="Times New Roman"/>
        </w:rPr>
        <w:t>Inspections and Patrols</w:t>
      </w:r>
    </w:p>
    <w:p w14:paraId="74725CAA" w14:textId="77777777" w:rsidR="00604DCF" w:rsidRPr="00E03609" w:rsidRDefault="00604DCF" w:rsidP="000B0A45">
      <w:pPr>
        <w:pStyle w:val="BulletList"/>
        <w:rPr>
          <w:rFonts w:eastAsia="Times New Roman"/>
        </w:rPr>
      </w:pPr>
      <w:r w:rsidRPr="00E03609">
        <w:rPr>
          <w:rFonts w:eastAsia="Times New Roman"/>
        </w:rPr>
        <w:t>GO 165 inspections</w:t>
      </w:r>
    </w:p>
    <w:p w14:paraId="6259CD4F" w14:textId="77777777" w:rsidR="00604DCF" w:rsidRPr="00E03609" w:rsidRDefault="00604DCF" w:rsidP="000B0A45">
      <w:pPr>
        <w:pStyle w:val="BulletList"/>
        <w:rPr>
          <w:rFonts w:eastAsia="Times New Roman"/>
        </w:rPr>
      </w:pPr>
      <w:r w:rsidRPr="00E03609">
        <w:rPr>
          <w:rFonts w:eastAsia="Times New Roman"/>
        </w:rPr>
        <w:t>Enhanced patrols before and after Red Flag Warning events</w:t>
      </w:r>
    </w:p>
    <w:p w14:paraId="2A262ABD" w14:textId="77777777" w:rsidR="00604DCF" w:rsidRPr="00E03609" w:rsidRDefault="00604DCF" w:rsidP="000B0A45">
      <w:pPr>
        <w:pStyle w:val="BulletList"/>
        <w:rPr>
          <w:rFonts w:eastAsia="Times New Roman"/>
        </w:rPr>
      </w:pPr>
      <w:r w:rsidRPr="00E03609">
        <w:rPr>
          <w:rFonts w:eastAsia="Times New Roman"/>
        </w:rPr>
        <w:t>Risk-based asset inspections</w:t>
      </w:r>
    </w:p>
    <w:p w14:paraId="154262BD" w14:textId="77777777" w:rsidR="00604DCF" w:rsidRPr="00E03609" w:rsidRDefault="00604DCF" w:rsidP="005F4962">
      <w:pPr>
        <w:pStyle w:val="Subheading1"/>
        <w:rPr>
          <w:rFonts w:eastAsia="Times New Roman"/>
        </w:rPr>
      </w:pPr>
      <w:r w:rsidRPr="00E03609">
        <w:rPr>
          <w:rFonts w:eastAsia="Times New Roman"/>
        </w:rPr>
        <w:t>Industry Expert Support</w:t>
      </w:r>
    </w:p>
    <w:p w14:paraId="2ED2AA7A" w14:textId="77777777" w:rsidR="00604DCF" w:rsidRPr="00E03609" w:rsidRDefault="00604DCF" w:rsidP="000B0A45">
      <w:pPr>
        <w:pStyle w:val="BulletList"/>
        <w:rPr>
          <w:rFonts w:eastAsia="Times New Roman"/>
        </w:rPr>
      </w:pPr>
      <w:r w:rsidRPr="00E03609">
        <w:rPr>
          <w:rFonts w:eastAsia="Times New Roman"/>
        </w:rPr>
        <w:t>Engineering support</w:t>
      </w:r>
    </w:p>
    <w:p w14:paraId="62E2DE8A" w14:textId="77777777" w:rsidR="00604DCF" w:rsidRPr="00E03609" w:rsidRDefault="00604DCF" w:rsidP="000B0A45">
      <w:pPr>
        <w:pStyle w:val="BulletList"/>
        <w:rPr>
          <w:rFonts w:eastAsia="Times New Roman"/>
        </w:rPr>
      </w:pPr>
      <w:r w:rsidRPr="00E03609">
        <w:rPr>
          <w:rFonts w:eastAsia="Times New Roman"/>
        </w:rPr>
        <w:t>Wildfire mitigation planning</w:t>
      </w:r>
    </w:p>
    <w:p w14:paraId="34803444" w14:textId="77777777" w:rsidR="00604DCF" w:rsidRPr="00E03609" w:rsidRDefault="00604DCF" w:rsidP="000B0A45">
      <w:pPr>
        <w:pStyle w:val="BulletList"/>
        <w:rPr>
          <w:rFonts w:eastAsia="Times New Roman"/>
        </w:rPr>
      </w:pPr>
      <w:r w:rsidRPr="00E03609">
        <w:rPr>
          <w:rFonts w:eastAsia="Times New Roman"/>
        </w:rPr>
        <w:t>Continuous improvement and incorporation of industry best practices</w:t>
      </w:r>
    </w:p>
    <w:p w14:paraId="3561F044" w14:textId="77777777" w:rsidR="00604DCF" w:rsidRPr="00E03609" w:rsidRDefault="00604DCF" w:rsidP="005F4962">
      <w:pPr>
        <w:pStyle w:val="Heading3"/>
        <w:rPr>
          <w:rFonts w:eastAsia="Times New Roman"/>
        </w:rPr>
      </w:pPr>
      <w:bookmarkStart w:id="11" w:name="_Toc236903447"/>
      <w:r w:rsidRPr="00E03609">
        <w:rPr>
          <w:rFonts w:eastAsia="Times New Roman"/>
        </w:rPr>
        <w:t>Detection</w:t>
      </w:r>
      <w:bookmarkEnd w:id="11"/>
    </w:p>
    <w:p w14:paraId="094B3932" w14:textId="77777777" w:rsidR="00604DCF" w:rsidRPr="00E03609" w:rsidRDefault="00604DCF" w:rsidP="000B0A45">
      <w:pPr>
        <w:pStyle w:val="BodyText"/>
        <w:rPr>
          <w:rFonts w:eastAsia="Times New Roman"/>
        </w:rPr>
      </w:pPr>
      <w:r w:rsidRPr="00E03609">
        <w:rPr>
          <w:rFonts w:eastAsia="Times New Roman"/>
        </w:rPr>
        <w:t>The detection layer enhances situational awareness by providing real-time information about system conditions and wildfire risk.</w:t>
      </w:r>
    </w:p>
    <w:p w14:paraId="25DDFA7F" w14:textId="77777777" w:rsidR="00604DCF" w:rsidRPr="00E03609" w:rsidRDefault="00604DCF" w:rsidP="005F4962">
      <w:pPr>
        <w:pStyle w:val="Subheading1"/>
        <w:rPr>
          <w:rFonts w:eastAsia="Times New Roman"/>
        </w:rPr>
      </w:pPr>
      <w:r w:rsidRPr="00E03609">
        <w:rPr>
          <w:rFonts w:eastAsia="Times New Roman"/>
        </w:rPr>
        <w:lastRenderedPageBreak/>
        <w:t>Line Sensor Technology</w:t>
      </w:r>
    </w:p>
    <w:p w14:paraId="4FDFB0FA" w14:textId="61C11120" w:rsidR="00604DCF" w:rsidRPr="00E03609" w:rsidRDefault="00604DCF" w:rsidP="000B0A45">
      <w:pPr>
        <w:pStyle w:val="BulletList"/>
        <w:rPr>
          <w:rFonts w:eastAsia="Times New Roman"/>
        </w:rPr>
      </w:pPr>
      <w:r w:rsidRPr="00E03609">
        <w:rPr>
          <w:rFonts w:eastAsia="Times New Roman"/>
        </w:rPr>
        <w:t>Approximately 37</w:t>
      </w:r>
      <w:r w:rsidR="00D20AD6">
        <w:rPr>
          <w:rFonts w:eastAsia="Times New Roman"/>
        </w:rPr>
        <w:t>8</w:t>
      </w:r>
      <w:r w:rsidRPr="00E03609">
        <w:rPr>
          <w:rFonts w:eastAsia="Times New Roman"/>
        </w:rPr>
        <w:t xml:space="preserve"> Gridware line sensors</w:t>
      </w:r>
    </w:p>
    <w:p w14:paraId="539554AA" w14:textId="77777777" w:rsidR="00604DCF" w:rsidRPr="00E03609" w:rsidRDefault="00604DCF" w:rsidP="000B0A45">
      <w:pPr>
        <w:pStyle w:val="BulletList"/>
        <w:rPr>
          <w:rFonts w:eastAsia="Times New Roman"/>
        </w:rPr>
      </w:pPr>
      <w:r w:rsidRPr="00E03609">
        <w:rPr>
          <w:rFonts w:eastAsia="Times New Roman"/>
        </w:rPr>
        <w:t>Real-time fault detection</w:t>
      </w:r>
    </w:p>
    <w:p w14:paraId="22DDE28A" w14:textId="77777777" w:rsidR="00604DCF" w:rsidRPr="00E03609" w:rsidRDefault="00604DCF" w:rsidP="000B0A45">
      <w:pPr>
        <w:pStyle w:val="BulletList"/>
        <w:rPr>
          <w:rFonts w:eastAsia="Times New Roman"/>
        </w:rPr>
      </w:pPr>
      <w:r w:rsidRPr="00E03609">
        <w:rPr>
          <w:rFonts w:eastAsia="Times New Roman"/>
        </w:rPr>
        <w:t>Conductor monitoring</w:t>
      </w:r>
    </w:p>
    <w:p w14:paraId="35488760" w14:textId="77777777" w:rsidR="00604DCF" w:rsidRPr="00E03609" w:rsidRDefault="00604DCF" w:rsidP="000B0A45">
      <w:pPr>
        <w:pStyle w:val="BulletList"/>
        <w:rPr>
          <w:rFonts w:eastAsia="Times New Roman"/>
        </w:rPr>
      </w:pPr>
      <w:r w:rsidRPr="00E03609">
        <w:rPr>
          <w:rFonts w:eastAsia="Times New Roman"/>
        </w:rPr>
        <w:t>Predictive operational awareness</w:t>
      </w:r>
    </w:p>
    <w:p w14:paraId="3A7E2D0A" w14:textId="77777777" w:rsidR="00604DCF" w:rsidRPr="00E03609" w:rsidRDefault="00604DCF" w:rsidP="005F4962">
      <w:pPr>
        <w:pStyle w:val="Subheading1"/>
        <w:rPr>
          <w:rFonts w:eastAsia="Times New Roman"/>
        </w:rPr>
      </w:pPr>
      <w:r w:rsidRPr="00E03609">
        <w:rPr>
          <w:rFonts w:eastAsia="Times New Roman"/>
        </w:rPr>
        <w:t>Situational Awareness</w:t>
      </w:r>
    </w:p>
    <w:p w14:paraId="1592B732" w14:textId="77777777" w:rsidR="00604DCF" w:rsidRPr="00E03609" w:rsidRDefault="00604DCF" w:rsidP="000B0A45">
      <w:pPr>
        <w:pStyle w:val="BulletList"/>
        <w:rPr>
          <w:rFonts w:eastAsia="Times New Roman"/>
        </w:rPr>
      </w:pPr>
      <w:r w:rsidRPr="00E03609">
        <w:rPr>
          <w:rFonts w:eastAsia="Times New Roman"/>
        </w:rPr>
        <w:t>Weather station network</w:t>
      </w:r>
    </w:p>
    <w:p w14:paraId="388AB57B" w14:textId="77777777" w:rsidR="00604DCF" w:rsidRPr="00E03609" w:rsidRDefault="00604DCF" w:rsidP="000B0A45">
      <w:pPr>
        <w:pStyle w:val="BulletList"/>
        <w:rPr>
          <w:rFonts w:eastAsia="Times New Roman"/>
        </w:rPr>
      </w:pPr>
      <w:r w:rsidRPr="00E03609">
        <w:rPr>
          <w:rFonts w:eastAsia="Times New Roman"/>
        </w:rPr>
        <w:t>CloudFire weather forecasting</w:t>
      </w:r>
    </w:p>
    <w:p w14:paraId="3C6111FD" w14:textId="77777777" w:rsidR="00604DCF" w:rsidRPr="00E03609" w:rsidRDefault="00604DCF" w:rsidP="000B0A45">
      <w:pPr>
        <w:pStyle w:val="BulletList"/>
        <w:rPr>
          <w:rFonts w:eastAsia="Times New Roman"/>
        </w:rPr>
      </w:pPr>
      <w:r w:rsidRPr="00E03609">
        <w:rPr>
          <w:rFonts w:eastAsia="Times New Roman"/>
        </w:rPr>
        <w:t>Composite Risk Index (CRI)</w:t>
      </w:r>
    </w:p>
    <w:p w14:paraId="72FBFCBC" w14:textId="77777777" w:rsidR="00604DCF" w:rsidRPr="00E03609" w:rsidRDefault="00604DCF" w:rsidP="000B0A45">
      <w:pPr>
        <w:pStyle w:val="BulletList"/>
        <w:rPr>
          <w:rFonts w:eastAsia="Times New Roman"/>
        </w:rPr>
      </w:pPr>
      <w:r w:rsidRPr="00E03609">
        <w:rPr>
          <w:rFonts w:eastAsia="Times New Roman"/>
        </w:rPr>
        <w:t>AlertWest camera network</w:t>
      </w:r>
    </w:p>
    <w:p w14:paraId="481BB2BB" w14:textId="77777777" w:rsidR="00604DCF" w:rsidRPr="00E03609" w:rsidRDefault="00604DCF" w:rsidP="000B0A45">
      <w:pPr>
        <w:pStyle w:val="BulletList"/>
        <w:rPr>
          <w:rFonts w:eastAsia="Times New Roman"/>
        </w:rPr>
      </w:pPr>
      <w:r w:rsidRPr="00E03609">
        <w:rPr>
          <w:rFonts w:eastAsia="Times New Roman"/>
        </w:rPr>
        <w:t>SCADA and Outage Management System (OMS)</w:t>
      </w:r>
    </w:p>
    <w:p w14:paraId="69A48247" w14:textId="77777777" w:rsidR="00604DCF" w:rsidRPr="00E03609" w:rsidRDefault="00604DCF" w:rsidP="000B0A45">
      <w:pPr>
        <w:pStyle w:val="BulletList"/>
        <w:rPr>
          <w:rFonts w:eastAsia="Times New Roman"/>
        </w:rPr>
      </w:pPr>
      <w:r w:rsidRPr="00E03609">
        <w:rPr>
          <w:rFonts w:eastAsia="Times New Roman"/>
        </w:rPr>
        <w:t>Protection</w:t>
      </w:r>
    </w:p>
    <w:p w14:paraId="6726CF88" w14:textId="77777777" w:rsidR="00604DCF" w:rsidRPr="00E03609" w:rsidRDefault="00604DCF" w:rsidP="000B0A45">
      <w:pPr>
        <w:pStyle w:val="BodyText"/>
        <w:rPr>
          <w:rFonts w:eastAsia="Times New Roman"/>
        </w:rPr>
      </w:pPr>
      <w:r w:rsidRPr="00E03609">
        <w:rPr>
          <w:rFonts w:eastAsia="Times New Roman"/>
        </w:rPr>
        <w:t>The protection layer minimizes wildfire ignition potential through advanced protection settings and operational response strategies.</w:t>
      </w:r>
    </w:p>
    <w:p w14:paraId="56F48A44" w14:textId="77777777" w:rsidR="00604DCF" w:rsidRPr="00E03609" w:rsidRDefault="00604DCF" w:rsidP="005F4962">
      <w:pPr>
        <w:pStyle w:val="Subheading1"/>
        <w:rPr>
          <w:rFonts w:eastAsia="Times New Roman"/>
        </w:rPr>
      </w:pPr>
      <w:r w:rsidRPr="00E03609">
        <w:rPr>
          <w:rFonts w:eastAsia="Times New Roman"/>
        </w:rPr>
        <w:t>Fast Trip Settings (APSS)</w:t>
      </w:r>
    </w:p>
    <w:p w14:paraId="7E694830" w14:textId="77777777" w:rsidR="00604DCF" w:rsidRPr="00E03609" w:rsidRDefault="00604DCF" w:rsidP="000B0A45">
      <w:pPr>
        <w:pStyle w:val="BulletList"/>
        <w:rPr>
          <w:rFonts w:eastAsia="Times New Roman"/>
        </w:rPr>
      </w:pPr>
      <w:r w:rsidRPr="00E03609">
        <w:rPr>
          <w:rFonts w:eastAsia="Times New Roman"/>
        </w:rPr>
        <w:t>Adaptive Protection Settings</w:t>
      </w:r>
    </w:p>
    <w:p w14:paraId="28035273" w14:textId="77777777" w:rsidR="00604DCF" w:rsidRPr="00E03609" w:rsidRDefault="00604DCF" w:rsidP="000B0A45">
      <w:pPr>
        <w:pStyle w:val="BulletList"/>
        <w:rPr>
          <w:rFonts w:eastAsia="Times New Roman"/>
        </w:rPr>
      </w:pPr>
      <w:r w:rsidRPr="00E03609">
        <w:rPr>
          <w:rFonts w:eastAsia="Times New Roman"/>
        </w:rPr>
        <w:t>Reduced fault clearing times during elevated fire weather conditions</w:t>
      </w:r>
    </w:p>
    <w:p w14:paraId="227EC6BE" w14:textId="77777777" w:rsidR="00604DCF" w:rsidRPr="00E03609" w:rsidRDefault="00604DCF" w:rsidP="005F4962">
      <w:pPr>
        <w:pStyle w:val="Subheading1"/>
        <w:rPr>
          <w:rFonts w:eastAsia="Times New Roman"/>
        </w:rPr>
      </w:pPr>
      <w:r w:rsidRPr="00E03609">
        <w:rPr>
          <w:rFonts w:eastAsia="Times New Roman"/>
        </w:rPr>
        <w:t>Non-Reclose Settings</w:t>
      </w:r>
    </w:p>
    <w:p w14:paraId="749B2D01" w14:textId="77777777" w:rsidR="00604DCF" w:rsidRPr="00E03609" w:rsidRDefault="00604DCF" w:rsidP="000B0A45">
      <w:pPr>
        <w:pStyle w:val="BulletList"/>
        <w:rPr>
          <w:rFonts w:eastAsia="Times New Roman"/>
        </w:rPr>
      </w:pPr>
      <w:r w:rsidRPr="00E03609">
        <w:rPr>
          <w:rFonts w:eastAsia="Times New Roman"/>
        </w:rPr>
        <w:t>Temporary operational settings during elevated wildfire risk</w:t>
      </w:r>
    </w:p>
    <w:p w14:paraId="001A723C" w14:textId="77777777" w:rsidR="00604DCF" w:rsidRPr="00E03609" w:rsidRDefault="00604DCF" w:rsidP="000B0A45">
      <w:pPr>
        <w:pStyle w:val="BulletList"/>
        <w:rPr>
          <w:rFonts w:eastAsia="Times New Roman"/>
        </w:rPr>
      </w:pPr>
      <w:r w:rsidRPr="00E03609">
        <w:rPr>
          <w:rFonts w:eastAsia="Times New Roman"/>
        </w:rPr>
        <w:t>Reduces the potential for restrike events following a fault</w:t>
      </w:r>
    </w:p>
    <w:p w14:paraId="119D0672" w14:textId="77777777" w:rsidR="00604DCF" w:rsidRPr="00E03609" w:rsidRDefault="00604DCF" w:rsidP="005F4962">
      <w:pPr>
        <w:pStyle w:val="Subheading1"/>
        <w:rPr>
          <w:rFonts w:eastAsia="Times New Roman"/>
        </w:rPr>
      </w:pPr>
      <w:r w:rsidRPr="00E03609">
        <w:rPr>
          <w:rFonts w:eastAsia="Times New Roman"/>
        </w:rPr>
        <w:t>Preemptive Power Shutoff (PPS)</w:t>
      </w:r>
    </w:p>
    <w:p w14:paraId="500D020E" w14:textId="77777777" w:rsidR="00604DCF" w:rsidRPr="00E03609" w:rsidRDefault="00604DCF" w:rsidP="000B0A45">
      <w:pPr>
        <w:pStyle w:val="BulletList"/>
        <w:rPr>
          <w:rFonts w:eastAsia="Times New Roman"/>
        </w:rPr>
      </w:pPr>
      <w:r w:rsidRPr="00E03609">
        <w:rPr>
          <w:rFonts w:eastAsia="Times New Roman"/>
        </w:rPr>
        <w:t>Risk-based de-energization during extreme wildfire conditions</w:t>
      </w:r>
    </w:p>
    <w:p w14:paraId="1E14B59A" w14:textId="77777777" w:rsidR="00604DCF" w:rsidRPr="00E03609" w:rsidRDefault="00604DCF" w:rsidP="000B0A45">
      <w:pPr>
        <w:pStyle w:val="BulletList"/>
        <w:rPr>
          <w:rFonts w:eastAsia="Times New Roman"/>
        </w:rPr>
      </w:pPr>
      <w:r w:rsidRPr="00E03609">
        <w:rPr>
          <w:rFonts w:eastAsia="Times New Roman"/>
        </w:rPr>
        <w:t>Last-resort protective measure to protect life and property</w:t>
      </w:r>
    </w:p>
    <w:p w14:paraId="1B878AD2" w14:textId="77777777" w:rsidR="00604DCF" w:rsidRPr="00E03609" w:rsidRDefault="00604DCF" w:rsidP="000B0A45">
      <w:pPr>
        <w:pStyle w:val="BodyText"/>
        <w:rPr>
          <w:rFonts w:eastAsia="Times New Roman"/>
        </w:rPr>
      </w:pPr>
      <w:r w:rsidRPr="00E03609">
        <w:rPr>
          <w:rFonts w:eastAsia="Times New Roman"/>
        </w:rPr>
        <w:t>Together, these three layers provide a comprehensive wildfire mitigation strategy that reduces wildfire risk through prevention, early detection, and rapid protective actions.</w:t>
      </w:r>
    </w:p>
    <w:p w14:paraId="558CC590" w14:textId="77777777" w:rsidR="00DF069D" w:rsidRPr="001A6E59" w:rsidRDefault="00DF069D" w:rsidP="005F4962">
      <w:pPr>
        <w:pStyle w:val="Heading2"/>
        <w:rPr>
          <w:rFonts w:eastAsia="Times New Roman"/>
        </w:rPr>
      </w:pPr>
      <w:bookmarkStart w:id="12" w:name="_Toc236903448"/>
      <w:r w:rsidRPr="001A6E59">
        <w:rPr>
          <w:rFonts w:eastAsia="Times New Roman"/>
        </w:rPr>
        <w:t>Looking Ahead</w:t>
      </w:r>
      <w:bookmarkEnd w:id="12"/>
    </w:p>
    <w:p w14:paraId="1483FDCE" w14:textId="77777777" w:rsidR="00DF069D" w:rsidRPr="001A6E59" w:rsidRDefault="00DF069D" w:rsidP="000B0A45">
      <w:pPr>
        <w:pStyle w:val="BodyText"/>
        <w:rPr>
          <w:rFonts w:eastAsia="Times New Roman"/>
        </w:rPr>
      </w:pPr>
      <w:r w:rsidRPr="001A6E59">
        <w:rPr>
          <w:rFonts w:eastAsia="Times New Roman"/>
        </w:rPr>
        <w:t>TDPUD is committed to continuously strengthening its wildfire mitigation program through measurable performance objectives and long-term capital investment. Key priorities for 2026 through 2028 include:</w:t>
      </w:r>
    </w:p>
    <w:p w14:paraId="74318B29" w14:textId="77777777" w:rsidR="001A6E59" w:rsidRPr="00E801C2" w:rsidRDefault="001A6E59" w:rsidP="000B0A45">
      <w:pPr>
        <w:pStyle w:val="BulletList"/>
        <w:rPr>
          <w:rFonts w:eastAsia="Times New Roman"/>
        </w:rPr>
      </w:pPr>
      <w:r w:rsidRPr="00E801C2">
        <w:rPr>
          <w:rFonts w:eastAsia="Times New Roman"/>
        </w:rPr>
        <w:t>Continue the District's annual overhead system hardening program targeting approximately six miles of distribution improvements each year.</w:t>
      </w:r>
    </w:p>
    <w:p w14:paraId="26AC8F2B" w14:textId="77777777" w:rsidR="00DF069D" w:rsidRPr="001A6E59" w:rsidRDefault="00DF069D" w:rsidP="000B0A45">
      <w:pPr>
        <w:pStyle w:val="BulletList"/>
        <w:rPr>
          <w:rFonts w:eastAsia="Times New Roman"/>
        </w:rPr>
      </w:pPr>
      <w:r w:rsidRPr="001A6E59">
        <w:rPr>
          <w:rFonts w:eastAsia="Times New Roman"/>
        </w:rPr>
        <w:lastRenderedPageBreak/>
        <w:t>Complete implementation of FAST Trip (APSS) on applicable distribution circuits by the end of 2026.</w:t>
      </w:r>
    </w:p>
    <w:p w14:paraId="44FD3B77" w14:textId="624AE241" w:rsidR="00DF069D" w:rsidRPr="001A6E59" w:rsidRDefault="00DF069D" w:rsidP="000B0A45">
      <w:pPr>
        <w:pStyle w:val="BulletList"/>
        <w:rPr>
          <w:rFonts w:eastAsia="Times New Roman"/>
        </w:rPr>
      </w:pPr>
      <w:r w:rsidRPr="001A6E59">
        <w:rPr>
          <w:rFonts w:eastAsia="Times New Roman"/>
        </w:rPr>
        <w:t>Complete engineering of the Fault Tamer Fuse program in 2026, followed by phased installation on the Glenshire 14.4</w:t>
      </w:r>
      <w:r w:rsidR="00ED610D">
        <w:rPr>
          <w:rFonts w:eastAsia="Times New Roman"/>
        </w:rPr>
        <w:t xml:space="preserve"> </w:t>
      </w:r>
      <w:r w:rsidRPr="001A6E59">
        <w:rPr>
          <w:rFonts w:eastAsia="Times New Roman"/>
        </w:rPr>
        <w:t>kV distribution system beginning in 2027.</w:t>
      </w:r>
    </w:p>
    <w:p w14:paraId="41DF0BB6" w14:textId="77777777" w:rsidR="00DF069D" w:rsidRPr="001A6E59" w:rsidRDefault="00DF069D" w:rsidP="000B0A45">
      <w:pPr>
        <w:pStyle w:val="BulletList"/>
        <w:rPr>
          <w:rFonts w:eastAsia="Times New Roman"/>
        </w:rPr>
      </w:pPr>
      <w:r w:rsidRPr="001A6E59">
        <w:rPr>
          <w:rFonts w:eastAsia="Times New Roman"/>
        </w:rPr>
        <w:t>Continue annual investments in Gridware line sensors and advanced situational awareness technologies.</w:t>
      </w:r>
    </w:p>
    <w:p w14:paraId="07411BCC" w14:textId="6A448C8C" w:rsidR="00DF069D" w:rsidRPr="001A6E59" w:rsidRDefault="00DF069D" w:rsidP="000B0A45">
      <w:pPr>
        <w:pStyle w:val="BulletList"/>
        <w:rPr>
          <w:rFonts w:eastAsia="Times New Roman"/>
        </w:rPr>
      </w:pPr>
      <w:r w:rsidRPr="001A6E59">
        <w:rPr>
          <w:rFonts w:eastAsia="Times New Roman"/>
        </w:rPr>
        <w:t>Expand LiDAR-supported vegetation management and risk-based asset inspection</w:t>
      </w:r>
      <w:r w:rsidR="00A01221">
        <w:rPr>
          <w:rFonts w:eastAsia="Times New Roman"/>
        </w:rPr>
        <w:t> </w:t>
      </w:r>
      <w:r w:rsidRPr="001A6E59">
        <w:rPr>
          <w:rFonts w:eastAsia="Times New Roman"/>
        </w:rPr>
        <w:t>programs.</w:t>
      </w:r>
    </w:p>
    <w:p w14:paraId="67D42046" w14:textId="77777777" w:rsidR="00DF069D" w:rsidRPr="001A6E59" w:rsidRDefault="00DF069D" w:rsidP="000B0A45">
      <w:pPr>
        <w:pStyle w:val="BulletList"/>
        <w:rPr>
          <w:rFonts w:eastAsia="Times New Roman"/>
        </w:rPr>
      </w:pPr>
      <w:r w:rsidRPr="001A6E59">
        <w:rPr>
          <w:rFonts w:eastAsia="Times New Roman"/>
        </w:rPr>
        <w:t>Continue enhancing Public Safety Power Shutoff procedures and emergency preparedness capabilities.</w:t>
      </w:r>
    </w:p>
    <w:p w14:paraId="4FE6FBFD" w14:textId="07123950" w:rsidR="00DF069D" w:rsidRPr="001A6E59" w:rsidRDefault="00DF069D" w:rsidP="000B0A45">
      <w:pPr>
        <w:pStyle w:val="BulletList"/>
        <w:rPr>
          <w:rFonts w:eastAsia="Times New Roman"/>
        </w:rPr>
      </w:pPr>
      <w:r w:rsidRPr="001A6E59">
        <w:rPr>
          <w:rFonts w:eastAsia="Times New Roman"/>
        </w:rPr>
        <w:t>Update the Wildfire Mitigation Plan</w:t>
      </w:r>
      <w:r w:rsidR="008001F5">
        <w:rPr>
          <w:rFonts w:eastAsia="Times New Roman"/>
        </w:rPr>
        <w:t>,</w:t>
      </w:r>
      <w:r w:rsidRPr="001A6E59">
        <w:rPr>
          <w:rFonts w:eastAsia="Times New Roman"/>
        </w:rPr>
        <w:t xml:space="preserve"> as required</w:t>
      </w:r>
      <w:r w:rsidR="008001F5">
        <w:rPr>
          <w:rFonts w:eastAsia="Times New Roman"/>
        </w:rPr>
        <w:t>,</w:t>
      </w:r>
      <w:r w:rsidRPr="001A6E59">
        <w:rPr>
          <w:rFonts w:eastAsia="Times New Roman"/>
        </w:rPr>
        <w:t xml:space="preserve"> to incorporate lessons learned, technological advancements, and evolving regulatory requirements.</w:t>
      </w:r>
    </w:p>
    <w:p w14:paraId="533284CD" w14:textId="4EB7A19C" w:rsidR="0092228E" w:rsidRDefault="00DF069D" w:rsidP="000B0A45">
      <w:pPr>
        <w:pStyle w:val="BodyText"/>
        <w:rPr>
          <w:rFonts w:ascii="Franklin Gothic Book" w:hAnsi="Franklin Gothic Book"/>
          <w:bCs/>
          <w:caps/>
          <w:sz w:val="21"/>
          <w:szCs w:val="21"/>
        </w:rPr>
      </w:pPr>
      <w:r w:rsidRPr="001A6E59">
        <w:rPr>
          <w:rFonts w:eastAsia="Times New Roman"/>
        </w:rPr>
        <w:t>TDPUD recognizes that wildfire mitigation is an ongoing responsibility requiring continuous investment, evaluation, and improvement. Through implementation of this Wildfire Mitigation Plan, the District will continue strengthening the safety, reliability, and resilience of its electric system while protecting the communities, customers, and natural resources it serves.</w:t>
      </w:r>
      <w:r w:rsidR="0092228E">
        <w:rPr>
          <w:rFonts w:ascii="Franklin Gothic Book" w:hAnsi="Franklin Gothic Book"/>
          <w:bCs/>
          <w:caps/>
          <w:sz w:val="21"/>
          <w:szCs w:val="21"/>
        </w:rPr>
        <w:br w:type="page"/>
      </w:r>
    </w:p>
    <w:p w14:paraId="35D098D7" w14:textId="77777777" w:rsidR="002B70A7" w:rsidRPr="00B7066A" w:rsidRDefault="002B70A7" w:rsidP="002B2AA5">
      <w:pPr>
        <w:numPr>
          <w:ilvl w:val="0"/>
          <w:numId w:val="1"/>
        </w:numPr>
        <w:spacing w:before="6000" w:line="280" w:lineRule="exact"/>
        <w:ind w:left="0" w:firstLine="0"/>
        <w:jc w:val="center"/>
        <w:rPr>
          <w:rFonts w:ascii="Franklin Gothic Book" w:hAnsi="Franklin Gothic Book"/>
          <w:bCs/>
          <w:caps/>
          <w:sz w:val="21"/>
          <w:szCs w:val="21"/>
        </w:rPr>
        <w:sectPr w:rsidR="002B70A7" w:rsidRPr="00B7066A" w:rsidSect="00FC3924">
          <w:pgSz w:w="12240" w:h="15840" w:code="1"/>
          <w:pgMar w:top="1440" w:right="1440" w:bottom="1440" w:left="1440" w:header="720" w:footer="720" w:gutter="0"/>
          <w:pgNumType w:fmt="lowerRoman"/>
          <w:cols w:space="720"/>
          <w:titlePg/>
          <w:docGrid w:linePitch="360"/>
        </w:sectPr>
      </w:pPr>
    </w:p>
    <w:p w14:paraId="3CB07F41" w14:textId="3D8D35BE" w:rsidR="0071162C" w:rsidRPr="00B7066A" w:rsidRDefault="00D07962" w:rsidP="00D07962">
      <w:pPr>
        <w:pStyle w:val="Heading1"/>
        <w:ind w:left="720" w:hanging="720"/>
      </w:pPr>
      <w:bookmarkStart w:id="13" w:name="_Toc135748518"/>
      <w:bookmarkStart w:id="14" w:name="_Toc236903449"/>
      <w:bookmarkEnd w:id="6"/>
      <w:r w:rsidRPr="00D07962">
        <w:rPr>
          <w:sz w:val="22"/>
        </w:rPr>
        <w:lastRenderedPageBreak/>
        <w:t>I.</w:t>
      </w:r>
      <w:r>
        <w:tab/>
      </w:r>
      <w:r w:rsidR="007718D7">
        <w:t>Utility Overview and Context</w:t>
      </w:r>
      <w:bookmarkEnd w:id="13"/>
      <w:bookmarkEnd w:id="14"/>
    </w:p>
    <w:p w14:paraId="5A0EC04C" w14:textId="5BA874CD" w:rsidR="0071162C" w:rsidRPr="00B7066A" w:rsidRDefault="00891F3A" w:rsidP="001D7993">
      <w:pPr>
        <w:pStyle w:val="Heading2"/>
      </w:pPr>
      <w:bookmarkStart w:id="15" w:name="_Toc135748519"/>
      <w:bookmarkStart w:id="16" w:name="_Toc236903450"/>
      <w:r>
        <w:rPr>
          <w:noProof/>
        </w:rPr>
        <mc:AlternateContent>
          <mc:Choice Requires="wps">
            <w:drawing>
              <wp:anchor distT="0" distB="0" distL="114300" distR="114300" simplePos="0" relativeHeight="251635200" behindDoc="0" locked="0" layoutInCell="1" allowOverlap="1" wp14:anchorId="10864FDE" wp14:editId="0D177C87">
                <wp:simplePos x="0" y="0"/>
                <wp:positionH relativeFrom="page">
                  <wp:posOffset>1071654</wp:posOffset>
                </wp:positionH>
                <wp:positionV relativeFrom="line">
                  <wp:posOffset>373129</wp:posOffset>
                </wp:positionV>
                <wp:extent cx="5807710" cy="90518"/>
                <wp:effectExtent l="0" t="0" r="2540" b="5080"/>
                <wp:wrapNone/>
                <wp:docPr id="228" name="Freeform 228"/>
                <wp:cNvGraphicFramePr/>
                <a:graphic xmlns:a="http://schemas.openxmlformats.org/drawingml/2006/main">
                  <a:graphicData uri="http://schemas.microsoft.com/office/word/2010/wordprocessingShape">
                    <wps:wsp>
                      <wps:cNvSpPr/>
                      <wps:spPr>
                        <a:xfrm>
                          <a:off x="0" y="0"/>
                          <a:ext cx="5807710" cy="90518"/>
                        </a:xfrm>
                        <a:custGeom>
                          <a:avLst/>
                          <a:gdLst/>
                          <a:ahLst/>
                          <a:cxnLst/>
                          <a:rect l="l" t="t" r="r" b="b"/>
                          <a:pathLst>
                            <a:path w="5807710" h="38100">
                              <a:moveTo>
                                <a:pt x="0" y="38100"/>
                              </a:moveTo>
                              <a:lnTo>
                                <a:pt x="5807710" y="38100"/>
                              </a:lnTo>
                              <a:lnTo>
                                <a:pt x="5807710" y="0"/>
                              </a:lnTo>
                              <a:lnTo>
                                <a:pt x="0" y="0"/>
                              </a:lnTo>
                              <a:lnTo>
                                <a:pt x="0" y="38100"/>
                              </a:lnTo>
                              <a:close/>
                            </a:path>
                          </a:pathLst>
                        </a:custGeom>
                        <a:solidFill>
                          <a:srgbClr val="D1EEF9">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V relativeFrom="margin">
                  <wp14:pctHeight>0</wp14:pctHeight>
                </wp14:sizeRelV>
              </wp:anchor>
            </w:drawing>
          </mc:Choice>
          <mc:Fallback>
            <w:pict>
              <v:shape w14:anchorId="36B6E7FF" id="Freeform 228" o:spid="_x0000_s1026" style="position:absolute;margin-left:84.4pt;margin-top:29.4pt;width:457.3pt;height:7.15pt;z-index:251635200;visibility:visible;mso-wrap-style:square;mso-height-percent:0;mso-wrap-distance-left:9pt;mso-wrap-distance-top:0;mso-wrap-distance-right:9pt;mso-wrap-distance-bottom:0;mso-position-horizontal:absolute;mso-position-horizontal-relative:page;mso-position-vertical:absolute;mso-position-vertical-relative:line;mso-height-percent:0;mso-height-relative:margin;v-text-anchor:top" coordsize="580771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ao4TwIAAH8FAAAOAAAAZHJzL2Uyb0RvYy54bWysVE2P0zAQvSPxHyzfaZKi0m7VdA90ywUB&#10;Ypcf4DqTJpJjW7a3H/+e8ThJs7AICZFD7Nhv3rx543hzf+kUO4HzrdElL2Y5Z6ClqVp9LPmPp/27&#10;FWc+CF0JZTSU/Aqe32/fvtmc7RrmpjGqAseQRPv12Za8CcGus8zLBjrhZ8aCxs3auE4E/HTHrHLi&#10;jOydyuZ5/iE7G1dZZyR4j6u7tMm3xF/XIMPXuvYQmCo5agv0dvQ+xHe23Yj10QnbtLKXIf5BRSda&#10;jUlHqp0Igj279jeqrpXOeFOHmTRdZuq6lUA1YDVF/ks1j42wQLWgOd6ONvn/Ryu/nB7tN4c2nK1f&#10;e5zGKi616+KI+tiFzLqOZsElMImLi1W+XBboqcS9u3xRrKKZ2S1YPvvwCQwRidNnH5LX1TATzTCT&#10;Fz1MHXYs9kpRrwJn2CvHGfbqkHplRYhxUV2csvNESVPy96siz6kTnTnBkyFcuBWR9pPQG0LpKXKs&#10;DAub4gfUMFrinaLpPKEFA2IYExK9Gmz8C+a1rFIZD0l4LJysHs1Avqnd3qi22rdKxfK9Ox4+KsdO&#10;An3dFQ8P+zsySCjbiLSKnuHT96/HU4IXREpHt4v5sndYm5giSVIa8bcjRLNwVRAFKP0datZWeGjm&#10;lJn+bhg1CSlBhyJtNaKCJGox1RTvgxhBqogwMteYf+TuCQZkIhm4k8oeH0OBLocxOJ2ZPwhLwWME&#10;ZTY6jMFdq417rTKFVfWZE34wKVkTXTqY6kr/H7mHfzlV2N9I8RqZflP47d7c/gQAAP//AwBQSwME&#10;FAAGAAgAAAAhAB8wiz3dAAAACgEAAA8AAABkcnMvZG93bnJldi54bWxMj8FOwzAQRO9I/IO1SNyo&#10;HQIlCnGqAgpC3Br6AW68xFHjdWS7bfh7nBOcRqMZzb6tNrMd2Rl9GBxJyFYCGFLn9EC9hP1Xc1cA&#10;C1GRVqMjlPCDATb19VWlSu0utMNzG3uWRiiUSoKJcSo5D51Bq8LKTUgp+3beqpis77n26pLG7cjv&#10;hVhzqwZKF4ya8NVgd2xPVkLvs917Ox6bxuSfL9uPt73DRkh5ezNvn4FFnONfGRb8hA51Yjq4E+nA&#10;xuTXRUKPEh4XXQqiyB+AHSQ85RnwuuL/X6h/AQAA//8DAFBLAQItABQABgAIAAAAIQC2gziS/gAA&#10;AOEBAAATAAAAAAAAAAAAAAAAAAAAAABbQ29udGVudF9UeXBlc10ueG1sUEsBAi0AFAAGAAgAAAAh&#10;ADj9If/WAAAAlAEAAAsAAAAAAAAAAAAAAAAALwEAAF9yZWxzLy5yZWxzUEsBAi0AFAAGAAgAAAAh&#10;ALnBqjhPAgAAfwUAAA4AAAAAAAAAAAAAAAAALgIAAGRycy9lMm9Eb2MueG1sUEsBAi0AFAAGAAgA&#10;AAAhAB8wiz3dAAAACgEAAA8AAAAAAAAAAAAAAAAAqQQAAGRycy9kb3ducmV2LnhtbFBLBQYAAAAA&#10;BAAEAPMAAACzBQAAAAA=&#10;" path="m,38100r5807710,l5807710,,,,,38100xe" fillcolor="#d1eef9" stroked="f" strokeweight="1pt">
                <v:path arrowok="t"/>
                <w10:wrap anchorx="page" anchory="line"/>
              </v:shape>
            </w:pict>
          </mc:Fallback>
        </mc:AlternateContent>
      </w:r>
      <w:r w:rsidR="00D07962">
        <w:t>A.</w:t>
      </w:r>
      <w:r w:rsidR="00D07962">
        <w:tab/>
      </w:r>
      <w:r w:rsidR="007718D7">
        <w:t xml:space="preserve">Utility </w:t>
      </w:r>
      <w:r w:rsidR="007718D7" w:rsidRPr="00D07962">
        <w:t>Description</w:t>
      </w:r>
      <w:r w:rsidR="007718D7">
        <w:t xml:space="preserve"> and Context Setting Table</w:t>
      </w:r>
      <w:bookmarkEnd w:id="15"/>
      <w:bookmarkEnd w:id="16"/>
    </w:p>
    <w:p w14:paraId="6CA6AB70" w14:textId="1EE09292" w:rsidR="001A28B8" w:rsidRDefault="001A28B8" w:rsidP="00C51164">
      <w:pPr>
        <w:pStyle w:val="BodyText"/>
        <w:rPr>
          <w:rFonts w:ascii="Times New Roman" w:hAnsi="Times New Roman" w:cs="Times New Roman"/>
          <w:color w:val="010302"/>
        </w:rPr>
      </w:pPr>
      <w:r>
        <w:rPr>
          <w:noProof/>
        </w:rPr>
        <mc:AlternateContent>
          <mc:Choice Requires="wps">
            <w:drawing>
              <wp:anchor distT="0" distB="0" distL="114300" distR="114300" simplePos="0" relativeHeight="251634176" behindDoc="0" locked="0" layoutInCell="1" allowOverlap="1" wp14:anchorId="680E8F25" wp14:editId="11967FC5">
                <wp:simplePos x="0" y="0"/>
                <wp:positionH relativeFrom="page">
                  <wp:posOffset>1032052</wp:posOffset>
                </wp:positionH>
                <wp:positionV relativeFrom="line">
                  <wp:posOffset>22603</wp:posOffset>
                </wp:positionV>
                <wp:extent cx="38100" cy="38100"/>
                <wp:effectExtent l="0" t="0" r="0" b="0"/>
                <wp:wrapNone/>
                <wp:docPr id="226" name="Freeform 226"/>
                <wp:cNvGraphicFramePr/>
                <a:graphic xmlns:a="http://schemas.openxmlformats.org/drawingml/2006/main">
                  <a:graphicData uri="http://schemas.microsoft.com/office/word/2010/wordprocessingShape">
                    <wps:wsp>
                      <wps:cNvSpPr/>
                      <wps:spPr>
                        <a:xfrm>
                          <a:off x="0" y="0"/>
                          <a:ext cx="38100" cy="38100"/>
                        </a:xfrm>
                        <a:custGeom>
                          <a:avLst/>
                          <a:gdLst/>
                          <a:ahLst/>
                          <a:cxnLst/>
                          <a:rect l="l" t="t" r="r" b="b"/>
                          <a:pathLst>
                            <a:path w="38100" h="38100">
                              <a:moveTo>
                                <a:pt x="0" y="38100"/>
                              </a:moveTo>
                              <a:lnTo>
                                <a:pt x="38100" y="38100"/>
                              </a:lnTo>
                              <a:lnTo>
                                <a:pt x="38100" y="0"/>
                              </a:lnTo>
                              <a:lnTo>
                                <a:pt x="0" y="0"/>
                              </a:lnTo>
                              <a:lnTo>
                                <a:pt x="0" y="38100"/>
                              </a:lnTo>
                              <a:close/>
                            </a:path>
                          </a:pathLst>
                        </a:custGeom>
                        <a:solidFill>
                          <a:srgbClr val="D1EEF9">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241B404" id="Freeform 226" o:spid="_x0000_s1026" style="position:absolute;margin-left:81.25pt;margin-top:1.8pt;width:3pt;height:3pt;z-index:251634176;visibility:visible;mso-wrap-style:square;mso-wrap-distance-left:9pt;mso-wrap-distance-top:0;mso-wrap-distance-right:9pt;mso-wrap-distance-bottom:0;mso-position-horizontal:absolute;mso-position-horizontal-relative:page;mso-position-vertical:absolute;mso-position-vertical-relative:line;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pPvRQIAAHcFAAAOAAAAZHJzL2Uyb0RvYy54bWysVMGO0zAQvSPxD1buNE0RsFu13QPdckGA&#10;2OUDXGfSWHJsy/Y27d8zHsdJtIBWWpFDPLHfPM9743hzd+kUO4Pz0uhtUS2WBQMtTC31aVv8ejy8&#10;uymYD1zXXBkN2+IKvrjbvX2z6e0aVqY1qgbHkET7dW+3RRuCXZelFy103C+MBY2LjXEdD/jpTmXt&#10;eI/snSpXy+XHsjeuts4I8B5n92mx2BF/04AI35vGQ2BqW2Btgd6O3sf4Lncbvj45blsphjL4K6ro&#10;uNS46Ui154GzJyf/oOqkcMabJiyE6UrTNFIAaUA11fKZmoeWWyAtaI63o03+/9GKb+cH+8OhDb31&#10;a49hVHFpXBdHrI9dyKzraBZcAhM4+f6mWqKjAldSiBzllCqefPgChmj4+asPyek6R7zNkbjoHDrs&#10;V+yUok6FgmGnXMGwU8fUKctDzIu1xZD1eXPW5iiudeYMj4ZQYRIwL3NCKD1HDqqeicqYPFpinbB0&#10;jlB8Xs9jwqFL2b4XMPMKM4dQxkPyNkomk0cbkG9utDdK1gepVJTu3en4WTl25ujovrq/P9zSEeXK&#10;tjzNYgfxidYi0YBP8ZxI6ehztfqE0EisTdwiJSmN+OnoUBSuCiJO6Z/QMFnjYVlRIv3VMNbEhQAd&#10;qrTU8hpSUR/mNcV7IGZQVUQYmRvcf+QeCDIykWTuVOWAj6lAl8KYnBT9o7CUPGbQzkaHMbmT2ri/&#10;KVOoatg54bNJyZro0tHUV/rvyD38u0nhcBPF62P+TenTfbn7DQAA//8DAFBLAwQUAAYACAAAACEA&#10;AD1mLtwAAAAHAQAADwAAAGRycy9kb3ducmV2LnhtbEyOwU7DMBBE70j8g7VI3KhDUU0b4lQVggMH&#10;kFpQVW5usiRR7XUUO03y92xPcHya2dmXrUdnxRm70HjScD9LQCAVvmyo0vD1+Xq3BBGiodJYT6hh&#10;wgDr/PoqM2npB9rieRcrwSMUUqOhjrFNpQxFjc6EmW+ROPvxnTORsatk2ZmBx52V8yRR0pmG+ENt&#10;WnyusTjtescah8Pk7TTsv5O3xWNx2vTD+8uH1rc34+YJRMQx/pXhos83kLPT0fdUBmGZ1XzBVQ0P&#10;CsQlV0vmo4aVApln8r9//gsAAP//AwBQSwECLQAUAAYACAAAACEAtoM4kv4AAADhAQAAEwAAAAAA&#10;AAAAAAAAAAAAAAAAW0NvbnRlbnRfVHlwZXNdLnhtbFBLAQItABQABgAIAAAAIQA4/SH/1gAAAJQB&#10;AAALAAAAAAAAAAAAAAAAAC8BAABfcmVscy8ucmVsc1BLAQItABQABgAIAAAAIQCDXpPvRQIAAHcF&#10;AAAOAAAAAAAAAAAAAAAAAC4CAABkcnMvZTJvRG9jLnhtbFBLAQItABQABgAIAAAAIQAAPWYu3AAA&#10;AAcBAAAPAAAAAAAAAAAAAAAAAJ8EAABkcnMvZG93bnJldi54bWxQSwUGAAAAAAQABADzAAAAqAUA&#10;AAAA&#10;" path="m,38100r38100,l38100,,,,,38100xe" fillcolor="#d1eef9" stroked="f" strokeweight="1pt">
                <v:path arrowok="t"/>
                <w10:wrap anchorx="page" anchory="line"/>
              </v:shape>
            </w:pict>
          </mc:Fallback>
        </mc:AlternateContent>
      </w:r>
      <w:r>
        <w:rPr>
          <w:noProof/>
        </w:rPr>
        <mc:AlternateContent>
          <mc:Choice Requires="wps">
            <w:drawing>
              <wp:anchor distT="0" distB="0" distL="114300" distR="114300" simplePos="0" relativeHeight="251633152" behindDoc="0" locked="0" layoutInCell="1" allowOverlap="1" wp14:anchorId="55B06FAC" wp14:editId="0E6841BE">
                <wp:simplePos x="0" y="0"/>
                <wp:positionH relativeFrom="page">
                  <wp:posOffset>1032052</wp:posOffset>
                </wp:positionH>
                <wp:positionV relativeFrom="line">
                  <wp:posOffset>22603</wp:posOffset>
                </wp:positionV>
                <wp:extent cx="38100" cy="38100"/>
                <wp:effectExtent l="0" t="0" r="0" b="0"/>
                <wp:wrapNone/>
                <wp:docPr id="227" name="Freeform 227"/>
                <wp:cNvGraphicFramePr/>
                <a:graphic xmlns:a="http://schemas.openxmlformats.org/drawingml/2006/main">
                  <a:graphicData uri="http://schemas.microsoft.com/office/word/2010/wordprocessingShape">
                    <wps:wsp>
                      <wps:cNvSpPr/>
                      <wps:spPr>
                        <a:xfrm>
                          <a:off x="0" y="0"/>
                          <a:ext cx="38100" cy="38100"/>
                        </a:xfrm>
                        <a:custGeom>
                          <a:avLst/>
                          <a:gdLst/>
                          <a:ahLst/>
                          <a:cxnLst/>
                          <a:rect l="l" t="t" r="r" b="b"/>
                          <a:pathLst>
                            <a:path w="38100" h="38100">
                              <a:moveTo>
                                <a:pt x="0" y="38100"/>
                              </a:moveTo>
                              <a:lnTo>
                                <a:pt x="38100" y="38100"/>
                              </a:lnTo>
                              <a:lnTo>
                                <a:pt x="38100" y="0"/>
                              </a:lnTo>
                              <a:lnTo>
                                <a:pt x="0" y="0"/>
                              </a:lnTo>
                              <a:lnTo>
                                <a:pt x="0" y="38100"/>
                              </a:lnTo>
                              <a:close/>
                            </a:path>
                          </a:pathLst>
                        </a:custGeom>
                        <a:solidFill>
                          <a:srgbClr val="D1EEF9">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24425C8" id="Freeform 227" o:spid="_x0000_s1026" style="position:absolute;margin-left:81.25pt;margin-top:1.8pt;width:3pt;height:3pt;z-index:251633152;visibility:visible;mso-wrap-style:square;mso-wrap-distance-left:9pt;mso-wrap-distance-top:0;mso-wrap-distance-right:9pt;mso-wrap-distance-bottom:0;mso-position-horizontal:absolute;mso-position-horizontal-relative:page;mso-position-vertical:absolute;mso-position-vertical-relative:line;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pPvRQIAAHcFAAAOAAAAZHJzL2Uyb0RvYy54bWysVMGO0zAQvSPxD1buNE0RsFu13QPdckGA&#10;2OUDXGfSWHJsy/Y27d8zHsdJtIBWWpFDPLHfPM9743hzd+kUO4Pz0uhtUS2WBQMtTC31aVv8ejy8&#10;uymYD1zXXBkN2+IKvrjbvX2z6e0aVqY1qgbHkET7dW+3RRuCXZelFy103C+MBY2LjXEdD/jpTmXt&#10;eI/snSpXy+XHsjeuts4I8B5n92mx2BF/04AI35vGQ2BqW2Btgd6O3sf4Lncbvj45blsphjL4K6ro&#10;uNS46Ui154GzJyf/oOqkcMabJiyE6UrTNFIAaUA11fKZmoeWWyAtaI63o03+/9GKb+cH+8OhDb31&#10;a49hVHFpXBdHrI9dyKzraBZcAhM4+f6mWqKjAldSiBzllCqefPgChmj4+asPyek6R7zNkbjoHDrs&#10;V+yUok6FgmGnXMGwU8fUKctDzIu1xZD1eXPW5iiudeYMj4ZQYRIwL3NCKD1HDqqeicqYPFpinbB0&#10;jlB8Xs9jwqFL2b4XMPMKM4dQxkPyNkomk0cbkG9utDdK1gepVJTu3en4WTl25ujovrq/P9zSEeXK&#10;tjzNYgfxidYi0YBP8ZxI6ehztfqE0EisTdwiJSmN+OnoUBSuCiJO6Z/QMFnjYVlRIv3VMNbEhQAd&#10;qrTU8hpSUR/mNcV7IGZQVUQYmRvcf+QeCDIykWTuVOWAj6lAl8KYnBT9o7CUPGbQzkaHMbmT2ri/&#10;KVOoatg54bNJyZro0tHUV/rvyD38u0nhcBPF62P+TenTfbn7DQAA//8DAFBLAwQUAAYACAAAACEA&#10;AD1mLtwAAAAHAQAADwAAAGRycy9kb3ducmV2LnhtbEyOwU7DMBBE70j8g7VI3KhDUU0b4lQVggMH&#10;kFpQVW5usiRR7XUUO03y92xPcHya2dmXrUdnxRm70HjScD9LQCAVvmyo0vD1+Xq3BBGiodJYT6hh&#10;wgDr/PoqM2npB9rieRcrwSMUUqOhjrFNpQxFjc6EmW+ROPvxnTORsatk2ZmBx52V8yRR0pmG+ENt&#10;WnyusTjtescah8Pk7TTsv5O3xWNx2vTD+8uH1rc34+YJRMQx/pXhos83kLPT0fdUBmGZ1XzBVQ0P&#10;CsQlV0vmo4aVApln8r9//gsAAP//AwBQSwECLQAUAAYACAAAACEAtoM4kv4AAADhAQAAEwAAAAAA&#10;AAAAAAAAAAAAAAAAW0NvbnRlbnRfVHlwZXNdLnhtbFBLAQItABQABgAIAAAAIQA4/SH/1gAAAJQB&#10;AAALAAAAAAAAAAAAAAAAAC8BAABfcmVscy8ucmVsc1BLAQItABQABgAIAAAAIQCDXpPvRQIAAHcF&#10;AAAOAAAAAAAAAAAAAAAAAC4CAABkcnMvZTJvRG9jLnhtbFBLAQItABQABgAIAAAAIQAAPWYu3AAA&#10;AAcBAAAPAAAAAAAAAAAAAAAAAJ8EAABkcnMvZG93bnJldi54bWxQSwUGAAAAAAQABADzAAAAqAUA&#10;AAAA&#10;" path="m,38100r38100,l38100,,,,,38100xe" fillcolor="#d1eef9" stroked="f" strokeweight="1pt">
                <v:path arrowok="t"/>
                <w10:wrap anchorx="page" anchory="line"/>
              </v:shape>
            </w:pict>
          </mc:Fallback>
        </mc:AlternateContent>
      </w:r>
      <w:r>
        <w:rPr>
          <w:noProof/>
        </w:rPr>
        <mc:AlternateContent>
          <mc:Choice Requires="wps">
            <w:drawing>
              <wp:anchor distT="0" distB="0" distL="114300" distR="114300" simplePos="0" relativeHeight="251637248" behindDoc="0" locked="0" layoutInCell="1" allowOverlap="1" wp14:anchorId="61D72B39" wp14:editId="16A22292">
                <wp:simplePos x="0" y="0"/>
                <wp:positionH relativeFrom="page">
                  <wp:posOffset>6877811</wp:posOffset>
                </wp:positionH>
                <wp:positionV relativeFrom="line">
                  <wp:posOffset>22603</wp:posOffset>
                </wp:positionV>
                <wp:extent cx="38100" cy="38100"/>
                <wp:effectExtent l="0" t="0" r="0" b="0"/>
                <wp:wrapNone/>
                <wp:docPr id="229" name="Freeform 229"/>
                <wp:cNvGraphicFramePr/>
                <a:graphic xmlns:a="http://schemas.openxmlformats.org/drawingml/2006/main">
                  <a:graphicData uri="http://schemas.microsoft.com/office/word/2010/wordprocessingShape">
                    <wps:wsp>
                      <wps:cNvSpPr/>
                      <wps:spPr>
                        <a:xfrm>
                          <a:off x="0" y="0"/>
                          <a:ext cx="38100" cy="38100"/>
                        </a:xfrm>
                        <a:custGeom>
                          <a:avLst/>
                          <a:gdLst/>
                          <a:ahLst/>
                          <a:cxnLst/>
                          <a:rect l="l" t="t" r="r" b="b"/>
                          <a:pathLst>
                            <a:path w="38100" h="38100">
                              <a:moveTo>
                                <a:pt x="0" y="38100"/>
                              </a:moveTo>
                              <a:lnTo>
                                <a:pt x="38100" y="38100"/>
                              </a:lnTo>
                              <a:lnTo>
                                <a:pt x="38100" y="0"/>
                              </a:lnTo>
                              <a:lnTo>
                                <a:pt x="0" y="0"/>
                              </a:lnTo>
                              <a:lnTo>
                                <a:pt x="0" y="38100"/>
                              </a:lnTo>
                              <a:close/>
                            </a:path>
                          </a:pathLst>
                        </a:custGeom>
                        <a:solidFill>
                          <a:srgbClr val="D1EEF9">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825D4FC" id="Freeform 229" o:spid="_x0000_s1026" style="position:absolute;margin-left:541.55pt;margin-top:1.8pt;width:3pt;height:3pt;z-index:251637248;visibility:visible;mso-wrap-style:square;mso-wrap-distance-left:9pt;mso-wrap-distance-top:0;mso-wrap-distance-right:9pt;mso-wrap-distance-bottom:0;mso-position-horizontal:absolute;mso-position-horizontal-relative:page;mso-position-vertical:absolute;mso-position-vertical-relative:line;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pPvRQIAAHcFAAAOAAAAZHJzL2Uyb0RvYy54bWysVMGO0zAQvSPxD1buNE0RsFu13QPdckGA&#10;2OUDXGfSWHJsy/Y27d8zHsdJtIBWWpFDPLHfPM9743hzd+kUO4Pz0uhtUS2WBQMtTC31aVv8ejy8&#10;uymYD1zXXBkN2+IKvrjbvX2z6e0aVqY1qgbHkET7dW+3RRuCXZelFy103C+MBY2LjXEdD/jpTmXt&#10;eI/snSpXy+XHsjeuts4I8B5n92mx2BF/04AI35vGQ2BqW2Btgd6O3sf4Lncbvj45blsphjL4K6ro&#10;uNS46Ui154GzJyf/oOqkcMabJiyE6UrTNFIAaUA11fKZmoeWWyAtaI63o03+/9GKb+cH+8OhDb31&#10;a49hVHFpXBdHrI9dyKzraBZcAhM4+f6mWqKjAldSiBzllCqefPgChmj4+asPyek6R7zNkbjoHDrs&#10;V+yUok6FgmGnXMGwU8fUKctDzIu1xZD1eXPW5iiudeYMj4ZQYRIwL3NCKD1HDqqeicqYPFpinbB0&#10;jlB8Xs9jwqFL2b4XMPMKM4dQxkPyNkomk0cbkG9utDdK1gepVJTu3en4WTl25ujovrq/P9zSEeXK&#10;tjzNYgfxidYi0YBP8ZxI6ehztfqE0EisTdwiJSmN+OnoUBSuCiJO6Z/QMFnjYVlRIv3VMNbEhQAd&#10;qrTU8hpSUR/mNcV7IGZQVUQYmRvcf+QeCDIykWTuVOWAj6lAl8KYnBT9o7CUPGbQzkaHMbmT2ri/&#10;KVOoatg54bNJyZro0tHUV/rvyD38u0nhcBPF62P+TenTfbn7DQAA//8DAFBLAwQUAAYACAAAACEA&#10;17Ocld8AAAAJAQAADwAAAGRycy9kb3ducmV2LnhtbEyPQU/DMAyF70j8h8hI3FgyJkpXmk4TggMH&#10;kBgIjVvWmrZa4lRNurb/Hu8Ex2c/P38v30zOihP2ofWkYblQIJBKX7VUa/j8eL5JQYRoqDLWE2qY&#10;McCmuLzITVb5kd7xtIu14BAKmdHQxNhlUoayQWfCwndIvPvxvTORZV/Lqjcjhzsrb5VKpDMt8YfG&#10;dPjYYHncDY4x9vvZ23n8+lYvd/flcTuMr09vWl9fTdsHEBGn+GeGMz7fQMFMBz9QFYRlrdLVkr0a&#10;VgmIs0Glax4cNKwTkEUu/zcofgEAAP//AwBQSwECLQAUAAYACAAAACEAtoM4kv4AAADhAQAAEwAA&#10;AAAAAAAAAAAAAAAAAAAAW0NvbnRlbnRfVHlwZXNdLnhtbFBLAQItABQABgAIAAAAIQA4/SH/1gAA&#10;AJQBAAALAAAAAAAAAAAAAAAAAC8BAABfcmVscy8ucmVsc1BLAQItABQABgAIAAAAIQCDXpPvRQIA&#10;AHcFAAAOAAAAAAAAAAAAAAAAAC4CAABkcnMvZTJvRG9jLnhtbFBLAQItABQABgAIAAAAIQDXs5yV&#10;3wAAAAkBAAAPAAAAAAAAAAAAAAAAAJ8EAABkcnMvZG93bnJldi54bWxQSwUGAAAAAAQABADzAAAA&#10;qwUAAAAA&#10;" path="m,38100r38100,l38100,,,,,38100xe" fillcolor="#d1eef9" stroked="f" strokeweight="1pt">
                <v:path arrowok="t"/>
                <w10:wrap anchorx="page" anchory="line"/>
              </v:shape>
            </w:pict>
          </mc:Fallback>
        </mc:AlternateContent>
      </w:r>
      <w:r>
        <w:rPr>
          <w:noProof/>
        </w:rPr>
        <mc:AlternateContent>
          <mc:Choice Requires="wps">
            <w:drawing>
              <wp:anchor distT="0" distB="0" distL="114300" distR="114300" simplePos="0" relativeHeight="251636224" behindDoc="0" locked="0" layoutInCell="1" allowOverlap="1" wp14:anchorId="6514EDFD" wp14:editId="6EFAF087">
                <wp:simplePos x="0" y="0"/>
                <wp:positionH relativeFrom="page">
                  <wp:posOffset>6877811</wp:posOffset>
                </wp:positionH>
                <wp:positionV relativeFrom="line">
                  <wp:posOffset>22603</wp:posOffset>
                </wp:positionV>
                <wp:extent cx="38100" cy="38100"/>
                <wp:effectExtent l="0" t="0" r="0" b="0"/>
                <wp:wrapNone/>
                <wp:docPr id="230" name="Freeform 230"/>
                <wp:cNvGraphicFramePr/>
                <a:graphic xmlns:a="http://schemas.openxmlformats.org/drawingml/2006/main">
                  <a:graphicData uri="http://schemas.microsoft.com/office/word/2010/wordprocessingShape">
                    <wps:wsp>
                      <wps:cNvSpPr/>
                      <wps:spPr>
                        <a:xfrm>
                          <a:off x="0" y="0"/>
                          <a:ext cx="38100" cy="38100"/>
                        </a:xfrm>
                        <a:custGeom>
                          <a:avLst/>
                          <a:gdLst/>
                          <a:ahLst/>
                          <a:cxnLst/>
                          <a:rect l="l" t="t" r="r" b="b"/>
                          <a:pathLst>
                            <a:path w="38100" h="38100">
                              <a:moveTo>
                                <a:pt x="0" y="38100"/>
                              </a:moveTo>
                              <a:lnTo>
                                <a:pt x="38100" y="38100"/>
                              </a:lnTo>
                              <a:lnTo>
                                <a:pt x="38100" y="0"/>
                              </a:lnTo>
                              <a:lnTo>
                                <a:pt x="0" y="0"/>
                              </a:lnTo>
                              <a:lnTo>
                                <a:pt x="0" y="38100"/>
                              </a:lnTo>
                              <a:close/>
                            </a:path>
                          </a:pathLst>
                        </a:custGeom>
                        <a:solidFill>
                          <a:srgbClr val="D1EEF9">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1DCFF3D" id="Freeform 230" o:spid="_x0000_s1026" style="position:absolute;margin-left:541.55pt;margin-top:1.8pt;width:3pt;height:3pt;z-index:251636224;visibility:visible;mso-wrap-style:square;mso-wrap-distance-left:9pt;mso-wrap-distance-top:0;mso-wrap-distance-right:9pt;mso-wrap-distance-bottom:0;mso-position-horizontal:absolute;mso-position-horizontal-relative:page;mso-position-vertical:absolute;mso-position-vertical-relative:line;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pPvRQIAAHcFAAAOAAAAZHJzL2Uyb0RvYy54bWysVMGO0zAQvSPxD1buNE0RsFu13QPdckGA&#10;2OUDXGfSWHJsy/Y27d8zHsdJtIBWWpFDPLHfPM9743hzd+kUO4Pz0uhtUS2WBQMtTC31aVv8ejy8&#10;uymYD1zXXBkN2+IKvrjbvX2z6e0aVqY1qgbHkET7dW+3RRuCXZelFy103C+MBY2LjXEdD/jpTmXt&#10;eI/snSpXy+XHsjeuts4I8B5n92mx2BF/04AI35vGQ2BqW2Btgd6O3sf4Lncbvj45blsphjL4K6ro&#10;uNS46Ui154GzJyf/oOqkcMabJiyE6UrTNFIAaUA11fKZmoeWWyAtaI63o03+/9GKb+cH+8OhDb31&#10;a49hVHFpXBdHrI9dyKzraBZcAhM4+f6mWqKjAldSiBzllCqefPgChmj4+asPyek6R7zNkbjoHDrs&#10;V+yUok6FgmGnXMGwU8fUKctDzIu1xZD1eXPW5iiudeYMj4ZQYRIwL3NCKD1HDqqeicqYPFpinbB0&#10;jlB8Xs9jwqFL2b4XMPMKM4dQxkPyNkomk0cbkG9utDdK1gepVJTu3en4WTl25ujovrq/P9zSEeXK&#10;tjzNYgfxidYi0YBP8ZxI6ehztfqE0EisTdwiJSmN+OnoUBSuCiJO6Z/QMFnjYVlRIv3VMNbEhQAd&#10;qrTU8hpSUR/mNcV7IGZQVUQYmRvcf+QeCDIykWTuVOWAj6lAl8KYnBT9o7CUPGbQzkaHMbmT2ri/&#10;KVOoatg54bNJyZro0tHUV/rvyD38u0nhcBPF62P+TenTfbn7DQAA//8DAFBLAwQUAAYACAAAACEA&#10;17Ocld8AAAAJAQAADwAAAGRycy9kb3ducmV2LnhtbEyPQU/DMAyF70j8h8hI3FgyJkpXmk4TggMH&#10;kBgIjVvWmrZa4lRNurb/Hu8Ex2c/P38v30zOihP2ofWkYblQIJBKX7VUa/j8eL5JQYRoqDLWE2qY&#10;McCmuLzITVb5kd7xtIu14BAKmdHQxNhlUoayQWfCwndIvPvxvTORZV/Lqjcjhzsrb5VKpDMt8YfG&#10;dPjYYHncDY4x9vvZ23n8+lYvd/flcTuMr09vWl9fTdsHEBGn+GeGMz7fQMFMBz9QFYRlrdLVkr0a&#10;VgmIs0Glax4cNKwTkEUu/zcofgEAAP//AwBQSwECLQAUAAYACAAAACEAtoM4kv4AAADhAQAAEwAA&#10;AAAAAAAAAAAAAAAAAAAAW0NvbnRlbnRfVHlwZXNdLnhtbFBLAQItABQABgAIAAAAIQA4/SH/1gAA&#10;AJQBAAALAAAAAAAAAAAAAAAAAC8BAABfcmVscy8ucmVsc1BLAQItABQABgAIAAAAIQCDXpPvRQIA&#10;AHcFAAAOAAAAAAAAAAAAAAAAAC4CAABkcnMvZTJvRG9jLnhtbFBLAQItABQABgAIAAAAIQDXs5yV&#10;3wAAAAkBAAAPAAAAAAAAAAAAAAAAAJ8EAABkcnMvZG93bnJldi54bWxQSwUGAAAAAAQABADzAAAA&#10;qwUAAAAA&#10;" path="m,38100r38100,l38100,,,,,38100xe" fillcolor="#d1eef9" stroked="f" strokeweight="1pt">
                <v:path arrowok="t"/>
                <w10:wrap anchorx="page" anchory="line"/>
              </v:shape>
            </w:pict>
          </mc:Fallback>
        </mc:AlternateContent>
      </w:r>
      <w:r>
        <w:t>The Truckee Donner Public Utility District (TDPUD) is a special district of the State of California engaged</w:t>
      </w:r>
      <w:r>
        <w:rPr>
          <w:spacing w:val="-1"/>
        </w:rPr>
        <w:t xml:space="preserve"> in the distribution, sale, and delivery of electric power and water. TDPUD provides retail</w:t>
      </w:r>
      <w:r>
        <w:rPr>
          <w:rFonts w:ascii="Times New Roman" w:hAnsi="Times New Roman" w:cs="Times New Roman"/>
        </w:rPr>
        <w:t xml:space="preserve"> </w:t>
      </w:r>
      <w:r>
        <w:t>electric service to 14,838 customer accounts as of December 31, 2024</w:t>
      </w:r>
      <w:r w:rsidR="008001F5">
        <w:t>;</w:t>
      </w:r>
      <w:r>
        <w:t xml:space="preserve"> the region </w:t>
      </w:r>
      <w:r w:rsidR="008001F5">
        <w:t xml:space="preserve">also </w:t>
      </w:r>
      <w:r>
        <w:t>has a large transient population driven by second homeowners and destination tourism</w:t>
      </w:r>
      <w:r w:rsidR="00992235">
        <w:t>,</w:t>
      </w:r>
      <w:r>
        <w:t xml:space="preserve"> which can increase population by two to three times. TDPUD’s local primary transmission system is connected to </w:t>
      </w:r>
      <w:r w:rsidR="008001F5">
        <w:t xml:space="preserve">the </w:t>
      </w:r>
      <w:r>
        <w:t>NV Energy transmission system and is located high on the eastern slope of the Sierra Nevada. TDPUD’s electric service territory comprises approximately 44 square miles in eastern Nevada County and approximately 1.5 square miles in adjacent Placer County. The electric system includes approximately 225 miles total</w:t>
      </w:r>
      <w:r w:rsidR="008001F5">
        <w:t>.</w:t>
      </w:r>
      <w:r>
        <w:t xml:space="preserve"> with 135 miles of 12.47 kV and 14.4 kV overhead distribution lines, </w:t>
      </w:r>
      <w:r w:rsidR="008001F5">
        <w:t xml:space="preserve">as well as </w:t>
      </w:r>
      <w:r>
        <w:t xml:space="preserve">about 0.5 miles of 60 kV overhead transmission lines. In total, TDPUD has about 5,500 poles in its service territory (Figure 1). </w:t>
      </w:r>
    </w:p>
    <w:p w14:paraId="510BCA11" w14:textId="0B6E2EAC" w:rsidR="001A28B8" w:rsidRDefault="001A28B8" w:rsidP="00C51164">
      <w:pPr>
        <w:pStyle w:val="BodyText"/>
        <w:rPr>
          <w:rFonts w:ascii="Times New Roman" w:hAnsi="Times New Roman" w:cs="Times New Roman"/>
          <w:color w:val="010302"/>
        </w:rPr>
      </w:pPr>
      <w:r>
        <w:t xml:space="preserve">Summary of Changes to the TDPUD 2026 WMP: </w:t>
      </w:r>
    </w:p>
    <w:p w14:paraId="4C53DB0C" w14:textId="3DF497C1" w:rsidR="001A28B8" w:rsidRDefault="001A28B8" w:rsidP="00C51164">
      <w:pPr>
        <w:pStyle w:val="BodyText"/>
      </w:pPr>
      <w:r>
        <w:t xml:space="preserve">This </w:t>
      </w:r>
      <w:r w:rsidR="00792E5F">
        <w:t>P</w:t>
      </w:r>
      <w:r>
        <w:t xml:space="preserve">lan has been updated as part of the regular annual review process to include current data and information. Key changes to the 2026 WMP include: </w:t>
      </w:r>
    </w:p>
    <w:p w14:paraId="48073247" w14:textId="44BCB2BE" w:rsidR="001A28B8" w:rsidRPr="003042B1" w:rsidRDefault="001A28B8" w:rsidP="00C51164">
      <w:pPr>
        <w:pStyle w:val="BulletList"/>
        <w:spacing w:before="240"/>
        <w:contextualSpacing w:val="0"/>
      </w:pPr>
      <w:r w:rsidRPr="003042B1">
        <w:t>This Summary of Changes to the TDPUD 2026 Wildfire Mitigation Plan (WMP) highlights key updates, program advancements, and new technologies implemented since the 2025</w:t>
      </w:r>
      <w:r w:rsidR="00C51164">
        <w:t> </w:t>
      </w:r>
      <w:r w:rsidRPr="003042B1">
        <w:t>WMP</w:t>
      </w:r>
    </w:p>
    <w:p w14:paraId="57209C3E" w14:textId="0A7076A7" w:rsidR="001A28B8" w:rsidRPr="003042B1" w:rsidRDefault="001A28B8" w:rsidP="00C51164">
      <w:pPr>
        <w:pStyle w:val="BulletList"/>
        <w:spacing w:before="240"/>
        <w:contextualSpacing w:val="0"/>
      </w:pPr>
      <w:r w:rsidRPr="003042B1">
        <w:t>TDPUD has expanded its grid monitoring and situational awareness capabilities through deployment of approximately 37</w:t>
      </w:r>
      <w:r w:rsidR="003445EF">
        <w:t>8</w:t>
      </w:r>
      <w:r w:rsidRPr="003042B1">
        <w:t xml:space="preserve"> Gridware (Gridscope) devices, including t</w:t>
      </w:r>
      <w:r w:rsidR="00592C59">
        <w:t>hree</w:t>
      </w:r>
      <w:r w:rsidRPr="003042B1">
        <w:t xml:space="preserve"> weather stations installed across two complete circuits and a portion of a third circuit. These devices provide:</w:t>
      </w:r>
    </w:p>
    <w:p w14:paraId="1916D72F" w14:textId="77777777" w:rsidR="001A28B8" w:rsidRPr="003042B1" w:rsidRDefault="001A28B8" w:rsidP="00A2100A">
      <w:pPr>
        <w:pStyle w:val="BulletList"/>
        <w:numPr>
          <w:ilvl w:val="1"/>
          <w:numId w:val="22"/>
        </w:numPr>
        <w:ind w:left="1440"/>
        <w:contextualSpacing w:val="0"/>
      </w:pPr>
      <w:r w:rsidRPr="003042B1">
        <w:t>Real-time detection of faults and line disturbances</w:t>
      </w:r>
    </w:p>
    <w:p w14:paraId="1C49E5B1" w14:textId="77777777" w:rsidR="001A28B8" w:rsidRPr="003042B1" w:rsidRDefault="001A28B8" w:rsidP="00A2100A">
      <w:pPr>
        <w:pStyle w:val="BulletList"/>
        <w:numPr>
          <w:ilvl w:val="1"/>
          <w:numId w:val="22"/>
        </w:numPr>
        <w:ind w:left="1440"/>
      </w:pPr>
      <w:r w:rsidRPr="003042B1">
        <w:t>High-resolution operational data and visual monitoring</w:t>
      </w:r>
    </w:p>
    <w:p w14:paraId="59FD72F1" w14:textId="77777777" w:rsidR="001A28B8" w:rsidRPr="003042B1" w:rsidRDefault="001A28B8" w:rsidP="00A2100A">
      <w:pPr>
        <w:pStyle w:val="BulletList"/>
        <w:numPr>
          <w:ilvl w:val="1"/>
          <w:numId w:val="22"/>
        </w:numPr>
        <w:ind w:left="1440"/>
      </w:pPr>
      <w:r w:rsidRPr="003042B1">
        <w:t>Hyper-local weather conditions (wind, temperature, humidity)</w:t>
      </w:r>
    </w:p>
    <w:p w14:paraId="6B2F77DE" w14:textId="78B2D30E" w:rsidR="001A28B8" w:rsidRPr="003042B1" w:rsidRDefault="001A28B8" w:rsidP="00A2100A">
      <w:pPr>
        <w:pStyle w:val="BulletList"/>
        <w:numPr>
          <w:ilvl w:val="1"/>
          <w:numId w:val="22"/>
        </w:numPr>
        <w:ind w:left="1440"/>
      </w:pPr>
      <w:r w:rsidRPr="003042B1">
        <w:t xml:space="preserve">Enhanced ability to rapidly detect, locate, and respond to potential ignition events, reducing outage duration </w:t>
      </w:r>
      <w:r w:rsidR="00ED0333" w:rsidRPr="003042B1">
        <w:t>and wildfire</w:t>
      </w:r>
      <w:r w:rsidRPr="003042B1">
        <w:t xml:space="preserve"> risk</w:t>
      </w:r>
    </w:p>
    <w:p w14:paraId="17166434" w14:textId="7FCC73E1" w:rsidR="001A28B8" w:rsidRPr="003042B1" w:rsidRDefault="001A28B8" w:rsidP="00C51164">
      <w:pPr>
        <w:pStyle w:val="BulletList"/>
        <w:spacing w:before="240"/>
        <w:contextualSpacing w:val="0"/>
      </w:pPr>
      <w:r w:rsidRPr="003042B1">
        <w:t xml:space="preserve">TDPUD has significantly enhanced its </w:t>
      </w:r>
      <w:r w:rsidR="00992235" w:rsidRPr="003042B1">
        <w:t xml:space="preserve">weather monitoring </w:t>
      </w:r>
      <w:r w:rsidRPr="003042B1">
        <w:t xml:space="preserve">capabilities by integrating Gridware weather station functionality with existing NOAA data sources, improving localized </w:t>
      </w:r>
      <w:r w:rsidR="006014FA" w:rsidRPr="003042B1">
        <w:t>forecasting</w:t>
      </w:r>
      <w:r w:rsidRPr="003042B1">
        <w:t xml:space="preserve"> and supporting more informed operational decision-making during elevated fire risk conditions</w:t>
      </w:r>
      <w:r w:rsidR="008001F5">
        <w:t>.</w:t>
      </w:r>
    </w:p>
    <w:p w14:paraId="510EEFBD" w14:textId="61868203" w:rsidR="001A28B8" w:rsidRPr="003042B1" w:rsidRDefault="001A28B8" w:rsidP="00C51164">
      <w:pPr>
        <w:pStyle w:val="BulletList"/>
        <w:keepNext/>
        <w:keepLines/>
        <w:spacing w:before="240" w:after="240"/>
        <w:contextualSpacing w:val="0"/>
      </w:pPr>
      <w:r w:rsidRPr="003042B1">
        <w:lastRenderedPageBreak/>
        <w:t>TDPUD continues implementation of its System Hardening Program, maintaining a target of six miles per year, utilizing:</w:t>
      </w:r>
    </w:p>
    <w:p w14:paraId="450FFF20" w14:textId="77777777" w:rsidR="001A28B8" w:rsidRPr="003042B1" w:rsidRDefault="001A28B8" w:rsidP="00A2100A">
      <w:pPr>
        <w:pStyle w:val="BulletList"/>
        <w:numPr>
          <w:ilvl w:val="1"/>
          <w:numId w:val="23"/>
        </w:numPr>
        <w:ind w:left="1440"/>
      </w:pPr>
      <w:r w:rsidRPr="003042B1">
        <w:t>Ductile iron (metal) poles</w:t>
      </w:r>
    </w:p>
    <w:p w14:paraId="11BB43D2" w14:textId="77777777" w:rsidR="001A28B8" w:rsidRPr="003042B1" w:rsidRDefault="001A28B8" w:rsidP="00A2100A">
      <w:pPr>
        <w:pStyle w:val="BulletList"/>
        <w:numPr>
          <w:ilvl w:val="1"/>
          <w:numId w:val="23"/>
        </w:numPr>
        <w:ind w:left="1440"/>
      </w:pPr>
      <w:r w:rsidRPr="003042B1">
        <w:t>Covered conductor (tree wire)</w:t>
      </w:r>
    </w:p>
    <w:p w14:paraId="582596EB" w14:textId="77777777" w:rsidR="001A28B8" w:rsidRPr="003042B1" w:rsidRDefault="001A28B8" w:rsidP="00A2100A">
      <w:pPr>
        <w:pStyle w:val="BulletList"/>
        <w:numPr>
          <w:ilvl w:val="1"/>
          <w:numId w:val="23"/>
        </w:numPr>
        <w:spacing w:before="0" w:after="240"/>
        <w:ind w:left="1440"/>
        <w:contextualSpacing w:val="0"/>
      </w:pPr>
      <w:r w:rsidRPr="003042B1">
        <w:t>Fiberglass/composite crossarms</w:t>
      </w:r>
    </w:p>
    <w:p w14:paraId="351BA816" w14:textId="483C1A9D" w:rsidR="001A28B8" w:rsidRPr="005557EF" w:rsidRDefault="001A28B8" w:rsidP="00C51164">
      <w:pPr>
        <w:pStyle w:val="BulletListFinal"/>
        <w:numPr>
          <w:ilvl w:val="0"/>
          <w:numId w:val="0"/>
        </w:numPr>
        <w:ind w:left="1080"/>
      </w:pPr>
      <w:r w:rsidRPr="005557EF">
        <w:t>These improvements are designed to reduce ignition risk, improve system resilience, and minimize outage frequency in high fire</w:t>
      </w:r>
      <w:r w:rsidR="00FC70B4">
        <w:t xml:space="preserve"> </w:t>
      </w:r>
      <w:r w:rsidRPr="005557EF">
        <w:t>threat areas</w:t>
      </w:r>
      <w:r w:rsidR="008001F5">
        <w:t>.</w:t>
      </w:r>
    </w:p>
    <w:p w14:paraId="010C315B" w14:textId="5A9774F7" w:rsidR="001A28B8" w:rsidRPr="003042B1" w:rsidRDefault="001A28B8" w:rsidP="00C51164">
      <w:pPr>
        <w:pStyle w:val="BulletList"/>
      </w:pPr>
      <w:r w:rsidRPr="003042B1">
        <w:t>TDPUD has updated its Design and Construction Standards to reflect ongoing system hardening efforts, including expanded use of covered conductor, continued intrusive pole inspections to prioritize replacements, and completion of the Non-Expulsion Current</w:t>
      </w:r>
      <w:r w:rsidR="00FC70B4">
        <w:t>-</w:t>
      </w:r>
      <w:r w:rsidRPr="003042B1">
        <w:t>Limiting Fuse program across nearly the entire system</w:t>
      </w:r>
      <w:r w:rsidR="008001F5">
        <w:t>.</w:t>
      </w:r>
    </w:p>
    <w:p w14:paraId="4BCE2FF9" w14:textId="77777777" w:rsidR="001A28B8" w:rsidRPr="003042B1" w:rsidRDefault="001A28B8" w:rsidP="00C51164">
      <w:pPr>
        <w:pStyle w:val="BulletList"/>
        <w:spacing w:before="240" w:after="240"/>
        <w:contextualSpacing w:val="0"/>
      </w:pPr>
      <w:r w:rsidRPr="003042B1">
        <w:t>TDPUD has enhanced its performance tracking and reporting by continuing to refine key reliability metrics, including:</w:t>
      </w:r>
    </w:p>
    <w:p w14:paraId="40133AFA" w14:textId="77777777" w:rsidR="001A28B8" w:rsidRPr="003042B1" w:rsidRDefault="001A28B8" w:rsidP="00A2100A">
      <w:pPr>
        <w:pStyle w:val="BulletList"/>
        <w:numPr>
          <w:ilvl w:val="1"/>
          <w:numId w:val="25"/>
        </w:numPr>
        <w:ind w:left="1440"/>
      </w:pPr>
      <w:r w:rsidRPr="003042B1">
        <w:t>SAIFI (System Average Interruption Frequency Index) – measuring outage frequency across all customers</w:t>
      </w:r>
    </w:p>
    <w:p w14:paraId="3CCA4DC1" w14:textId="3B238EBF" w:rsidR="001A28B8" w:rsidRPr="003042B1" w:rsidRDefault="001A28B8" w:rsidP="00A2100A">
      <w:pPr>
        <w:pStyle w:val="BulletList"/>
        <w:numPr>
          <w:ilvl w:val="1"/>
          <w:numId w:val="25"/>
        </w:numPr>
        <w:ind w:left="1440"/>
      </w:pPr>
      <w:r w:rsidRPr="003042B1">
        <w:t>SAIDI (System Average Interruption Duration Index) – measuring total outage</w:t>
      </w:r>
      <w:r w:rsidR="00C51164">
        <w:t> </w:t>
      </w:r>
      <w:r w:rsidRPr="003042B1">
        <w:t>duration</w:t>
      </w:r>
    </w:p>
    <w:p w14:paraId="3815C326" w14:textId="77777777" w:rsidR="001A28B8" w:rsidRPr="003042B1" w:rsidRDefault="001A28B8" w:rsidP="00A2100A">
      <w:pPr>
        <w:pStyle w:val="BulletList"/>
        <w:numPr>
          <w:ilvl w:val="1"/>
          <w:numId w:val="25"/>
        </w:numPr>
        <w:ind w:left="1440"/>
      </w:pPr>
      <w:r w:rsidRPr="003042B1">
        <w:t>CAIDI (Customer Average Interruption Duration Index) – measuring restoration time for affected customers</w:t>
      </w:r>
    </w:p>
    <w:p w14:paraId="35EC6112" w14:textId="7F6F1473" w:rsidR="001A28B8" w:rsidRPr="005557EF" w:rsidRDefault="001A28B8" w:rsidP="00A2100A">
      <w:pPr>
        <w:pStyle w:val="BulletList"/>
        <w:numPr>
          <w:ilvl w:val="1"/>
          <w:numId w:val="25"/>
        </w:numPr>
        <w:ind w:left="1440"/>
      </w:pPr>
      <w:r w:rsidRPr="005557EF">
        <w:t>These metrics are increasingly used to quantify the effectiveness of wildfire mitigation and system hardening investments</w:t>
      </w:r>
      <w:r w:rsidR="008001F5">
        <w:t>.</w:t>
      </w:r>
    </w:p>
    <w:p w14:paraId="4854C854" w14:textId="520639E5" w:rsidR="001A28B8" w:rsidRPr="003042B1" w:rsidRDefault="001A28B8" w:rsidP="00C51164">
      <w:pPr>
        <w:pStyle w:val="BulletList"/>
        <w:spacing w:before="240" w:after="240"/>
        <w:contextualSpacing w:val="0"/>
      </w:pPr>
      <w:r w:rsidRPr="003042B1">
        <w:t>TDPUD has developed and implemented a formal Preemptive Power Shutoff (PPS) Standard Operating Procedure, consistent with District Code authority, to proactively de-energize portions of the system during extreme fire weather conditions. This program</w:t>
      </w:r>
      <w:r w:rsidR="00C51164">
        <w:t> </w:t>
      </w:r>
      <w:r w:rsidRPr="003042B1">
        <w:t>includes:</w:t>
      </w:r>
    </w:p>
    <w:p w14:paraId="779621B8" w14:textId="77777777" w:rsidR="001A28B8" w:rsidRPr="003042B1" w:rsidRDefault="001A28B8" w:rsidP="00A2100A">
      <w:pPr>
        <w:pStyle w:val="BulletList"/>
        <w:numPr>
          <w:ilvl w:val="1"/>
          <w:numId w:val="24"/>
        </w:numPr>
        <w:ind w:left="1440"/>
      </w:pPr>
      <w:r w:rsidRPr="003042B1">
        <w:t>Defined operational triggers based on weather and system conditions</w:t>
      </w:r>
    </w:p>
    <w:p w14:paraId="55987C90" w14:textId="77777777" w:rsidR="001A28B8" w:rsidRPr="003042B1" w:rsidRDefault="001A28B8" w:rsidP="00A2100A">
      <w:pPr>
        <w:pStyle w:val="BulletList"/>
        <w:numPr>
          <w:ilvl w:val="1"/>
          <w:numId w:val="24"/>
        </w:numPr>
        <w:ind w:left="1440"/>
      </w:pPr>
      <w:r w:rsidRPr="003042B1">
        <w:t>Integration with emergency response protocols (ICS structure)</w:t>
      </w:r>
    </w:p>
    <w:p w14:paraId="55EF8FBB" w14:textId="77777777" w:rsidR="001A28B8" w:rsidRPr="003042B1" w:rsidRDefault="001A28B8" w:rsidP="00A2100A">
      <w:pPr>
        <w:pStyle w:val="BulletList"/>
        <w:numPr>
          <w:ilvl w:val="1"/>
          <w:numId w:val="24"/>
        </w:numPr>
        <w:spacing w:after="200"/>
        <w:ind w:left="1440"/>
      </w:pPr>
      <w:r w:rsidRPr="003042B1">
        <w:t>Coordination with regional partners and public communication strategies</w:t>
      </w:r>
    </w:p>
    <w:p w14:paraId="6269D698" w14:textId="63706F1E" w:rsidR="001A28B8" w:rsidRDefault="001A28B8" w:rsidP="00C51164">
      <w:pPr>
        <w:pStyle w:val="BulletListFinal"/>
        <w:numPr>
          <w:ilvl w:val="0"/>
          <w:numId w:val="0"/>
        </w:numPr>
        <w:ind w:left="1080"/>
      </w:pPr>
      <w:r w:rsidRPr="005557EF">
        <w:t>TDPUD has transitioned from planning to full implementation of its preemptive de-energization program, strengthening its ability to reduce wildfire ignition risk during Red Flag and high wind events</w:t>
      </w:r>
      <w:r w:rsidR="008001F5">
        <w:t>.</w:t>
      </w:r>
    </w:p>
    <w:p w14:paraId="115A6102" w14:textId="6B5F7E1D" w:rsidR="001A28B8" w:rsidRDefault="001A28B8" w:rsidP="00C51164">
      <w:pPr>
        <w:pStyle w:val="BulletList"/>
        <w:keepNext/>
        <w:keepLines/>
        <w:spacing w:before="240" w:after="240"/>
        <w:contextualSpacing w:val="0"/>
      </w:pPr>
      <w:r w:rsidRPr="003042B1">
        <w:lastRenderedPageBreak/>
        <w:t>TDPUD is in the process of implementing Advanced Power Safety Settings (APSS) on select circuits to further reduce wildfire ignition risk during elevated fire weather</w:t>
      </w:r>
      <w:r w:rsidR="00C51164">
        <w:t> </w:t>
      </w:r>
      <w:r w:rsidRPr="003042B1">
        <w:t>conditions</w:t>
      </w:r>
      <w:r w:rsidR="008001F5">
        <w:t>:</w:t>
      </w:r>
    </w:p>
    <w:p w14:paraId="534850C2" w14:textId="5CB554C8" w:rsidR="001A28B8" w:rsidRDefault="001A28B8" w:rsidP="00A2100A">
      <w:pPr>
        <w:pStyle w:val="BulletList"/>
        <w:numPr>
          <w:ilvl w:val="1"/>
          <w:numId w:val="26"/>
        </w:numPr>
        <w:ind w:left="1440"/>
      </w:pPr>
      <w:r w:rsidRPr="003042B1">
        <w:t>Adjust</w:t>
      </w:r>
      <w:r w:rsidR="008001F5">
        <w:t>s</w:t>
      </w:r>
      <w:r w:rsidRPr="003042B1">
        <w:t xml:space="preserve"> protective device settings to trip faster under fault conditions</w:t>
      </w:r>
    </w:p>
    <w:p w14:paraId="184F03D0" w14:textId="77777777" w:rsidR="001A28B8" w:rsidRDefault="001A28B8" w:rsidP="00A2100A">
      <w:pPr>
        <w:pStyle w:val="BulletList"/>
        <w:numPr>
          <w:ilvl w:val="1"/>
          <w:numId w:val="26"/>
        </w:numPr>
        <w:ind w:left="1440"/>
      </w:pPr>
      <w:r w:rsidRPr="003042B1">
        <w:t>Reduces fault energy and duration, lowering the likelihood of ignition</w:t>
      </w:r>
    </w:p>
    <w:p w14:paraId="2A51F42B" w14:textId="09F29BE3" w:rsidR="001A28B8" w:rsidRDefault="001A28B8" w:rsidP="00A2100A">
      <w:pPr>
        <w:pStyle w:val="BulletList"/>
        <w:numPr>
          <w:ilvl w:val="1"/>
          <w:numId w:val="26"/>
        </w:numPr>
        <w:ind w:left="1440"/>
      </w:pPr>
      <w:r w:rsidRPr="003042B1">
        <w:t>Will be utilized during high-risk periods such as Red Flag Warnings and high wind</w:t>
      </w:r>
      <w:r w:rsidR="00C51164">
        <w:t> </w:t>
      </w:r>
      <w:r w:rsidRPr="003042B1">
        <w:t>events</w:t>
      </w:r>
    </w:p>
    <w:p w14:paraId="1169C576" w14:textId="77264ADF" w:rsidR="001A28B8" w:rsidRPr="006A4C7D" w:rsidRDefault="001A28B8" w:rsidP="00A2100A">
      <w:pPr>
        <w:pStyle w:val="BulletList"/>
        <w:numPr>
          <w:ilvl w:val="1"/>
          <w:numId w:val="26"/>
        </w:numPr>
        <w:ind w:left="1440"/>
      </w:pPr>
      <w:r w:rsidRPr="003042B1">
        <w:t>May increase momentary or sustained outages as a tradeoff to enhance public safety and wildfire risk mitigation</w:t>
      </w:r>
    </w:p>
    <w:p w14:paraId="37C72AA3" w14:textId="6F0D064A" w:rsidR="001A28B8" w:rsidRPr="008001F5" w:rsidRDefault="001A28B8" w:rsidP="00C51164">
      <w:pPr>
        <w:pStyle w:val="BulletList"/>
        <w:spacing w:before="240"/>
        <w:contextualSpacing w:val="0"/>
        <w:rPr>
          <w:rFonts w:ascii="Times New Roman" w:hAnsi="Times New Roman" w:cs="Times New Roman"/>
          <w:color w:val="010302"/>
        </w:rPr>
      </w:pPr>
      <w:r>
        <w:t>TDPUD continues to invest in Supervisory Control and Data Acquisition (SCADA), Graphic</w:t>
      </w:r>
      <w:r>
        <w:rPr>
          <w:rFonts w:ascii="Times New Roman" w:hAnsi="Times New Roman" w:cs="Times New Roman"/>
        </w:rPr>
        <w:t xml:space="preserve"> </w:t>
      </w:r>
      <w:r w:rsidRPr="005F4962">
        <w:t xml:space="preserve">Information Systems (GIS), and Outage Management Systems (OMS) to enhance situational awareness, operational responses, and communications. </w:t>
      </w:r>
    </w:p>
    <w:p w14:paraId="2BE76B5D" w14:textId="4ACBDDD0" w:rsidR="001A28B8" w:rsidRPr="008238A1" w:rsidRDefault="001A28B8" w:rsidP="00C51164">
      <w:pPr>
        <w:pStyle w:val="BulletList"/>
        <w:spacing w:after="240"/>
        <w:contextualSpacing w:val="0"/>
        <w:rPr>
          <w:rFonts w:ascii="Times New Roman" w:hAnsi="Times New Roman" w:cs="Times New Roman"/>
          <w:color w:val="010302"/>
        </w:rPr>
      </w:pPr>
      <w:r>
        <w:t xml:space="preserve">California’s strict liability standards (Inverse Condemnation), civil liability exposure, and </w:t>
      </w:r>
      <w:r w:rsidRPr="005F4962">
        <w:t xml:space="preserve">the lack of affordable wildfire insurance remain a major threat to electric utilities. </w:t>
      </w:r>
    </w:p>
    <w:tbl>
      <w:tblPr>
        <w:tblW w:w="5000" w:type="pct"/>
        <w:jc w:val="center"/>
        <w:tblLayout w:type="fixed"/>
        <w:tblLook w:val="0000" w:firstRow="0" w:lastRow="0" w:firstColumn="0" w:lastColumn="0" w:noHBand="0" w:noVBand="0"/>
      </w:tblPr>
      <w:tblGrid>
        <w:gridCol w:w="2535"/>
        <w:gridCol w:w="3411"/>
        <w:gridCol w:w="3414"/>
      </w:tblGrid>
      <w:tr w:rsidR="00C51164" w14:paraId="46419ACE" w14:textId="77777777" w:rsidTr="001D7993">
        <w:trPr>
          <w:tblHeader/>
          <w:jc w:val="center"/>
        </w:trPr>
        <w:tc>
          <w:tcPr>
            <w:tcW w:w="9874" w:type="dxa"/>
            <w:gridSpan w:val="3"/>
            <w:tcBorders>
              <w:bottom w:val="single" w:sz="4" w:space="0" w:color="auto"/>
            </w:tcBorders>
            <w:vAlign w:val="center"/>
          </w:tcPr>
          <w:p w14:paraId="5DE8C7B0" w14:textId="552A8C0D" w:rsidR="00C51164" w:rsidRPr="00B868EA" w:rsidRDefault="00C51164" w:rsidP="00C51164">
            <w:pPr>
              <w:pStyle w:val="Table"/>
            </w:pPr>
            <w:bookmarkStart w:id="17" w:name="_Toc236903509"/>
            <w:r>
              <w:t xml:space="preserve">Utility </w:t>
            </w:r>
            <w:r w:rsidRPr="00D07962">
              <w:t>Description</w:t>
            </w:r>
            <w:r>
              <w:t xml:space="preserve"> and Context Setting Table</w:t>
            </w:r>
            <w:bookmarkEnd w:id="17"/>
          </w:p>
        </w:tc>
      </w:tr>
      <w:tr w:rsidR="00804F5D" w14:paraId="296DAB16" w14:textId="77777777" w:rsidTr="001D7993">
        <w:trPr>
          <w:tblHeader/>
          <w:jc w:val="center"/>
        </w:trPr>
        <w:tc>
          <w:tcPr>
            <w:tcW w:w="2671" w:type="dxa"/>
            <w:tcBorders>
              <w:top w:val="single" w:sz="4" w:space="0" w:color="auto"/>
              <w:left w:val="single" w:sz="4" w:space="0" w:color="auto"/>
              <w:bottom w:val="single" w:sz="6" w:space="0" w:color="000000"/>
              <w:right w:val="single" w:sz="6" w:space="0" w:color="000000"/>
            </w:tcBorders>
            <w:shd w:val="clear" w:color="auto" w:fill="1CADE4"/>
            <w:vAlign w:val="center"/>
          </w:tcPr>
          <w:p w14:paraId="1DD1B1F7" w14:textId="77777777" w:rsidR="00804F5D" w:rsidRPr="00B868EA" w:rsidRDefault="00804F5D" w:rsidP="00BB0CE1">
            <w:pPr>
              <w:pStyle w:val="TableHeading"/>
            </w:pPr>
            <w:r w:rsidRPr="00B868EA">
              <w:t>Utility Name</w:t>
            </w:r>
          </w:p>
        </w:tc>
        <w:tc>
          <w:tcPr>
            <w:tcW w:w="7203" w:type="dxa"/>
            <w:gridSpan w:val="2"/>
            <w:tcBorders>
              <w:top w:val="single" w:sz="4" w:space="0" w:color="auto"/>
              <w:left w:val="single" w:sz="6" w:space="0" w:color="000000"/>
              <w:bottom w:val="single" w:sz="6" w:space="0" w:color="000000"/>
              <w:right w:val="single" w:sz="6" w:space="0" w:color="000000"/>
            </w:tcBorders>
            <w:shd w:val="clear" w:color="auto" w:fill="1CADE4"/>
            <w:vAlign w:val="center"/>
          </w:tcPr>
          <w:p w14:paraId="10A51D9C" w14:textId="2564FF0E" w:rsidR="00804F5D" w:rsidRPr="00B868EA" w:rsidRDefault="00804F5D" w:rsidP="00BB0CE1">
            <w:pPr>
              <w:pStyle w:val="TableHeading"/>
            </w:pPr>
            <w:r w:rsidRPr="00B868EA">
              <w:t xml:space="preserve">Truckee Donner Public Utility </w:t>
            </w:r>
            <w:r w:rsidR="0064570C" w:rsidRPr="00B868EA">
              <w:t>District (</w:t>
            </w:r>
            <w:r w:rsidR="00A97307" w:rsidRPr="00B868EA">
              <w:t>TDPUD</w:t>
            </w:r>
            <w:r w:rsidR="0064570C" w:rsidRPr="00B868EA">
              <w:t>)</w:t>
            </w:r>
          </w:p>
        </w:tc>
      </w:tr>
      <w:tr w:rsidR="00804F5D" w14:paraId="35A55FD3" w14:textId="77777777" w:rsidTr="001D7993">
        <w:trPr>
          <w:jc w:val="center"/>
        </w:trPr>
        <w:tc>
          <w:tcPr>
            <w:tcW w:w="2671" w:type="dxa"/>
            <w:tcBorders>
              <w:top w:val="single" w:sz="6" w:space="0" w:color="000000"/>
              <w:left w:val="single" w:sz="4" w:space="0" w:color="auto"/>
              <w:bottom w:val="single" w:sz="6" w:space="0" w:color="000000"/>
              <w:right w:val="single" w:sz="6" w:space="0" w:color="000000"/>
            </w:tcBorders>
            <w:shd w:val="clear" w:color="auto" w:fill="D1EDF8"/>
            <w:vAlign w:val="center"/>
          </w:tcPr>
          <w:p w14:paraId="666CED5F" w14:textId="77777777" w:rsidR="00804F5D" w:rsidRDefault="00804F5D" w:rsidP="00BB0CE1">
            <w:pPr>
              <w:pStyle w:val="TableSubheading"/>
            </w:pPr>
            <w:r>
              <w:t>Service</w:t>
            </w:r>
            <w:r>
              <w:rPr>
                <w:spacing w:val="-4"/>
              </w:rPr>
              <w:t xml:space="preserve"> </w:t>
            </w:r>
            <w:r>
              <w:t>Territory</w:t>
            </w:r>
            <w:r>
              <w:rPr>
                <w:spacing w:val="-2"/>
              </w:rPr>
              <w:t xml:space="preserve"> </w:t>
            </w:r>
            <w:r>
              <w:t>Size</w:t>
            </w:r>
          </w:p>
        </w:tc>
        <w:tc>
          <w:tcPr>
            <w:tcW w:w="7203" w:type="dxa"/>
            <w:gridSpan w:val="2"/>
            <w:tcBorders>
              <w:top w:val="single" w:sz="6" w:space="0" w:color="000000"/>
              <w:left w:val="single" w:sz="6" w:space="0" w:color="000000"/>
              <w:bottom w:val="single" w:sz="6" w:space="0" w:color="000000"/>
              <w:right w:val="single" w:sz="6" w:space="0" w:color="000000"/>
            </w:tcBorders>
            <w:vAlign w:val="center"/>
          </w:tcPr>
          <w:p w14:paraId="25AB3F3A" w14:textId="77777777" w:rsidR="00804F5D" w:rsidRPr="00BB0CE1" w:rsidRDefault="00804F5D" w:rsidP="00BB0CE1">
            <w:pPr>
              <w:pStyle w:val="TableText"/>
            </w:pPr>
            <w:r w:rsidRPr="00BB0CE1">
              <w:t>45.5 square miles</w:t>
            </w:r>
          </w:p>
        </w:tc>
      </w:tr>
      <w:tr w:rsidR="00804F5D" w14:paraId="271D9F8D" w14:textId="77777777" w:rsidTr="001D7993">
        <w:trPr>
          <w:jc w:val="center"/>
        </w:trPr>
        <w:tc>
          <w:tcPr>
            <w:tcW w:w="2671" w:type="dxa"/>
            <w:tcBorders>
              <w:top w:val="single" w:sz="6" w:space="0" w:color="000000"/>
              <w:left w:val="single" w:sz="4" w:space="0" w:color="auto"/>
              <w:bottom w:val="single" w:sz="6" w:space="0" w:color="000000"/>
              <w:right w:val="single" w:sz="6" w:space="0" w:color="000000"/>
            </w:tcBorders>
            <w:shd w:val="clear" w:color="auto" w:fill="D1EDF8"/>
            <w:vAlign w:val="center"/>
          </w:tcPr>
          <w:p w14:paraId="28FE1A5F" w14:textId="4E7263A9" w:rsidR="00804F5D" w:rsidRDefault="00804F5D" w:rsidP="00012CC0">
            <w:pPr>
              <w:pStyle w:val="TableSubheading"/>
            </w:pPr>
            <w:r>
              <w:t>Owned</w:t>
            </w:r>
            <w:r>
              <w:rPr>
                <w:spacing w:val="-2"/>
              </w:rPr>
              <w:t xml:space="preserve"> </w:t>
            </w:r>
            <w:r>
              <w:t>Assets</w:t>
            </w:r>
          </w:p>
        </w:tc>
        <w:tc>
          <w:tcPr>
            <w:tcW w:w="7203" w:type="dxa"/>
            <w:gridSpan w:val="2"/>
            <w:tcBorders>
              <w:top w:val="single" w:sz="6" w:space="0" w:color="000000"/>
              <w:left w:val="single" w:sz="6" w:space="0" w:color="000000"/>
              <w:bottom w:val="single" w:sz="6" w:space="0" w:color="000000"/>
              <w:right w:val="single" w:sz="6" w:space="0" w:color="000000"/>
            </w:tcBorders>
            <w:vAlign w:val="center"/>
          </w:tcPr>
          <w:p w14:paraId="37468308" w14:textId="6DC93DD3" w:rsidR="00804F5D" w:rsidRPr="00BB0CE1" w:rsidRDefault="00622C52" w:rsidP="00BB0CE1">
            <w:pPr>
              <w:pStyle w:val="TableText"/>
            </w:pPr>
            <w:sdt>
              <w:sdtPr>
                <w:id w:val="99841246"/>
                <w14:checkbox>
                  <w14:checked w14:val="1"/>
                  <w14:checkedState w14:val="2612" w14:font="MS Gothic"/>
                  <w14:uncheckedState w14:val="2610" w14:font="MS Gothic"/>
                </w14:checkbox>
              </w:sdtPr>
              <w:sdtEndPr/>
              <w:sdtContent>
                <w:r w:rsidR="00C8702A" w:rsidRPr="00BB0CE1">
                  <w:rPr>
                    <w:rFonts w:ascii="Segoe UI Symbol" w:hAnsi="Segoe UI Symbol" w:cs="Segoe UI Symbol"/>
                  </w:rPr>
                  <w:t>☒</w:t>
                </w:r>
              </w:sdtContent>
            </w:sdt>
            <w:r w:rsidR="00C8702A" w:rsidRPr="00BB0CE1">
              <w:t xml:space="preserve"> </w:t>
            </w:r>
            <w:r w:rsidR="00804F5D" w:rsidRPr="00BB0CE1">
              <w:t xml:space="preserve">Transmission </w:t>
            </w:r>
            <w:sdt>
              <w:sdtPr>
                <w:id w:val="-1792042363"/>
                <w14:checkbox>
                  <w14:checked w14:val="1"/>
                  <w14:checkedState w14:val="2612" w14:font="MS Gothic"/>
                  <w14:uncheckedState w14:val="2610" w14:font="MS Gothic"/>
                </w14:checkbox>
              </w:sdtPr>
              <w:sdtEndPr/>
              <w:sdtContent>
                <w:r w:rsidR="00C8702A" w:rsidRPr="00BB0CE1">
                  <w:rPr>
                    <w:rFonts w:ascii="Segoe UI Symbol" w:hAnsi="Segoe UI Symbol" w:cs="Segoe UI Symbol"/>
                  </w:rPr>
                  <w:t>☒</w:t>
                </w:r>
              </w:sdtContent>
            </w:sdt>
            <w:r w:rsidR="00804F5D" w:rsidRPr="00BB0CE1">
              <w:t xml:space="preserve"> Distribution </w:t>
            </w:r>
            <w:r w:rsidR="00804F5D" w:rsidRPr="00BB0CE1">
              <w:rPr>
                <w:rFonts w:ascii="Segoe UI Symbol" w:hAnsi="Segoe UI Symbol" w:cs="Segoe UI Symbol"/>
              </w:rPr>
              <w:t>☐</w:t>
            </w:r>
            <w:r w:rsidR="00804F5D" w:rsidRPr="00BB0CE1">
              <w:t xml:space="preserve"> Generation</w:t>
            </w:r>
          </w:p>
        </w:tc>
      </w:tr>
      <w:tr w:rsidR="00804F5D" w14:paraId="4C802E25" w14:textId="77777777" w:rsidTr="001D7993">
        <w:trPr>
          <w:jc w:val="center"/>
        </w:trPr>
        <w:tc>
          <w:tcPr>
            <w:tcW w:w="2671" w:type="dxa"/>
            <w:tcBorders>
              <w:top w:val="single" w:sz="6" w:space="0" w:color="000000"/>
              <w:left w:val="single" w:sz="4" w:space="0" w:color="auto"/>
              <w:bottom w:val="single" w:sz="6" w:space="0" w:color="000000"/>
              <w:right w:val="single" w:sz="6" w:space="0" w:color="000000"/>
            </w:tcBorders>
            <w:shd w:val="clear" w:color="auto" w:fill="D1EDF8"/>
            <w:vAlign w:val="center"/>
          </w:tcPr>
          <w:p w14:paraId="3517F6F6" w14:textId="77777777" w:rsidR="00804F5D" w:rsidRDefault="00804F5D" w:rsidP="00BB0CE1">
            <w:pPr>
              <w:pStyle w:val="TableSubheading"/>
            </w:pPr>
            <w:r>
              <w:t>Number of Customers</w:t>
            </w:r>
            <w:r>
              <w:rPr>
                <w:spacing w:val="-47"/>
              </w:rPr>
              <w:t xml:space="preserve"> </w:t>
            </w:r>
            <w:r>
              <w:t>Served</w:t>
            </w:r>
          </w:p>
        </w:tc>
        <w:tc>
          <w:tcPr>
            <w:tcW w:w="7203" w:type="dxa"/>
            <w:gridSpan w:val="2"/>
            <w:tcBorders>
              <w:top w:val="single" w:sz="6" w:space="0" w:color="000000"/>
              <w:left w:val="single" w:sz="6" w:space="0" w:color="000000"/>
              <w:bottom w:val="single" w:sz="6" w:space="0" w:color="000000"/>
              <w:right w:val="single" w:sz="6" w:space="0" w:color="000000"/>
            </w:tcBorders>
            <w:vAlign w:val="center"/>
          </w:tcPr>
          <w:p w14:paraId="4899B9F8" w14:textId="27B14103" w:rsidR="00804F5D" w:rsidRPr="00BB0CE1" w:rsidRDefault="002B68C7" w:rsidP="00D71601">
            <w:pPr>
              <w:pStyle w:val="TableText"/>
            </w:pPr>
            <w:r w:rsidRPr="00BB0CE1">
              <w:t>14,</w:t>
            </w:r>
            <w:r w:rsidR="00FF20BC" w:rsidRPr="00BB0CE1">
              <w:t>838</w:t>
            </w:r>
            <w:r w:rsidR="00940504" w:rsidRPr="00BB0CE1">
              <w:t xml:space="preserve"> </w:t>
            </w:r>
            <w:r w:rsidR="00804F5D" w:rsidRPr="00BB0CE1">
              <w:t>customer accounts</w:t>
            </w:r>
          </w:p>
        </w:tc>
      </w:tr>
      <w:tr w:rsidR="00091516" w14:paraId="7012F5A0" w14:textId="77777777" w:rsidTr="001D7993">
        <w:trPr>
          <w:jc w:val="center"/>
        </w:trPr>
        <w:tc>
          <w:tcPr>
            <w:tcW w:w="2671" w:type="dxa"/>
            <w:tcBorders>
              <w:top w:val="single" w:sz="6" w:space="0" w:color="000000"/>
              <w:left w:val="single" w:sz="4" w:space="0" w:color="auto"/>
              <w:bottom w:val="single" w:sz="6" w:space="0" w:color="000000"/>
              <w:right w:val="single" w:sz="6" w:space="0" w:color="000000"/>
            </w:tcBorders>
            <w:shd w:val="clear" w:color="auto" w:fill="D1EDF8"/>
            <w:vAlign w:val="center"/>
          </w:tcPr>
          <w:p w14:paraId="2E3F2346" w14:textId="77777777" w:rsidR="00091516" w:rsidRDefault="00091516" w:rsidP="00BB0CE1">
            <w:pPr>
              <w:pStyle w:val="TableSubheading"/>
            </w:pPr>
            <w:r>
              <w:t>Population Within Service</w:t>
            </w:r>
            <w:r>
              <w:rPr>
                <w:spacing w:val="-47"/>
              </w:rPr>
              <w:t xml:space="preserve"> </w:t>
            </w:r>
            <w:r>
              <w:t>Territory</w:t>
            </w:r>
          </w:p>
        </w:tc>
        <w:tc>
          <w:tcPr>
            <w:tcW w:w="7203" w:type="dxa"/>
            <w:gridSpan w:val="2"/>
            <w:tcBorders>
              <w:top w:val="single" w:sz="6" w:space="0" w:color="000000"/>
              <w:left w:val="single" w:sz="6" w:space="0" w:color="000000"/>
              <w:bottom w:val="single" w:sz="6" w:space="0" w:color="000000"/>
              <w:right w:val="single" w:sz="6" w:space="0" w:color="000000"/>
            </w:tcBorders>
            <w:vAlign w:val="center"/>
          </w:tcPr>
          <w:p w14:paraId="7E643A52" w14:textId="46692400" w:rsidR="00091516" w:rsidRDefault="00091516" w:rsidP="00D71601">
            <w:pPr>
              <w:pStyle w:val="TableText"/>
              <w:rPr>
                <w:rFonts w:ascii="Times New Roman" w:hAnsi="Times New Roman" w:cs="Times New Roman"/>
                <w:color w:val="010302"/>
              </w:rPr>
            </w:pPr>
            <w:r>
              <w:t>16,778 people (full-time population as reported by Town of Truckee using data</w:t>
            </w:r>
            <w:r>
              <w:rPr>
                <w:rFonts w:ascii="Times New Roman" w:hAnsi="Times New Roman" w:cs="Times New Roman"/>
              </w:rPr>
              <w:t xml:space="preserve"> </w:t>
            </w:r>
            <w:r>
              <w:t xml:space="preserve">from Census) </w:t>
            </w:r>
          </w:p>
          <w:p w14:paraId="6ED4AD8D" w14:textId="23A1251E" w:rsidR="00091516" w:rsidRDefault="00091516" w:rsidP="00D71601">
            <w:pPr>
              <w:pStyle w:val="TableText"/>
            </w:pPr>
            <w:r>
              <w:t xml:space="preserve">34,825 people (actual population using people per dwelling unit data from </w:t>
            </w:r>
            <w:r w:rsidR="00143148">
              <w:t xml:space="preserve">Census) </w:t>
            </w:r>
          </w:p>
        </w:tc>
      </w:tr>
      <w:tr w:rsidR="00091516" w14:paraId="02584215" w14:textId="77777777" w:rsidTr="001D7993">
        <w:trPr>
          <w:jc w:val="center"/>
        </w:trPr>
        <w:tc>
          <w:tcPr>
            <w:tcW w:w="2671" w:type="dxa"/>
            <w:vMerge w:val="restart"/>
            <w:tcBorders>
              <w:top w:val="single" w:sz="6" w:space="0" w:color="000000"/>
              <w:left w:val="single" w:sz="4" w:space="0" w:color="auto"/>
              <w:bottom w:val="single" w:sz="6" w:space="0" w:color="000000"/>
              <w:right w:val="single" w:sz="6" w:space="0" w:color="000000"/>
            </w:tcBorders>
            <w:shd w:val="clear" w:color="auto" w:fill="D1EDF8"/>
            <w:vAlign w:val="center"/>
          </w:tcPr>
          <w:p w14:paraId="001C8D39" w14:textId="77777777" w:rsidR="00091516" w:rsidRDefault="00091516" w:rsidP="00C51164">
            <w:pPr>
              <w:pStyle w:val="TableSubheading"/>
              <w:keepNext/>
              <w:keepLines/>
            </w:pPr>
            <w:r>
              <w:lastRenderedPageBreak/>
              <w:t>Customer</w:t>
            </w:r>
            <w:r>
              <w:rPr>
                <w:spacing w:val="-4"/>
              </w:rPr>
              <w:t xml:space="preserve"> </w:t>
            </w:r>
            <w:r>
              <w:t>Class</w:t>
            </w:r>
            <w:r>
              <w:rPr>
                <w:spacing w:val="-2"/>
              </w:rPr>
              <w:t xml:space="preserve"> </w:t>
            </w:r>
            <w:r>
              <w:t>Makeup</w:t>
            </w:r>
          </w:p>
        </w:tc>
        <w:tc>
          <w:tcPr>
            <w:tcW w:w="3600" w:type="dxa"/>
            <w:tcBorders>
              <w:top w:val="single" w:sz="6" w:space="0" w:color="000000"/>
              <w:left w:val="single" w:sz="6" w:space="0" w:color="000000"/>
              <w:bottom w:val="single" w:sz="6" w:space="0" w:color="000000"/>
              <w:right w:val="single" w:sz="6" w:space="0" w:color="000000"/>
            </w:tcBorders>
            <w:shd w:val="clear" w:color="auto" w:fill="C4EBF8"/>
            <w:vAlign w:val="center"/>
          </w:tcPr>
          <w:p w14:paraId="789C9F8F" w14:textId="77777777" w:rsidR="00091516" w:rsidRPr="00BB0CE1" w:rsidRDefault="00091516" w:rsidP="00C51164">
            <w:pPr>
              <w:pStyle w:val="TableParagraph"/>
              <w:keepNext/>
              <w:keepLines/>
              <w:widowControl/>
              <w:jc w:val="center"/>
              <w:rPr>
                <w:i/>
                <w:iCs/>
              </w:rPr>
            </w:pPr>
            <w:r w:rsidRPr="00BB0CE1">
              <w:rPr>
                <w:i/>
                <w:iCs/>
              </w:rPr>
              <w:t>Number of Accounts</w:t>
            </w:r>
          </w:p>
        </w:tc>
        <w:tc>
          <w:tcPr>
            <w:tcW w:w="3603" w:type="dxa"/>
            <w:tcBorders>
              <w:top w:val="single" w:sz="6" w:space="0" w:color="000000"/>
              <w:left w:val="single" w:sz="6" w:space="0" w:color="000000"/>
              <w:bottom w:val="single" w:sz="6" w:space="0" w:color="000000"/>
              <w:right w:val="single" w:sz="6" w:space="0" w:color="000000"/>
            </w:tcBorders>
            <w:shd w:val="clear" w:color="auto" w:fill="C4EBF8"/>
            <w:vAlign w:val="center"/>
          </w:tcPr>
          <w:p w14:paraId="09D9C49C" w14:textId="77777777" w:rsidR="00091516" w:rsidRPr="00BB0CE1" w:rsidRDefault="00091516" w:rsidP="00C51164">
            <w:pPr>
              <w:pStyle w:val="TableParagraph"/>
              <w:keepNext/>
              <w:keepLines/>
              <w:widowControl/>
              <w:jc w:val="center"/>
              <w:rPr>
                <w:i/>
                <w:iCs/>
              </w:rPr>
            </w:pPr>
            <w:r w:rsidRPr="00BB0CE1">
              <w:rPr>
                <w:i/>
                <w:iCs/>
              </w:rPr>
              <w:t>Share of Total Load (MWh)</w:t>
            </w:r>
          </w:p>
        </w:tc>
      </w:tr>
      <w:tr w:rsidR="00091516" w14:paraId="6FD02367" w14:textId="77777777" w:rsidTr="001D7993">
        <w:trPr>
          <w:jc w:val="center"/>
        </w:trPr>
        <w:tc>
          <w:tcPr>
            <w:tcW w:w="2671" w:type="dxa"/>
            <w:vMerge/>
            <w:tcBorders>
              <w:top w:val="single" w:sz="6" w:space="0" w:color="000000"/>
              <w:left w:val="single" w:sz="4" w:space="0" w:color="auto"/>
              <w:bottom w:val="single" w:sz="6" w:space="0" w:color="000000"/>
              <w:right w:val="single" w:sz="6" w:space="0" w:color="000000"/>
            </w:tcBorders>
            <w:shd w:val="clear" w:color="auto" w:fill="D1EDF8"/>
            <w:vAlign w:val="center"/>
          </w:tcPr>
          <w:p w14:paraId="0EEBD5F5" w14:textId="77777777" w:rsidR="00091516" w:rsidRDefault="00091516" w:rsidP="00BB0CE1">
            <w:pPr>
              <w:pStyle w:val="TableSubheading"/>
              <w:rPr>
                <w:rFonts w:ascii="Times New Roman" w:hAnsi="Times New Roman"/>
                <w:sz w:val="2"/>
                <w:szCs w:val="2"/>
              </w:rPr>
            </w:pPr>
          </w:p>
        </w:tc>
        <w:tc>
          <w:tcPr>
            <w:tcW w:w="3600" w:type="dxa"/>
            <w:tcBorders>
              <w:top w:val="single" w:sz="6" w:space="0" w:color="000000"/>
              <w:left w:val="single" w:sz="6" w:space="0" w:color="000000"/>
              <w:bottom w:val="single" w:sz="6" w:space="0" w:color="000000"/>
              <w:right w:val="single" w:sz="6" w:space="0" w:color="000000"/>
            </w:tcBorders>
            <w:vAlign w:val="center"/>
          </w:tcPr>
          <w:p w14:paraId="09DCACBC" w14:textId="70EA6F51" w:rsidR="005006A0" w:rsidRPr="00BB0CE1" w:rsidRDefault="009D2CAB" w:rsidP="00D71601">
            <w:pPr>
              <w:pStyle w:val="TableText"/>
            </w:pPr>
            <w:r w:rsidRPr="00BB0CE1">
              <w:t xml:space="preserve">89% Residential </w:t>
            </w:r>
          </w:p>
          <w:p w14:paraId="1EDF3AEC" w14:textId="77777777" w:rsidR="005006A0" w:rsidRPr="00BB0CE1" w:rsidRDefault="009D2CAB" w:rsidP="00D71601">
            <w:pPr>
              <w:pStyle w:val="TableText"/>
            </w:pPr>
            <w:r w:rsidRPr="00BB0CE1">
              <w:t xml:space="preserve">2% Government </w:t>
            </w:r>
          </w:p>
          <w:p w14:paraId="4C7923DF" w14:textId="77777777" w:rsidR="005006A0" w:rsidRPr="00BB0CE1" w:rsidRDefault="009D2CAB" w:rsidP="00D71601">
            <w:pPr>
              <w:pStyle w:val="TableText"/>
            </w:pPr>
            <w:r w:rsidRPr="00BB0CE1">
              <w:t xml:space="preserve">0% Agricultural </w:t>
            </w:r>
          </w:p>
          <w:p w14:paraId="1413112C" w14:textId="77777777" w:rsidR="005006A0" w:rsidRPr="00BB0CE1" w:rsidRDefault="009D2CAB" w:rsidP="00D71601">
            <w:pPr>
              <w:pStyle w:val="TableText"/>
            </w:pPr>
            <w:r w:rsidRPr="00BB0CE1">
              <w:t xml:space="preserve">8.9% Small/Medium Business </w:t>
            </w:r>
          </w:p>
          <w:p w14:paraId="3C722A51" w14:textId="009CA282" w:rsidR="00091516" w:rsidRPr="00BB0CE1" w:rsidRDefault="009D2CAB" w:rsidP="00D71601">
            <w:pPr>
              <w:pStyle w:val="TableText"/>
            </w:pPr>
            <w:r w:rsidRPr="00BB0CE1">
              <w:t>0.1% Commercial/Industrial</w:t>
            </w:r>
          </w:p>
        </w:tc>
        <w:tc>
          <w:tcPr>
            <w:tcW w:w="3603" w:type="dxa"/>
            <w:tcBorders>
              <w:top w:val="single" w:sz="6" w:space="0" w:color="000000"/>
              <w:left w:val="single" w:sz="6" w:space="0" w:color="000000"/>
              <w:bottom w:val="single" w:sz="6" w:space="0" w:color="000000"/>
              <w:right w:val="single" w:sz="6" w:space="0" w:color="000000"/>
            </w:tcBorders>
            <w:vAlign w:val="center"/>
          </w:tcPr>
          <w:p w14:paraId="627D18B9" w14:textId="77777777" w:rsidR="005006A0" w:rsidRPr="00BB0CE1" w:rsidRDefault="005006A0" w:rsidP="00D71601">
            <w:pPr>
              <w:pStyle w:val="TableText"/>
            </w:pPr>
            <w:r w:rsidRPr="005006A0">
              <w:t>5</w:t>
            </w:r>
            <w:r w:rsidRPr="00BB0CE1">
              <w:t xml:space="preserve">6% Residential </w:t>
            </w:r>
          </w:p>
          <w:p w14:paraId="5ABD5879" w14:textId="77777777" w:rsidR="005006A0" w:rsidRPr="00BB0CE1" w:rsidRDefault="005006A0" w:rsidP="00D71601">
            <w:pPr>
              <w:pStyle w:val="TableText"/>
            </w:pPr>
            <w:r w:rsidRPr="00BB0CE1">
              <w:t xml:space="preserve">18% Government </w:t>
            </w:r>
          </w:p>
          <w:p w14:paraId="1AD4BD5B" w14:textId="77777777" w:rsidR="005006A0" w:rsidRPr="00BB0CE1" w:rsidRDefault="005006A0" w:rsidP="00D71601">
            <w:pPr>
              <w:pStyle w:val="TableText"/>
            </w:pPr>
            <w:r w:rsidRPr="00BB0CE1">
              <w:t xml:space="preserve">0% Agricultural </w:t>
            </w:r>
          </w:p>
          <w:p w14:paraId="5B09036B" w14:textId="77777777" w:rsidR="005006A0" w:rsidRPr="00BB0CE1" w:rsidRDefault="005006A0" w:rsidP="00D71601">
            <w:pPr>
              <w:pStyle w:val="TableText"/>
            </w:pPr>
            <w:r w:rsidRPr="00BB0CE1">
              <w:t xml:space="preserve">21% Small/Medium Business </w:t>
            </w:r>
          </w:p>
          <w:p w14:paraId="17B758A3" w14:textId="2FAEABFE" w:rsidR="00091516" w:rsidRDefault="005006A0" w:rsidP="00D71601">
            <w:pPr>
              <w:pStyle w:val="TableText"/>
            </w:pPr>
            <w:r w:rsidRPr="00BB0CE1">
              <w:t>5% Commercial/Industrial</w:t>
            </w:r>
          </w:p>
        </w:tc>
      </w:tr>
      <w:tr w:rsidR="00091516" w14:paraId="454BC5E7" w14:textId="77777777" w:rsidTr="001D7993">
        <w:trPr>
          <w:jc w:val="center"/>
        </w:trPr>
        <w:tc>
          <w:tcPr>
            <w:tcW w:w="2671" w:type="dxa"/>
            <w:tcBorders>
              <w:top w:val="single" w:sz="6" w:space="0" w:color="000000"/>
              <w:left w:val="single" w:sz="4" w:space="0" w:color="auto"/>
              <w:bottom w:val="single" w:sz="6" w:space="0" w:color="000000"/>
              <w:right w:val="single" w:sz="6" w:space="0" w:color="000000"/>
            </w:tcBorders>
            <w:shd w:val="clear" w:color="auto" w:fill="D1EDF8"/>
            <w:vAlign w:val="center"/>
          </w:tcPr>
          <w:p w14:paraId="60DE7CB1" w14:textId="77777777" w:rsidR="00091516" w:rsidRDefault="00091516" w:rsidP="00BB0CE1">
            <w:pPr>
              <w:pStyle w:val="TableSubheading"/>
            </w:pPr>
            <w:r>
              <w:t>Service</w:t>
            </w:r>
            <w:r>
              <w:rPr>
                <w:spacing w:val="-4"/>
              </w:rPr>
              <w:t xml:space="preserve"> </w:t>
            </w:r>
            <w:r>
              <w:t>Territory</w:t>
            </w:r>
          </w:p>
        </w:tc>
        <w:tc>
          <w:tcPr>
            <w:tcW w:w="7203" w:type="dxa"/>
            <w:gridSpan w:val="2"/>
            <w:tcBorders>
              <w:top w:val="single" w:sz="6" w:space="0" w:color="000000"/>
              <w:left w:val="single" w:sz="6" w:space="0" w:color="000000"/>
              <w:bottom w:val="single" w:sz="6" w:space="0" w:color="000000"/>
              <w:right w:val="single" w:sz="6" w:space="0" w:color="000000"/>
            </w:tcBorders>
            <w:vAlign w:val="center"/>
          </w:tcPr>
          <w:p w14:paraId="2548ADD6" w14:textId="5E403EBF" w:rsidR="00091516" w:rsidRPr="00BB0CE1" w:rsidRDefault="00091516" w:rsidP="00D71601">
            <w:pPr>
              <w:pStyle w:val="TableText"/>
            </w:pPr>
            <w:r w:rsidRPr="00BB0CE1">
              <w:t>&lt;1% Agriculture</w:t>
            </w:r>
          </w:p>
          <w:p w14:paraId="25956003" w14:textId="61B40BA9" w:rsidR="00091516" w:rsidRPr="00BB0CE1" w:rsidRDefault="00091516" w:rsidP="00D71601">
            <w:pPr>
              <w:pStyle w:val="TableText"/>
            </w:pPr>
            <w:r w:rsidRPr="00BB0CE1">
              <w:t>&lt;3% Barren/Other</w:t>
            </w:r>
          </w:p>
          <w:p w14:paraId="4D903085" w14:textId="53305046" w:rsidR="00091516" w:rsidRPr="00BB0CE1" w:rsidRDefault="00091516" w:rsidP="00D71601">
            <w:pPr>
              <w:pStyle w:val="TableText"/>
            </w:pPr>
            <w:r w:rsidRPr="00BB0CE1">
              <w:t>~55% Conifer Forest</w:t>
            </w:r>
          </w:p>
          <w:p w14:paraId="7C543395" w14:textId="3DA1D022" w:rsidR="00091516" w:rsidRPr="00BB0CE1" w:rsidRDefault="00091516" w:rsidP="00D71601">
            <w:pPr>
              <w:pStyle w:val="TableText"/>
            </w:pPr>
            <w:r w:rsidRPr="00BB0CE1">
              <w:t>0% Conifer Woodland</w:t>
            </w:r>
          </w:p>
        </w:tc>
      </w:tr>
      <w:tr w:rsidR="00091516" w14:paraId="46BB3E78" w14:textId="77777777" w:rsidTr="001D7993">
        <w:trPr>
          <w:jc w:val="center"/>
        </w:trPr>
        <w:tc>
          <w:tcPr>
            <w:tcW w:w="2671" w:type="dxa"/>
            <w:tcBorders>
              <w:top w:val="single" w:sz="6" w:space="0" w:color="000000"/>
              <w:left w:val="single" w:sz="4" w:space="0" w:color="auto"/>
              <w:bottom w:val="single" w:sz="6" w:space="0" w:color="000000"/>
              <w:right w:val="single" w:sz="6" w:space="0" w:color="000000"/>
            </w:tcBorders>
            <w:shd w:val="clear" w:color="auto" w:fill="D1EDF8"/>
            <w:vAlign w:val="center"/>
          </w:tcPr>
          <w:p w14:paraId="461FE3E4" w14:textId="77777777" w:rsidR="00091516" w:rsidRDefault="00091516" w:rsidP="00BB0CE1">
            <w:pPr>
              <w:pStyle w:val="TableSubheading"/>
              <w:rPr>
                <w:vertAlign w:val="superscript"/>
              </w:rPr>
            </w:pPr>
            <w:r>
              <w:t>Location/Topography</w:t>
            </w:r>
            <w:r>
              <w:rPr>
                <w:vertAlign w:val="superscript"/>
              </w:rPr>
              <w:t>1</w:t>
            </w:r>
          </w:p>
        </w:tc>
        <w:tc>
          <w:tcPr>
            <w:tcW w:w="7203" w:type="dxa"/>
            <w:gridSpan w:val="2"/>
            <w:tcBorders>
              <w:top w:val="single" w:sz="6" w:space="0" w:color="000000"/>
              <w:left w:val="single" w:sz="6" w:space="0" w:color="000000"/>
              <w:bottom w:val="single" w:sz="6" w:space="0" w:color="000000"/>
              <w:right w:val="single" w:sz="6" w:space="0" w:color="000000"/>
            </w:tcBorders>
            <w:vAlign w:val="center"/>
          </w:tcPr>
          <w:p w14:paraId="50767F0A" w14:textId="19FBD2BF" w:rsidR="00091516" w:rsidRPr="00BB0CE1" w:rsidRDefault="00091516" w:rsidP="00D71601">
            <w:pPr>
              <w:pStyle w:val="TableText"/>
            </w:pPr>
            <w:r w:rsidRPr="00BB0CE1">
              <w:t>0% Desert</w:t>
            </w:r>
          </w:p>
          <w:p w14:paraId="7A1E8236" w14:textId="05026DB9" w:rsidR="00091516" w:rsidRPr="00BB0CE1" w:rsidRDefault="00091516" w:rsidP="00D71601">
            <w:pPr>
              <w:pStyle w:val="TableText"/>
            </w:pPr>
            <w:r w:rsidRPr="00BB0CE1">
              <w:t>&lt;.75% Hardwood Forest</w:t>
            </w:r>
          </w:p>
          <w:p w14:paraId="541708B6" w14:textId="7819A58B" w:rsidR="00091516" w:rsidRPr="00BB0CE1" w:rsidRDefault="00091516" w:rsidP="00D71601">
            <w:pPr>
              <w:pStyle w:val="TableText"/>
            </w:pPr>
            <w:r w:rsidRPr="00BB0CE1">
              <w:t>0% Hardwood Woodland ~3% Herbaceous</w:t>
            </w:r>
          </w:p>
          <w:p w14:paraId="6DA17CD4" w14:textId="7F846D42" w:rsidR="00091516" w:rsidRPr="00BB0CE1" w:rsidRDefault="00091516" w:rsidP="00D71601">
            <w:pPr>
              <w:pStyle w:val="TableText"/>
            </w:pPr>
            <w:r w:rsidRPr="00BB0CE1">
              <w:t>&lt;30% Shrub</w:t>
            </w:r>
          </w:p>
          <w:p w14:paraId="6CEAC5BF" w14:textId="16608965" w:rsidR="00091516" w:rsidRPr="00BB0CE1" w:rsidRDefault="00091516" w:rsidP="00D71601">
            <w:pPr>
              <w:pStyle w:val="TableText"/>
            </w:pPr>
            <w:r w:rsidRPr="00BB0CE1">
              <w:t>~8% Urban</w:t>
            </w:r>
          </w:p>
          <w:p w14:paraId="79658564" w14:textId="1083AA75" w:rsidR="00091516" w:rsidRDefault="00091516" w:rsidP="00D71601">
            <w:pPr>
              <w:pStyle w:val="TableText"/>
            </w:pPr>
            <w:r w:rsidRPr="00BB0CE1">
              <w:t>&lt;5% Water</w:t>
            </w:r>
          </w:p>
        </w:tc>
      </w:tr>
      <w:tr w:rsidR="00091516" w14:paraId="42BFD9F7" w14:textId="77777777" w:rsidTr="001D7993">
        <w:trPr>
          <w:jc w:val="center"/>
        </w:trPr>
        <w:tc>
          <w:tcPr>
            <w:tcW w:w="2671" w:type="dxa"/>
            <w:tcBorders>
              <w:top w:val="single" w:sz="6" w:space="0" w:color="000000"/>
              <w:left w:val="single" w:sz="4" w:space="0" w:color="auto"/>
              <w:bottom w:val="single" w:sz="6" w:space="0" w:color="000000"/>
              <w:right w:val="single" w:sz="6" w:space="0" w:color="000000"/>
            </w:tcBorders>
            <w:shd w:val="clear" w:color="auto" w:fill="D1EDF8"/>
            <w:vAlign w:val="center"/>
          </w:tcPr>
          <w:p w14:paraId="1858663A" w14:textId="27120612" w:rsidR="00091516" w:rsidRDefault="00091516" w:rsidP="00C51164">
            <w:pPr>
              <w:pStyle w:val="TableParagraph"/>
              <w:keepNext/>
              <w:keepLines/>
              <w:kinsoku w:val="0"/>
              <w:overflowPunct w:val="0"/>
              <w:ind w:left="79" w:right="134"/>
              <w:rPr>
                <w:b/>
                <w:bCs/>
              </w:rPr>
            </w:pPr>
            <w:r>
              <w:rPr>
                <w:b/>
                <w:bCs/>
              </w:rPr>
              <w:lastRenderedPageBreak/>
              <w:t>Service</w:t>
            </w:r>
            <w:r>
              <w:rPr>
                <w:b/>
                <w:bCs/>
                <w:spacing w:val="52"/>
              </w:rPr>
              <w:t xml:space="preserve"> </w:t>
            </w:r>
            <w:r>
              <w:rPr>
                <w:b/>
                <w:bCs/>
              </w:rPr>
              <w:t>Territory</w:t>
            </w:r>
            <w:r>
              <w:rPr>
                <w:b/>
                <w:bCs/>
                <w:spacing w:val="1"/>
              </w:rPr>
              <w:t xml:space="preserve"> </w:t>
            </w:r>
            <w:r>
              <w:rPr>
                <w:b/>
                <w:bCs/>
              </w:rPr>
              <w:t>Wildland Urban Interface</w:t>
            </w:r>
            <w:r>
              <w:rPr>
                <w:rStyle w:val="FootnoteReference"/>
                <w:b/>
                <w:bCs/>
              </w:rPr>
              <w:footnoteReference w:id="1"/>
            </w:r>
            <w:r>
              <w:rPr>
                <w:b/>
                <w:bCs/>
              </w:rPr>
              <w:t xml:space="preserve"> (based</w:t>
            </w:r>
            <w:r>
              <w:rPr>
                <w:b/>
                <w:bCs/>
                <w:spacing w:val="-2"/>
              </w:rPr>
              <w:t xml:space="preserve"> </w:t>
            </w:r>
            <w:r>
              <w:rPr>
                <w:b/>
                <w:bCs/>
              </w:rPr>
              <w:t>on</w:t>
            </w:r>
            <w:r>
              <w:rPr>
                <w:b/>
                <w:bCs/>
                <w:spacing w:val="-1"/>
              </w:rPr>
              <w:t xml:space="preserve"> </w:t>
            </w:r>
            <w:r>
              <w:rPr>
                <w:b/>
                <w:bCs/>
              </w:rPr>
              <w:t>total area)</w:t>
            </w:r>
          </w:p>
        </w:tc>
        <w:tc>
          <w:tcPr>
            <w:tcW w:w="7203" w:type="dxa"/>
            <w:gridSpan w:val="2"/>
            <w:tcBorders>
              <w:top w:val="single" w:sz="6" w:space="0" w:color="000000"/>
              <w:left w:val="single" w:sz="6" w:space="0" w:color="000000"/>
              <w:bottom w:val="single" w:sz="6" w:space="0" w:color="000000"/>
              <w:right w:val="single" w:sz="6" w:space="0" w:color="000000"/>
            </w:tcBorders>
            <w:vAlign w:val="center"/>
          </w:tcPr>
          <w:p w14:paraId="1921DA49" w14:textId="685E355B" w:rsidR="00091516" w:rsidRDefault="00091516" w:rsidP="00C51164">
            <w:pPr>
              <w:pStyle w:val="TableText"/>
              <w:keepNext/>
              <w:keepLines/>
            </w:pPr>
            <w:r>
              <w:t>3</w:t>
            </w:r>
            <w:r w:rsidRPr="00BB0CE1">
              <w:t>0% Wildland Urban Interface 20% Wildland Urban Intermix</w:t>
            </w:r>
          </w:p>
        </w:tc>
      </w:tr>
      <w:tr w:rsidR="00091516" w14:paraId="6775393F" w14:textId="77777777" w:rsidTr="001D7993">
        <w:trPr>
          <w:jc w:val="center"/>
        </w:trPr>
        <w:tc>
          <w:tcPr>
            <w:tcW w:w="2671" w:type="dxa"/>
            <w:tcBorders>
              <w:top w:val="single" w:sz="6" w:space="0" w:color="000000"/>
              <w:left w:val="single" w:sz="4" w:space="0" w:color="auto"/>
              <w:bottom w:val="single" w:sz="6" w:space="0" w:color="000000"/>
              <w:right w:val="single" w:sz="6" w:space="0" w:color="000000"/>
            </w:tcBorders>
            <w:shd w:val="clear" w:color="auto" w:fill="D1EDF8"/>
            <w:vAlign w:val="center"/>
          </w:tcPr>
          <w:p w14:paraId="5845C14B" w14:textId="0597C6A5" w:rsidR="00091516" w:rsidRDefault="00091516" w:rsidP="000B0A45">
            <w:pPr>
              <w:pStyle w:val="TableParagraph"/>
              <w:kinsoku w:val="0"/>
              <w:overflowPunct w:val="0"/>
              <w:ind w:left="79" w:right="134"/>
              <w:rPr>
                <w:b/>
                <w:bCs/>
              </w:rPr>
            </w:pPr>
            <w:r>
              <w:rPr>
                <w:b/>
                <w:bCs/>
              </w:rPr>
              <w:t>Percent of Service</w:t>
            </w:r>
            <w:r>
              <w:rPr>
                <w:b/>
                <w:bCs/>
                <w:spacing w:val="1"/>
              </w:rPr>
              <w:t xml:space="preserve"> </w:t>
            </w:r>
            <w:r>
              <w:rPr>
                <w:b/>
                <w:bCs/>
              </w:rPr>
              <w:t>Territory in CPUC High Fire</w:t>
            </w:r>
            <w:r>
              <w:rPr>
                <w:b/>
                <w:bCs/>
                <w:spacing w:val="-47"/>
              </w:rPr>
              <w:t xml:space="preserve"> </w:t>
            </w:r>
            <w:r>
              <w:rPr>
                <w:b/>
                <w:bCs/>
              </w:rPr>
              <w:t>Threat Districts (based on</w:t>
            </w:r>
            <w:r>
              <w:rPr>
                <w:b/>
                <w:bCs/>
                <w:spacing w:val="1"/>
              </w:rPr>
              <w:t xml:space="preserve"> </w:t>
            </w:r>
            <w:r>
              <w:rPr>
                <w:b/>
                <w:bCs/>
              </w:rPr>
              <w:t>total</w:t>
            </w:r>
            <w:r>
              <w:rPr>
                <w:b/>
                <w:bCs/>
                <w:spacing w:val="-1"/>
              </w:rPr>
              <w:t xml:space="preserve"> </w:t>
            </w:r>
            <w:r>
              <w:rPr>
                <w:b/>
                <w:bCs/>
              </w:rPr>
              <w:t>area)</w:t>
            </w:r>
          </w:p>
        </w:tc>
        <w:tc>
          <w:tcPr>
            <w:tcW w:w="7203" w:type="dxa"/>
            <w:gridSpan w:val="2"/>
            <w:tcBorders>
              <w:top w:val="single" w:sz="6" w:space="0" w:color="000000"/>
              <w:left w:val="single" w:sz="6" w:space="0" w:color="000000"/>
              <w:bottom w:val="single" w:sz="6" w:space="0" w:color="000000"/>
              <w:right w:val="single" w:sz="6" w:space="0" w:color="000000"/>
            </w:tcBorders>
            <w:vAlign w:val="center"/>
          </w:tcPr>
          <w:p w14:paraId="07153C55" w14:textId="37786040" w:rsidR="00091516" w:rsidRPr="00BB0CE1" w:rsidRDefault="00622C52" w:rsidP="00D71601">
            <w:pPr>
              <w:pStyle w:val="TableText"/>
            </w:pPr>
            <w:sdt>
              <w:sdtPr>
                <w:id w:val="1619798891"/>
                <w14:checkbox>
                  <w14:checked w14:val="1"/>
                  <w14:checkedState w14:val="2612" w14:font="MS Gothic"/>
                  <w14:uncheckedState w14:val="2610" w14:font="MS Gothic"/>
                </w14:checkbox>
              </w:sdtPr>
              <w:sdtEndPr/>
              <w:sdtContent>
                <w:r w:rsidR="00091516" w:rsidRPr="00BB0CE1">
                  <w:rPr>
                    <w:rFonts w:ascii="Segoe UI Symbol" w:hAnsi="Segoe UI Symbol" w:cs="Segoe UI Symbol"/>
                  </w:rPr>
                  <w:t>☒</w:t>
                </w:r>
              </w:sdtContent>
            </w:sdt>
            <w:r w:rsidR="00091516" w:rsidRPr="00BB0CE1">
              <w:t xml:space="preserve"> Includes maps (Appendix A)</w:t>
            </w:r>
          </w:p>
          <w:p w14:paraId="54B83370" w14:textId="71830996" w:rsidR="00091516" w:rsidRPr="00BB0CE1" w:rsidRDefault="00091516" w:rsidP="00D71601">
            <w:pPr>
              <w:pStyle w:val="TableText"/>
            </w:pPr>
            <w:r w:rsidRPr="00BB0CE1">
              <w:t>Tier 2: 55%</w:t>
            </w:r>
          </w:p>
          <w:p w14:paraId="6B34E655" w14:textId="4B13A7DE" w:rsidR="00091516" w:rsidRPr="00BB0CE1" w:rsidRDefault="00091516" w:rsidP="00D71601">
            <w:pPr>
              <w:pStyle w:val="TableText"/>
            </w:pPr>
            <w:r w:rsidRPr="00BB0CE1">
              <w:t>Tier 3: 27%</w:t>
            </w:r>
          </w:p>
        </w:tc>
      </w:tr>
      <w:tr w:rsidR="00091516" w14:paraId="4FA44294" w14:textId="77777777" w:rsidTr="001D7993">
        <w:trPr>
          <w:jc w:val="center"/>
        </w:trPr>
        <w:tc>
          <w:tcPr>
            <w:tcW w:w="2671" w:type="dxa"/>
            <w:tcBorders>
              <w:top w:val="single" w:sz="6" w:space="0" w:color="000000"/>
              <w:left w:val="single" w:sz="4" w:space="0" w:color="auto"/>
              <w:bottom w:val="single" w:sz="6" w:space="0" w:color="000000"/>
              <w:right w:val="single" w:sz="6" w:space="0" w:color="000000"/>
            </w:tcBorders>
            <w:shd w:val="clear" w:color="auto" w:fill="D1EDF8"/>
            <w:vAlign w:val="center"/>
          </w:tcPr>
          <w:p w14:paraId="5CEA8715" w14:textId="15A59CFE" w:rsidR="00091516" w:rsidRDefault="00091516" w:rsidP="00EE41B3">
            <w:pPr>
              <w:pStyle w:val="TableParagraph"/>
              <w:kinsoku w:val="0"/>
              <w:overflowPunct w:val="0"/>
              <w:ind w:left="79" w:right="145"/>
              <w:rPr>
                <w:b/>
                <w:bCs/>
              </w:rPr>
            </w:pPr>
            <w:r>
              <w:rPr>
                <w:b/>
                <w:bCs/>
              </w:rPr>
              <w:t>Prevailing Wind Directions</w:t>
            </w:r>
            <w:r>
              <w:rPr>
                <w:b/>
                <w:bCs/>
                <w:spacing w:val="-47"/>
              </w:rPr>
              <w:t xml:space="preserve"> </w:t>
            </w:r>
            <w:r w:rsidRPr="00622855">
              <w:rPr>
                <w:b/>
                <w:bCs/>
              </w:rPr>
              <w:t>and</w:t>
            </w:r>
            <w:r>
              <w:rPr>
                <w:b/>
                <w:bCs/>
              </w:rPr>
              <w:t xml:space="preserve"> Speeds by Season</w:t>
            </w:r>
          </w:p>
        </w:tc>
        <w:tc>
          <w:tcPr>
            <w:tcW w:w="7203" w:type="dxa"/>
            <w:gridSpan w:val="2"/>
            <w:tcBorders>
              <w:top w:val="single" w:sz="6" w:space="0" w:color="000000"/>
              <w:left w:val="single" w:sz="6" w:space="0" w:color="000000"/>
              <w:bottom w:val="single" w:sz="6" w:space="0" w:color="000000"/>
              <w:right w:val="single" w:sz="6" w:space="0" w:color="000000"/>
            </w:tcBorders>
            <w:vAlign w:val="center"/>
          </w:tcPr>
          <w:p w14:paraId="2C4D0B72" w14:textId="61314AF2" w:rsidR="00091516" w:rsidRPr="00BB0CE1" w:rsidRDefault="00622C52" w:rsidP="00EE41B3">
            <w:pPr>
              <w:pStyle w:val="TableText"/>
            </w:pPr>
            <w:sdt>
              <w:sdtPr>
                <w:id w:val="-1677569116"/>
                <w14:checkbox>
                  <w14:checked w14:val="1"/>
                  <w14:checkedState w14:val="2612" w14:font="MS Gothic"/>
                  <w14:uncheckedState w14:val="2610" w14:font="MS Gothic"/>
                </w14:checkbox>
              </w:sdtPr>
              <w:sdtEndPr/>
              <w:sdtContent>
                <w:r w:rsidR="00091516" w:rsidRPr="00BB0CE1">
                  <w:rPr>
                    <w:rFonts w:ascii="Segoe UI Symbol" w:hAnsi="Segoe UI Symbol" w:cs="Segoe UI Symbol"/>
                  </w:rPr>
                  <w:t>☒</w:t>
                </w:r>
              </w:sdtContent>
            </w:sdt>
            <w:r w:rsidR="00091516" w:rsidRPr="00BB0CE1">
              <w:t xml:space="preserve"> Includes maps (Appendix B)</w:t>
            </w:r>
          </w:p>
          <w:p w14:paraId="2E9A4DD0" w14:textId="0AF0C7CD" w:rsidR="00091516" w:rsidRPr="00BB0CE1" w:rsidRDefault="00091516" w:rsidP="00EE41B3">
            <w:pPr>
              <w:pStyle w:val="TableText"/>
            </w:pPr>
            <w:r w:rsidRPr="00BB0CE1">
              <w:t xml:space="preserve">Prevailing winds were taken from both the Global Winds Atlas and Wind Rose data from archived records and assembled by Iowa State University. Gradient winds are generally out of the south/southwest shifting to </w:t>
            </w:r>
            <w:r w:rsidR="00587E69" w:rsidRPr="00BB0CE1">
              <w:t xml:space="preserve">the </w:t>
            </w:r>
            <w:r w:rsidRPr="00BB0CE1">
              <w:t>west/southwest in the spring and summer months. The average wind speed is 4.4 mph</w:t>
            </w:r>
            <w:r w:rsidR="00587E69" w:rsidRPr="00BB0CE1">
              <w:t>,</w:t>
            </w:r>
            <w:r w:rsidRPr="00BB0CE1">
              <w:t xml:space="preserve"> with frequent gust</w:t>
            </w:r>
            <w:r w:rsidR="00587E69" w:rsidRPr="00BB0CE1">
              <w:t>s</w:t>
            </w:r>
            <w:r w:rsidRPr="00BB0CE1">
              <w:t xml:space="preserve"> in excess of 20 mph throughout the year. TDPUD’s extreme weather and wind events occur in </w:t>
            </w:r>
            <w:r w:rsidR="00587E69" w:rsidRPr="00BB0CE1">
              <w:t xml:space="preserve">the </w:t>
            </w:r>
            <w:r w:rsidRPr="00BB0CE1">
              <w:t>winter months</w:t>
            </w:r>
            <w:r w:rsidR="00587E69" w:rsidRPr="00BB0CE1">
              <w:t>,</w:t>
            </w:r>
            <w:r w:rsidRPr="00BB0CE1">
              <w:t xml:space="preserve"> when wildfire threat is typically low. These events are caused by atmospheric rivers and can bring winds in excess of 100 mph. These atmospheric river events and heavy snowfalls are the reason TDPUD builds to a heavy loading standard and is able to withstand extreme weather events.</w:t>
            </w:r>
          </w:p>
          <w:p w14:paraId="4027BDAC" w14:textId="4195EAF7" w:rsidR="00091516" w:rsidRPr="00BB0CE1" w:rsidRDefault="00091516" w:rsidP="00EE41B3">
            <w:pPr>
              <w:pStyle w:val="TableText"/>
            </w:pPr>
            <w:r w:rsidRPr="00BB0CE1">
              <w:t xml:space="preserve">Source: </w:t>
            </w:r>
            <w:r w:rsidR="00012CC0" w:rsidRPr="00012CC0">
              <w:t>https://globalwindatlas.info</w:t>
            </w:r>
            <w:r w:rsidRPr="00BB0CE1">
              <w:t>;</w:t>
            </w:r>
            <w:r w:rsidR="00012CC0">
              <w:t xml:space="preserve"> </w:t>
            </w:r>
            <w:r w:rsidRPr="00BB0CE1">
              <w:t>https://mesonet.agron.iastate.edu/</w:t>
            </w:r>
            <w:r w:rsidR="00012CC0">
              <w:br/>
            </w:r>
            <w:r w:rsidRPr="00BB0CE1">
              <w:t>sites/windrose.phtml?network=CA_ASOS&amp;station=TRK</w:t>
            </w:r>
          </w:p>
        </w:tc>
      </w:tr>
      <w:tr w:rsidR="00091516" w:rsidRPr="007C4FC0" w14:paraId="315BC691" w14:textId="77777777" w:rsidTr="001D7993">
        <w:tblPrEx>
          <w:tblBorders>
            <w:top w:val="single" w:sz="6" w:space="0" w:color="000000"/>
            <w:left w:val="single" w:sz="4" w:space="0" w:color="auto"/>
            <w:bottom w:val="single" w:sz="6" w:space="0" w:color="000000"/>
            <w:right w:val="single" w:sz="6" w:space="0" w:color="000000"/>
            <w:insideH w:val="single" w:sz="6" w:space="0" w:color="000000"/>
            <w:insideV w:val="single" w:sz="6" w:space="0" w:color="000000"/>
          </w:tblBorders>
        </w:tblPrEx>
        <w:trPr>
          <w:jc w:val="center"/>
        </w:trPr>
        <w:tc>
          <w:tcPr>
            <w:tcW w:w="2671" w:type="dxa"/>
            <w:vMerge w:val="restart"/>
            <w:shd w:val="clear" w:color="auto" w:fill="D1EDF8"/>
            <w:vAlign w:val="center"/>
          </w:tcPr>
          <w:p w14:paraId="5D570541" w14:textId="731F20C1" w:rsidR="00091516" w:rsidRPr="007C4FC0" w:rsidRDefault="00091516" w:rsidP="00091516">
            <w:pPr>
              <w:kinsoku w:val="0"/>
              <w:overflowPunct w:val="0"/>
              <w:autoSpaceDE w:val="0"/>
              <w:autoSpaceDN w:val="0"/>
              <w:adjustRightInd w:val="0"/>
              <w:ind w:left="79" w:right="622"/>
              <w:rPr>
                <w:rFonts w:ascii="Calibri" w:eastAsia="Times New Roman" w:hAnsi="Calibri" w:cs="Calibri"/>
                <w:b/>
                <w:bCs/>
                <w:sz w:val="22"/>
                <w:szCs w:val="22"/>
              </w:rPr>
            </w:pPr>
            <w:r w:rsidRPr="007C4FC0">
              <w:rPr>
                <w:rFonts w:ascii="Calibri" w:eastAsia="Times New Roman" w:hAnsi="Calibri" w:cs="Calibri"/>
                <w:b/>
                <w:bCs/>
                <w:sz w:val="22"/>
                <w:szCs w:val="22"/>
              </w:rPr>
              <w:lastRenderedPageBreak/>
              <w:t>Miles of Owned Lines</w:t>
            </w:r>
            <w:r>
              <w:rPr>
                <w:rFonts w:ascii="Calibri" w:eastAsia="Times New Roman" w:hAnsi="Calibri" w:cs="Calibri"/>
                <w:b/>
                <w:bCs/>
                <w:sz w:val="22"/>
                <w:szCs w:val="22"/>
              </w:rPr>
              <w:t xml:space="preserve"> </w:t>
            </w:r>
            <w:r w:rsidRPr="007C4FC0">
              <w:rPr>
                <w:rFonts w:ascii="Calibri" w:eastAsia="Times New Roman" w:hAnsi="Calibri" w:cs="Calibri"/>
                <w:b/>
                <w:bCs/>
                <w:sz w:val="22"/>
                <w:szCs w:val="22"/>
              </w:rPr>
              <w:t>Underground and/or</w:t>
            </w:r>
            <w:r w:rsidRPr="007C4FC0">
              <w:rPr>
                <w:rFonts w:ascii="Calibri" w:eastAsia="Times New Roman" w:hAnsi="Calibri" w:cs="Calibri"/>
                <w:b/>
                <w:bCs/>
                <w:spacing w:val="1"/>
                <w:sz w:val="22"/>
                <w:szCs w:val="22"/>
              </w:rPr>
              <w:t xml:space="preserve"> </w:t>
            </w:r>
            <w:r w:rsidRPr="007C4FC0">
              <w:rPr>
                <w:rFonts w:ascii="Calibri" w:eastAsia="Times New Roman" w:hAnsi="Calibri" w:cs="Calibri"/>
                <w:b/>
                <w:bCs/>
                <w:sz w:val="22"/>
                <w:szCs w:val="22"/>
              </w:rPr>
              <w:t>Overhead</w:t>
            </w:r>
          </w:p>
        </w:tc>
        <w:tc>
          <w:tcPr>
            <w:tcW w:w="7203" w:type="dxa"/>
            <w:gridSpan w:val="2"/>
            <w:vAlign w:val="center"/>
          </w:tcPr>
          <w:p w14:paraId="377BAFEF" w14:textId="77777777" w:rsidR="00BB0CE1" w:rsidRDefault="00091516" w:rsidP="00C51164">
            <w:pPr>
              <w:pStyle w:val="TableText"/>
              <w:keepNext/>
              <w:keepLines/>
              <w:rPr>
                <w:spacing w:val="1"/>
              </w:rPr>
            </w:pPr>
            <w:r w:rsidRPr="007C4FC0">
              <w:t xml:space="preserve">Overhead Dist.: </w:t>
            </w:r>
            <w:r w:rsidR="00580E91">
              <w:t>~</w:t>
            </w:r>
            <w:r w:rsidRPr="007C4FC0">
              <w:t>13</w:t>
            </w:r>
            <w:r>
              <w:t>5</w:t>
            </w:r>
            <w:r w:rsidRPr="007C4FC0">
              <w:t xml:space="preserve"> miles</w:t>
            </w:r>
            <w:r w:rsidRPr="007C4FC0">
              <w:rPr>
                <w:spacing w:val="1"/>
              </w:rPr>
              <w:t xml:space="preserve"> </w:t>
            </w:r>
          </w:p>
          <w:p w14:paraId="25514097" w14:textId="77777777" w:rsidR="00BB0CE1" w:rsidRDefault="00091516" w:rsidP="00D71601">
            <w:pPr>
              <w:pStyle w:val="TableText"/>
              <w:rPr>
                <w:spacing w:val="1"/>
              </w:rPr>
            </w:pPr>
            <w:r w:rsidRPr="007C4FC0">
              <w:t xml:space="preserve">Overhead Trans.: </w:t>
            </w:r>
            <w:r>
              <w:t>&lt;</w:t>
            </w:r>
            <w:r w:rsidRPr="007C4FC0">
              <w:t>0.</w:t>
            </w:r>
            <w:r>
              <w:t>5</w:t>
            </w:r>
            <w:r w:rsidRPr="007C4FC0">
              <w:t xml:space="preserve"> miles</w:t>
            </w:r>
            <w:r w:rsidRPr="007C4FC0">
              <w:rPr>
                <w:spacing w:val="1"/>
              </w:rPr>
              <w:t xml:space="preserve"> </w:t>
            </w:r>
          </w:p>
          <w:p w14:paraId="320F9CDE" w14:textId="1F19369F" w:rsidR="00091516" w:rsidRDefault="00091516" w:rsidP="00D71601">
            <w:pPr>
              <w:pStyle w:val="TableText"/>
            </w:pPr>
            <w:r w:rsidRPr="007C4FC0">
              <w:t>Underground</w:t>
            </w:r>
            <w:r w:rsidRPr="007C4FC0">
              <w:rPr>
                <w:spacing w:val="-2"/>
              </w:rPr>
              <w:t xml:space="preserve"> </w:t>
            </w:r>
            <w:r w:rsidRPr="007C4FC0">
              <w:t>Dist.:</w:t>
            </w:r>
            <w:r w:rsidRPr="007C4FC0">
              <w:rPr>
                <w:spacing w:val="-3"/>
              </w:rPr>
              <w:t xml:space="preserve"> </w:t>
            </w:r>
            <w:r>
              <w:t>~100</w:t>
            </w:r>
            <w:r w:rsidR="00BB0CE1">
              <w:t xml:space="preserve"> </w:t>
            </w:r>
            <w:r>
              <w:rPr>
                <w:spacing w:val="-3"/>
              </w:rPr>
              <w:t>m</w:t>
            </w:r>
            <w:r w:rsidRPr="007C4FC0">
              <w:t>iles</w:t>
            </w:r>
          </w:p>
          <w:p w14:paraId="3A5D88F4" w14:textId="4470AFA8" w:rsidR="00091516" w:rsidRPr="007C4FC0" w:rsidRDefault="00091516" w:rsidP="00D71601">
            <w:pPr>
              <w:pStyle w:val="TableText"/>
            </w:pPr>
            <w:r w:rsidRPr="007C4FC0">
              <w:t>Underground</w:t>
            </w:r>
            <w:r w:rsidRPr="007C4FC0">
              <w:rPr>
                <w:spacing w:val="47"/>
              </w:rPr>
              <w:t xml:space="preserve"> </w:t>
            </w:r>
            <w:r w:rsidRPr="007C4FC0">
              <w:t>Trans.:</w:t>
            </w:r>
            <w:r w:rsidRPr="007C4FC0">
              <w:rPr>
                <w:spacing w:val="-1"/>
              </w:rPr>
              <w:t xml:space="preserve"> </w:t>
            </w:r>
            <w:r w:rsidRPr="007C4FC0">
              <w:t>0</w:t>
            </w:r>
            <w:r w:rsidRPr="007C4FC0">
              <w:rPr>
                <w:spacing w:val="-2"/>
              </w:rPr>
              <w:t xml:space="preserve"> </w:t>
            </w:r>
            <w:r w:rsidRPr="007C4FC0">
              <w:t>miles</w:t>
            </w:r>
          </w:p>
        </w:tc>
      </w:tr>
      <w:tr w:rsidR="00091516" w:rsidRPr="007C4FC0" w14:paraId="54F4DE72" w14:textId="77777777" w:rsidTr="001D7993">
        <w:tblPrEx>
          <w:tblBorders>
            <w:top w:val="single" w:sz="6" w:space="0" w:color="000000"/>
            <w:left w:val="single" w:sz="4" w:space="0" w:color="auto"/>
            <w:bottom w:val="single" w:sz="6" w:space="0" w:color="000000"/>
            <w:right w:val="single" w:sz="6" w:space="0" w:color="000000"/>
            <w:insideH w:val="single" w:sz="6" w:space="0" w:color="000000"/>
            <w:insideV w:val="single" w:sz="6" w:space="0" w:color="000000"/>
          </w:tblBorders>
        </w:tblPrEx>
        <w:trPr>
          <w:jc w:val="center"/>
        </w:trPr>
        <w:tc>
          <w:tcPr>
            <w:tcW w:w="2671" w:type="dxa"/>
            <w:vMerge/>
            <w:shd w:val="clear" w:color="auto" w:fill="D1EDF8"/>
          </w:tcPr>
          <w:p w14:paraId="28DD7EEC" w14:textId="77777777" w:rsidR="00091516" w:rsidRPr="007C4FC0" w:rsidRDefault="00091516" w:rsidP="00091516">
            <w:pPr>
              <w:kinsoku w:val="0"/>
              <w:overflowPunct w:val="0"/>
              <w:autoSpaceDE w:val="0"/>
              <w:autoSpaceDN w:val="0"/>
              <w:adjustRightInd w:val="0"/>
              <w:spacing w:before="2" w:after="1"/>
              <w:rPr>
                <w:rFonts w:eastAsia="Times New Roman"/>
                <w:sz w:val="2"/>
                <w:szCs w:val="2"/>
              </w:rPr>
            </w:pPr>
          </w:p>
        </w:tc>
        <w:tc>
          <w:tcPr>
            <w:tcW w:w="7203" w:type="dxa"/>
            <w:gridSpan w:val="2"/>
            <w:shd w:val="clear" w:color="auto" w:fill="D9D9D9"/>
            <w:vAlign w:val="center"/>
          </w:tcPr>
          <w:p w14:paraId="3C639FC3" w14:textId="77777777" w:rsidR="00091516" w:rsidRPr="007C4FC0" w:rsidRDefault="00091516" w:rsidP="00012CC0">
            <w:pPr>
              <w:pStyle w:val="TableText"/>
            </w:pPr>
            <w:r w:rsidRPr="007C4FC0">
              <w:rPr>
                <w:b/>
                <w:bCs/>
              </w:rPr>
              <w:t xml:space="preserve">Explanatory Note 1 - </w:t>
            </w:r>
            <w:r w:rsidRPr="007C4FC0">
              <w:rPr>
                <w:i/>
                <w:iCs/>
              </w:rPr>
              <w:t xml:space="preserve">Methodology for Measuring “Miles”: </w:t>
            </w:r>
            <w:r w:rsidRPr="007C4FC0">
              <w:t>[e.g., circuit miles,</w:t>
            </w:r>
            <w:r w:rsidRPr="007C4FC0">
              <w:rPr>
                <w:spacing w:val="-47"/>
              </w:rPr>
              <w:t xml:space="preserve"> </w:t>
            </w:r>
            <w:r w:rsidRPr="007C4FC0">
              <w:t>line miles.]</w:t>
            </w:r>
            <w:r w:rsidRPr="007C4FC0">
              <w:rPr>
                <w:spacing w:val="-1"/>
              </w:rPr>
              <w:t xml:space="preserve"> </w:t>
            </w:r>
            <w:r w:rsidRPr="007C4FC0">
              <w:t>Data from</w:t>
            </w:r>
            <w:r w:rsidRPr="007C4FC0">
              <w:rPr>
                <w:spacing w:val="-2"/>
              </w:rPr>
              <w:t xml:space="preserve"> </w:t>
            </w:r>
            <w:r w:rsidRPr="007C4FC0">
              <w:t>GIS system</w:t>
            </w:r>
          </w:p>
        </w:tc>
      </w:tr>
      <w:tr w:rsidR="00091516" w:rsidRPr="007C4FC0" w14:paraId="627231EC" w14:textId="77777777" w:rsidTr="001D7993">
        <w:tblPrEx>
          <w:tblBorders>
            <w:top w:val="single" w:sz="6" w:space="0" w:color="000000"/>
            <w:left w:val="single" w:sz="4" w:space="0" w:color="auto"/>
            <w:bottom w:val="single" w:sz="6" w:space="0" w:color="000000"/>
            <w:right w:val="single" w:sz="6" w:space="0" w:color="000000"/>
            <w:insideH w:val="single" w:sz="6" w:space="0" w:color="000000"/>
            <w:insideV w:val="single" w:sz="6" w:space="0" w:color="000000"/>
          </w:tblBorders>
        </w:tblPrEx>
        <w:trPr>
          <w:jc w:val="center"/>
        </w:trPr>
        <w:tc>
          <w:tcPr>
            <w:tcW w:w="2671" w:type="dxa"/>
            <w:vMerge/>
            <w:shd w:val="clear" w:color="auto" w:fill="D1EDF8"/>
          </w:tcPr>
          <w:p w14:paraId="510696C0" w14:textId="77777777" w:rsidR="00091516" w:rsidRPr="007C4FC0" w:rsidRDefault="00091516" w:rsidP="00091516">
            <w:pPr>
              <w:kinsoku w:val="0"/>
              <w:overflowPunct w:val="0"/>
              <w:autoSpaceDE w:val="0"/>
              <w:autoSpaceDN w:val="0"/>
              <w:adjustRightInd w:val="0"/>
              <w:spacing w:before="2" w:after="1"/>
              <w:rPr>
                <w:rFonts w:eastAsia="Times New Roman"/>
                <w:sz w:val="2"/>
                <w:szCs w:val="2"/>
              </w:rPr>
            </w:pPr>
          </w:p>
        </w:tc>
        <w:tc>
          <w:tcPr>
            <w:tcW w:w="7203" w:type="dxa"/>
            <w:gridSpan w:val="2"/>
            <w:shd w:val="clear" w:color="auto" w:fill="D9D9D9"/>
            <w:vAlign w:val="center"/>
          </w:tcPr>
          <w:p w14:paraId="0E2FFFBA" w14:textId="00C614E1" w:rsidR="00091516" w:rsidRPr="007C4FC0" w:rsidRDefault="00091516" w:rsidP="00012CC0">
            <w:pPr>
              <w:pStyle w:val="TableText"/>
            </w:pPr>
            <w:r w:rsidRPr="007C4FC0">
              <w:rPr>
                <w:b/>
                <w:bCs/>
              </w:rPr>
              <w:t>Explanatory</w:t>
            </w:r>
            <w:r w:rsidRPr="007C4FC0">
              <w:rPr>
                <w:b/>
                <w:bCs/>
                <w:spacing w:val="-4"/>
              </w:rPr>
              <w:t xml:space="preserve"> </w:t>
            </w:r>
            <w:r w:rsidRPr="007C4FC0">
              <w:rPr>
                <w:b/>
                <w:bCs/>
              </w:rPr>
              <w:t>Note</w:t>
            </w:r>
            <w:r w:rsidRPr="007C4FC0">
              <w:rPr>
                <w:b/>
                <w:bCs/>
                <w:spacing w:val="-1"/>
              </w:rPr>
              <w:t xml:space="preserve"> </w:t>
            </w:r>
            <w:r w:rsidRPr="007C4FC0">
              <w:rPr>
                <w:b/>
                <w:bCs/>
              </w:rPr>
              <w:t>2</w:t>
            </w:r>
            <w:r w:rsidRPr="007C4FC0">
              <w:rPr>
                <w:b/>
                <w:bCs/>
                <w:spacing w:val="-2"/>
              </w:rPr>
              <w:t xml:space="preserve"> </w:t>
            </w:r>
            <w:r w:rsidRPr="007C4FC0">
              <w:rPr>
                <w:b/>
                <w:bCs/>
              </w:rPr>
              <w:t>–</w:t>
            </w:r>
            <w:r w:rsidRPr="007C4FC0">
              <w:rPr>
                <w:b/>
                <w:bCs/>
                <w:spacing w:val="-3"/>
              </w:rPr>
              <w:t xml:space="preserve"> </w:t>
            </w:r>
            <w:r w:rsidRPr="007C4FC0">
              <w:rPr>
                <w:i/>
                <w:iCs/>
              </w:rPr>
              <w:t>Description</w:t>
            </w:r>
            <w:r w:rsidRPr="007C4FC0">
              <w:rPr>
                <w:i/>
                <w:iCs/>
                <w:spacing w:val="-3"/>
              </w:rPr>
              <w:t xml:space="preserve"> </w:t>
            </w:r>
            <w:r w:rsidRPr="007C4FC0">
              <w:rPr>
                <w:i/>
                <w:iCs/>
              </w:rPr>
              <w:t>of</w:t>
            </w:r>
            <w:r w:rsidRPr="007C4FC0">
              <w:rPr>
                <w:i/>
                <w:iCs/>
                <w:spacing w:val="-1"/>
              </w:rPr>
              <w:t xml:space="preserve"> </w:t>
            </w:r>
            <w:r w:rsidRPr="007C4FC0">
              <w:rPr>
                <w:i/>
                <w:iCs/>
              </w:rPr>
              <w:t>Unique</w:t>
            </w:r>
            <w:r w:rsidRPr="007C4FC0">
              <w:rPr>
                <w:i/>
                <w:iCs/>
                <w:spacing w:val="-2"/>
              </w:rPr>
              <w:t xml:space="preserve"> </w:t>
            </w:r>
            <w:r w:rsidRPr="007C4FC0">
              <w:rPr>
                <w:i/>
                <w:iCs/>
              </w:rPr>
              <w:t>Ownership</w:t>
            </w:r>
            <w:r w:rsidRPr="007C4FC0">
              <w:rPr>
                <w:i/>
                <w:iCs/>
                <w:spacing w:val="-5"/>
              </w:rPr>
              <w:t xml:space="preserve"> </w:t>
            </w:r>
            <w:r w:rsidRPr="007C4FC0">
              <w:rPr>
                <w:i/>
                <w:iCs/>
              </w:rPr>
              <w:t>Circumstances:</w:t>
            </w:r>
            <w:r w:rsidRPr="007C4FC0">
              <w:rPr>
                <w:i/>
                <w:iCs/>
                <w:spacing w:val="-2"/>
              </w:rPr>
              <w:t xml:space="preserve"> </w:t>
            </w:r>
            <w:r w:rsidRPr="007C4FC0">
              <w:t>N</w:t>
            </w:r>
            <w:r>
              <w:t>/</w:t>
            </w:r>
            <w:r w:rsidRPr="007C4FC0">
              <w:t>A</w:t>
            </w:r>
          </w:p>
        </w:tc>
      </w:tr>
      <w:tr w:rsidR="00091516" w:rsidRPr="007C4FC0" w14:paraId="6E42FD33" w14:textId="77777777" w:rsidTr="001D7993">
        <w:tblPrEx>
          <w:tblBorders>
            <w:top w:val="single" w:sz="6" w:space="0" w:color="000000"/>
            <w:left w:val="single" w:sz="4" w:space="0" w:color="auto"/>
            <w:bottom w:val="single" w:sz="6" w:space="0" w:color="000000"/>
            <w:right w:val="single" w:sz="6" w:space="0" w:color="000000"/>
            <w:insideH w:val="single" w:sz="6" w:space="0" w:color="000000"/>
            <w:insideV w:val="single" w:sz="6" w:space="0" w:color="000000"/>
          </w:tblBorders>
        </w:tblPrEx>
        <w:trPr>
          <w:jc w:val="center"/>
        </w:trPr>
        <w:tc>
          <w:tcPr>
            <w:tcW w:w="2671" w:type="dxa"/>
            <w:vMerge/>
            <w:tcBorders>
              <w:bottom w:val="single" w:sz="4" w:space="0" w:color="000000"/>
            </w:tcBorders>
            <w:shd w:val="clear" w:color="auto" w:fill="D1EDF8"/>
          </w:tcPr>
          <w:p w14:paraId="51F22325" w14:textId="77777777" w:rsidR="00091516" w:rsidRPr="007C4FC0" w:rsidRDefault="00091516" w:rsidP="00091516">
            <w:pPr>
              <w:kinsoku w:val="0"/>
              <w:overflowPunct w:val="0"/>
              <w:autoSpaceDE w:val="0"/>
              <w:autoSpaceDN w:val="0"/>
              <w:adjustRightInd w:val="0"/>
              <w:spacing w:before="2" w:after="1"/>
              <w:rPr>
                <w:rFonts w:eastAsia="Times New Roman"/>
                <w:sz w:val="2"/>
                <w:szCs w:val="2"/>
              </w:rPr>
            </w:pPr>
          </w:p>
        </w:tc>
        <w:tc>
          <w:tcPr>
            <w:tcW w:w="7203" w:type="dxa"/>
            <w:gridSpan w:val="2"/>
            <w:shd w:val="clear" w:color="auto" w:fill="D9D9D9"/>
            <w:vAlign w:val="center"/>
          </w:tcPr>
          <w:p w14:paraId="63206EAE" w14:textId="494DA3A5" w:rsidR="00091516" w:rsidRPr="007C4FC0" w:rsidRDefault="00091516" w:rsidP="00D71601">
            <w:pPr>
              <w:pStyle w:val="TableText"/>
            </w:pPr>
            <w:r w:rsidRPr="007C4FC0">
              <w:rPr>
                <w:b/>
                <w:bCs/>
              </w:rPr>
              <w:t xml:space="preserve">Explanatory Note 3 – </w:t>
            </w:r>
            <w:r w:rsidRPr="007C4FC0">
              <w:rPr>
                <w:i/>
                <w:iCs/>
              </w:rPr>
              <w:t xml:space="preserve">Additional Relevant Context: </w:t>
            </w:r>
            <w:r w:rsidRPr="007C4FC0">
              <w:t>[e.g., percentage of lines</w:t>
            </w:r>
            <w:r w:rsidRPr="007C4FC0">
              <w:rPr>
                <w:spacing w:val="-47"/>
              </w:rPr>
              <w:t xml:space="preserve"> </w:t>
            </w:r>
            <w:r w:rsidRPr="007C4FC0">
              <w:t>located</w:t>
            </w:r>
            <w:r w:rsidRPr="007C4FC0">
              <w:rPr>
                <w:spacing w:val="-1"/>
              </w:rPr>
              <w:t xml:space="preserve"> </w:t>
            </w:r>
            <w:r w:rsidRPr="007C4FC0">
              <w:t>outside service</w:t>
            </w:r>
            <w:r w:rsidRPr="007C4FC0">
              <w:rPr>
                <w:spacing w:val="1"/>
              </w:rPr>
              <w:t xml:space="preserve"> </w:t>
            </w:r>
            <w:r w:rsidRPr="007C4FC0">
              <w:t>territory]</w:t>
            </w:r>
            <w:r w:rsidRPr="007C4FC0">
              <w:rPr>
                <w:spacing w:val="-3"/>
              </w:rPr>
              <w:t xml:space="preserve"> </w:t>
            </w:r>
            <w:r w:rsidRPr="007C4FC0">
              <w:t>N</w:t>
            </w:r>
            <w:r>
              <w:t>/</w:t>
            </w:r>
            <w:r w:rsidRPr="007C4FC0">
              <w:t>A</w:t>
            </w:r>
          </w:p>
        </w:tc>
      </w:tr>
      <w:tr w:rsidR="00E869D4" w:rsidRPr="007C4FC0" w14:paraId="6D39DF79" w14:textId="77777777" w:rsidTr="001D7993">
        <w:tblPrEx>
          <w:tblBorders>
            <w:top w:val="single" w:sz="6" w:space="0" w:color="000000"/>
            <w:left w:val="single" w:sz="4" w:space="0" w:color="auto"/>
            <w:bottom w:val="single" w:sz="6" w:space="0" w:color="000000"/>
            <w:right w:val="single" w:sz="6" w:space="0" w:color="000000"/>
            <w:insideH w:val="single" w:sz="6" w:space="0" w:color="000000"/>
            <w:insideV w:val="single" w:sz="6" w:space="0" w:color="000000"/>
          </w:tblBorders>
        </w:tblPrEx>
        <w:trPr>
          <w:jc w:val="center"/>
        </w:trPr>
        <w:tc>
          <w:tcPr>
            <w:tcW w:w="2671" w:type="dxa"/>
            <w:vMerge w:val="restart"/>
            <w:tcBorders>
              <w:top w:val="single" w:sz="4" w:space="0" w:color="000000"/>
              <w:left w:val="single" w:sz="4" w:space="0" w:color="000000"/>
              <w:bottom w:val="single" w:sz="4" w:space="0" w:color="000000"/>
              <w:right w:val="single" w:sz="4" w:space="0" w:color="000000"/>
            </w:tcBorders>
            <w:shd w:val="clear" w:color="auto" w:fill="D1EDF8"/>
            <w:vAlign w:val="center"/>
          </w:tcPr>
          <w:p w14:paraId="6C8471A8" w14:textId="65094B48" w:rsidR="00E869D4" w:rsidRPr="00C51164" w:rsidRDefault="00E869D4" w:rsidP="001D7993">
            <w:pPr>
              <w:pStyle w:val="TableSubheading"/>
            </w:pPr>
            <w:r w:rsidRPr="00C51164">
              <w:t xml:space="preserve">Percent of Owned Lines </w:t>
            </w:r>
            <w:r w:rsidR="00C51164">
              <w:br/>
            </w:r>
            <w:r w:rsidRPr="00C51164">
              <w:t xml:space="preserve">in CPUC High Fire </w:t>
            </w:r>
            <w:r w:rsidR="00C51164">
              <w:br/>
            </w:r>
            <w:r w:rsidRPr="00C51164">
              <w:t>Threat Districts</w:t>
            </w:r>
          </w:p>
        </w:tc>
        <w:tc>
          <w:tcPr>
            <w:tcW w:w="7203" w:type="dxa"/>
            <w:gridSpan w:val="2"/>
            <w:tcBorders>
              <w:left w:val="single" w:sz="4" w:space="0" w:color="000000"/>
            </w:tcBorders>
            <w:shd w:val="clear" w:color="auto" w:fill="C4EBF8"/>
            <w:vAlign w:val="center"/>
          </w:tcPr>
          <w:p w14:paraId="30093B6F" w14:textId="2CA74AC6" w:rsidR="00E869D4" w:rsidRPr="001D7993" w:rsidRDefault="00E869D4" w:rsidP="001D7993">
            <w:pPr>
              <w:pStyle w:val="TableSubheading"/>
              <w:keepNext/>
              <w:keepLines/>
              <w:jc w:val="center"/>
              <w:rPr>
                <w:b w:val="0"/>
                <w:bCs w:val="0"/>
                <w:i/>
                <w:iCs/>
              </w:rPr>
            </w:pPr>
            <w:r w:rsidRPr="001D7993">
              <w:rPr>
                <w:b w:val="0"/>
                <w:bCs w:val="0"/>
                <w:i/>
                <w:iCs/>
              </w:rPr>
              <w:t>Overhead Distribution Lines as % of Total Distribution System</w:t>
            </w:r>
            <w:r w:rsidRPr="001D7993">
              <w:rPr>
                <w:b w:val="0"/>
                <w:bCs w:val="0"/>
                <w:i/>
                <w:iCs/>
                <w:spacing w:val="-48"/>
              </w:rPr>
              <w:t xml:space="preserve"> </w:t>
            </w:r>
            <w:r w:rsidR="001D7993">
              <w:rPr>
                <w:b w:val="0"/>
                <w:bCs w:val="0"/>
                <w:i/>
                <w:iCs/>
                <w:spacing w:val="-48"/>
              </w:rPr>
              <w:br/>
            </w:r>
            <w:r w:rsidRPr="001D7993">
              <w:rPr>
                <w:b w:val="0"/>
                <w:bCs w:val="0"/>
                <w:i/>
                <w:iCs/>
              </w:rPr>
              <w:t>(Inside</w:t>
            </w:r>
            <w:r w:rsidRPr="001D7993">
              <w:rPr>
                <w:b w:val="0"/>
                <w:bCs w:val="0"/>
                <w:i/>
                <w:iCs/>
                <w:spacing w:val="-1"/>
              </w:rPr>
              <w:t xml:space="preserve"> </w:t>
            </w:r>
            <w:r w:rsidRPr="001D7993">
              <w:rPr>
                <w:b w:val="0"/>
                <w:bCs w:val="0"/>
                <w:i/>
                <w:iCs/>
              </w:rPr>
              <w:t>and</w:t>
            </w:r>
            <w:r w:rsidRPr="001D7993">
              <w:rPr>
                <w:b w:val="0"/>
                <w:bCs w:val="0"/>
                <w:i/>
                <w:iCs/>
                <w:spacing w:val="-1"/>
              </w:rPr>
              <w:t xml:space="preserve"> </w:t>
            </w:r>
            <w:r w:rsidRPr="001D7993">
              <w:rPr>
                <w:b w:val="0"/>
                <w:bCs w:val="0"/>
                <w:i/>
                <w:iCs/>
              </w:rPr>
              <w:t>Outside</w:t>
            </w:r>
            <w:r w:rsidRPr="001D7993">
              <w:rPr>
                <w:b w:val="0"/>
                <w:bCs w:val="0"/>
                <w:i/>
                <w:iCs/>
                <w:spacing w:val="-3"/>
              </w:rPr>
              <w:t xml:space="preserve"> </w:t>
            </w:r>
            <w:r w:rsidRPr="001D7993">
              <w:rPr>
                <w:b w:val="0"/>
                <w:bCs w:val="0"/>
                <w:i/>
                <w:iCs/>
              </w:rPr>
              <w:t>Service</w:t>
            </w:r>
            <w:r w:rsidRPr="001D7993">
              <w:rPr>
                <w:b w:val="0"/>
                <w:bCs w:val="0"/>
                <w:i/>
                <w:iCs/>
                <w:spacing w:val="-2"/>
              </w:rPr>
              <w:t xml:space="preserve"> </w:t>
            </w:r>
            <w:r w:rsidRPr="001D7993">
              <w:rPr>
                <w:b w:val="0"/>
                <w:bCs w:val="0"/>
                <w:i/>
                <w:iCs/>
              </w:rPr>
              <w:t>Territory)</w:t>
            </w:r>
          </w:p>
        </w:tc>
      </w:tr>
      <w:tr w:rsidR="00E869D4" w:rsidRPr="007C4FC0" w14:paraId="7388953B" w14:textId="77777777" w:rsidTr="001D7993">
        <w:tblPrEx>
          <w:tblBorders>
            <w:top w:val="single" w:sz="6" w:space="0" w:color="000000"/>
            <w:left w:val="single" w:sz="4" w:space="0" w:color="auto"/>
            <w:bottom w:val="single" w:sz="6" w:space="0" w:color="000000"/>
            <w:right w:val="single" w:sz="6" w:space="0" w:color="000000"/>
            <w:insideH w:val="single" w:sz="6" w:space="0" w:color="000000"/>
            <w:insideV w:val="single" w:sz="6" w:space="0" w:color="000000"/>
          </w:tblBorders>
        </w:tblPrEx>
        <w:trPr>
          <w:jc w:val="center"/>
        </w:trPr>
        <w:tc>
          <w:tcPr>
            <w:tcW w:w="2671" w:type="dxa"/>
            <w:vMerge/>
            <w:tcBorders>
              <w:left w:val="single" w:sz="4" w:space="0" w:color="000000"/>
              <w:bottom w:val="single" w:sz="4" w:space="0" w:color="000000"/>
              <w:right w:val="single" w:sz="4" w:space="0" w:color="000000"/>
            </w:tcBorders>
            <w:shd w:val="clear" w:color="auto" w:fill="D1EDF8"/>
          </w:tcPr>
          <w:p w14:paraId="603F101A" w14:textId="497F81F1" w:rsidR="00E869D4" w:rsidRPr="007C4FC0" w:rsidRDefault="00E869D4" w:rsidP="001D7993">
            <w:pPr>
              <w:pStyle w:val="TableSubheading"/>
              <w:rPr>
                <w:rFonts w:eastAsia="Times New Roman"/>
                <w:sz w:val="2"/>
                <w:szCs w:val="2"/>
              </w:rPr>
            </w:pPr>
          </w:p>
        </w:tc>
        <w:tc>
          <w:tcPr>
            <w:tcW w:w="7203" w:type="dxa"/>
            <w:gridSpan w:val="2"/>
            <w:tcBorders>
              <w:left w:val="single" w:sz="4" w:space="0" w:color="000000"/>
            </w:tcBorders>
            <w:vAlign w:val="center"/>
          </w:tcPr>
          <w:p w14:paraId="012A8389" w14:textId="176ED4CF" w:rsidR="00E869D4" w:rsidRPr="00012CC0" w:rsidRDefault="00E869D4" w:rsidP="00D71601">
            <w:pPr>
              <w:pStyle w:val="TableText"/>
            </w:pPr>
            <w:r w:rsidRPr="00012CC0">
              <w:t>Tier 2: 23%</w:t>
            </w:r>
          </w:p>
          <w:p w14:paraId="6D871DA1" w14:textId="076FD8A8" w:rsidR="00E869D4" w:rsidRPr="007C4FC0" w:rsidRDefault="00E869D4" w:rsidP="00D71601">
            <w:pPr>
              <w:pStyle w:val="TableText"/>
            </w:pPr>
            <w:r w:rsidRPr="00012CC0">
              <w:t>Tier 3: 64%</w:t>
            </w:r>
          </w:p>
        </w:tc>
      </w:tr>
      <w:tr w:rsidR="00E869D4" w:rsidRPr="007C4FC0" w14:paraId="5D7C005A" w14:textId="77777777" w:rsidTr="001D7993">
        <w:tblPrEx>
          <w:tblBorders>
            <w:top w:val="single" w:sz="6" w:space="0" w:color="000000"/>
            <w:left w:val="single" w:sz="4" w:space="0" w:color="auto"/>
            <w:bottom w:val="single" w:sz="6" w:space="0" w:color="000000"/>
            <w:right w:val="single" w:sz="6" w:space="0" w:color="000000"/>
            <w:insideH w:val="single" w:sz="6" w:space="0" w:color="000000"/>
            <w:insideV w:val="single" w:sz="6" w:space="0" w:color="000000"/>
          </w:tblBorders>
        </w:tblPrEx>
        <w:trPr>
          <w:jc w:val="center"/>
        </w:trPr>
        <w:tc>
          <w:tcPr>
            <w:tcW w:w="2671" w:type="dxa"/>
            <w:vMerge/>
            <w:tcBorders>
              <w:left w:val="single" w:sz="4" w:space="0" w:color="000000"/>
              <w:bottom w:val="single" w:sz="4" w:space="0" w:color="000000"/>
              <w:right w:val="single" w:sz="4" w:space="0" w:color="000000"/>
            </w:tcBorders>
            <w:shd w:val="clear" w:color="auto" w:fill="D1EDF8"/>
          </w:tcPr>
          <w:p w14:paraId="59D2006D" w14:textId="68265EBA" w:rsidR="00E869D4" w:rsidRPr="007C4FC0" w:rsidRDefault="00E869D4" w:rsidP="001D7993">
            <w:pPr>
              <w:pStyle w:val="TableSubheading"/>
              <w:rPr>
                <w:rFonts w:eastAsia="Times New Roman"/>
                <w:sz w:val="2"/>
                <w:szCs w:val="2"/>
              </w:rPr>
            </w:pPr>
          </w:p>
        </w:tc>
        <w:tc>
          <w:tcPr>
            <w:tcW w:w="7203" w:type="dxa"/>
            <w:gridSpan w:val="2"/>
            <w:tcBorders>
              <w:left w:val="single" w:sz="4" w:space="0" w:color="000000"/>
            </w:tcBorders>
            <w:shd w:val="clear" w:color="auto" w:fill="C4EBF8"/>
            <w:vAlign w:val="center"/>
          </w:tcPr>
          <w:p w14:paraId="68674982" w14:textId="1C158D5C" w:rsidR="00E869D4" w:rsidRPr="00012CC0" w:rsidRDefault="00E869D4" w:rsidP="00012CC0">
            <w:pPr>
              <w:pStyle w:val="TableText"/>
              <w:jc w:val="center"/>
              <w:rPr>
                <w:i/>
                <w:iCs/>
              </w:rPr>
            </w:pPr>
            <w:r w:rsidRPr="00012CC0">
              <w:rPr>
                <w:i/>
                <w:iCs/>
              </w:rPr>
              <w:t>Overhead Transmission Lines as % of Total Transmission System</w:t>
            </w:r>
            <w:r w:rsidRPr="00012CC0">
              <w:rPr>
                <w:i/>
                <w:iCs/>
                <w:spacing w:val="-47"/>
              </w:rPr>
              <w:t xml:space="preserve"> </w:t>
            </w:r>
            <w:r>
              <w:rPr>
                <w:i/>
                <w:iCs/>
                <w:spacing w:val="-47"/>
              </w:rPr>
              <w:br/>
            </w:r>
            <w:r w:rsidRPr="00012CC0">
              <w:rPr>
                <w:i/>
                <w:iCs/>
              </w:rPr>
              <w:t>(Inside</w:t>
            </w:r>
            <w:r w:rsidRPr="00012CC0">
              <w:rPr>
                <w:i/>
                <w:iCs/>
                <w:spacing w:val="-1"/>
              </w:rPr>
              <w:t xml:space="preserve"> </w:t>
            </w:r>
            <w:r w:rsidRPr="00012CC0">
              <w:rPr>
                <w:i/>
                <w:iCs/>
              </w:rPr>
              <w:t>and</w:t>
            </w:r>
            <w:r w:rsidRPr="00012CC0">
              <w:rPr>
                <w:i/>
                <w:iCs/>
                <w:spacing w:val="-1"/>
              </w:rPr>
              <w:t xml:space="preserve"> </w:t>
            </w:r>
            <w:r w:rsidRPr="00012CC0">
              <w:rPr>
                <w:i/>
                <w:iCs/>
              </w:rPr>
              <w:t>Outside</w:t>
            </w:r>
            <w:r w:rsidRPr="00012CC0">
              <w:rPr>
                <w:i/>
                <w:iCs/>
                <w:spacing w:val="-3"/>
              </w:rPr>
              <w:t xml:space="preserve"> </w:t>
            </w:r>
            <w:r w:rsidRPr="00012CC0">
              <w:rPr>
                <w:i/>
                <w:iCs/>
              </w:rPr>
              <w:t>Service</w:t>
            </w:r>
            <w:r w:rsidRPr="00012CC0">
              <w:rPr>
                <w:i/>
                <w:iCs/>
                <w:spacing w:val="-2"/>
              </w:rPr>
              <w:t xml:space="preserve"> </w:t>
            </w:r>
            <w:r w:rsidRPr="00012CC0">
              <w:rPr>
                <w:i/>
                <w:iCs/>
              </w:rPr>
              <w:t>Territory)</w:t>
            </w:r>
          </w:p>
        </w:tc>
      </w:tr>
      <w:tr w:rsidR="00E869D4" w:rsidRPr="007C4FC0" w14:paraId="532E7B81" w14:textId="77777777" w:rsidTr="001D7993">
        <w:trPr>
          <w:jc w:val="center"/>
        </w:trPr>
        <w:tc>
          <w:tcPr>
            <w:tcW w:w="2671" w:type="dxa"/>
            <w:vMerge/>
            <w:tcBorders>
              <w:left w:val="single" w:sz="4" w:space="0" w:color="000000"/>
              <w:bottom w:val="single" w:sz="4" w:space="0" w:color="000000"/>
              <w:right w:val="single" w:sz="4" w:space="0" w:color="000000"/>
            </w:tcBorders>
            <w:shd w:val="clear" w:color="auto" w:fill="D1EDF8"/>
            <w:vAlign w:val="center"/>
          </w:tcPr>
          <w:p w14:paraId="524DAF59" w14:textId="4FDD113D" w:rsidR="00E869D4" w:rsidRPr="007C4FC0" w:rsidRDefault="00E869D4" w:rsidP="001D7993">
            <w:pPr>
              <w:pStyle w:val="TableSubheading"/>
              <w:rPr>
                <w:rFonts w:eastAsia="Times New Roman"/>
              </w:rPr>
            </w:pPr>
          </w:p>
        </w:tc>
        <w:tc>
          <w:tcPr>
            <w:tcW w:w="7203" w:type="dxa"/>
            <w:gridSpan w:val="2"/>
            <w:tcBorders>
              <w:top w:val="single" w:sz="6" w:space="0" w:color="000000"/>
              <w:left w:val="single" w:sz="4" w:space="0" w:color="000000"/>
              <w:bottom w:val="single" w:sz="6" w:space="0" w:color="000000"/>
              <w:right w:val="single" w:sz="6" w:space="0" w:color="000000"/>
            </w:tcBorders>
            <w:vAlign w:val="center"/>
          </w:tcPr>
          <w:p w14:paraId="64DC1322" w14:textId="17B6F11E" w:rsidR="00E869D4" w:rsidRPr="00012CC0" w:rsidRDefault="00E869D4" w:rsidP="00D71601">
            <w:pPr>
              <w:pStyle w:val="TableText"/>
            </w:pPr>
            <w:r w:rsidRPr="00012CC0">
              <w:t>Tier 2: 100%</w:t>
            </w:r>
          </w:p>
          <w:p w14:paraId="7359B2D5" w14:textId="0BB1069A" w:rsidR="00E869D4" w:rsidRPr="007C4FC0" w:rsidRDefault="00E869D4" w:rsidP="00D71601">
            <w:pPr>
              <w:pStyle w:val="TableText"/>
            </w:pPr>
            <w:r w:rsidRPr="00012CC0">
              <w:t>Tier 3: 0%</w:t>
            </w:r>
          </w:p>
        </w:tc>
      </w:tr>
      <w:tr w:rsidR="00E869D4" w:rsidRPr="007C4FC0" w14:paraId="3D52EC23" w14:textId="77777777" w:rsidTr="001D7993">
        <w:trPr>
          <w:jc w:val="center"/>
        </w:trPr>
        <w:tc>
          <w:tcPr>
            <w:tcW w:w="2671" w:type="dxa"/>
            <w:vMerge/>
            <w:tcBorders>
              <w:left w:val="single" w:sz="4" w:space="0" w:color="000000"/>
              <w:bottom w:val="single" w:sz="4" w:space="0" w:color="000000"/>
              <w:right w:val="single" w:sz="4" w:space="0" w:color="000000"/>
            </w:tcBorders>
            <w:shd w:val="clear" w:color="auto" w:fill="D1EDF8"/>
          </w:tcPr>
          <w:p w14:paraId="3944F3E2" w14:textId="77777777" w:rsidR="00E869D4" w:rsidRPr="007C4FC0" w:rsidRDefault="00E869D4" w:rsidP="001D7993">
            <w:pPr>
              <w:pStyle w:val="TableSubheading"/>
              <w:rPr>
                <w:rFonts w:eastAsia="Times New Roman"/>
                <w:sz w:val="2"/>
                <w:szCs w:val="2"/>
              </w:rPr>
            </w:pPr>
          </w:p>
        </w:tc>
        <w:tc>
          <w:tcPr>
            <w:tcW w:w="7203" w:type="dxa"/>
            <w:gridSpan w:val="2"/>
            <w:tcBorders>
              <w:top w:val="single" w:sz="6" w:space="0" w:color="000000"/>
              <w:left w:val="single" w:sz="4" w:space="0" w:color="000000"/>
              <w:bottom w:val="single" w:sz="6" w:space="0" w:color="000000"/>
              <w:right w:val="single" w:sz="6" w:space="0" w:color="000000"/>
            </w:tcBorders>
            <w:shd w:val="clear" w:color="auto" w:fill="D9D9D9"/>
            <w:vAlign w:val="center"/>
          </w:tcPr>
          <w:p w14:paraId="134AF2D7" w14:textId="77777777" w:rsidR="00E869D4" w:rsidRPr="007C4FC0" w:rsidRDefault="00E869D4" w:rsidP="00012CC0">
            <w:pPr>
              <w:pStyle w:val="TableText"/>
            </w:pPr>
            <w:r w:rsidRPr="007C4FC0">
              <w:rPr>
                <w:b/>
                <w:bCs/>
              </w:rPr>
              <w:t xml:space="preserve">Explanatory Note 4 – </w:t>
            </w:r>
            <w:r w:rsidRPr="007C4FC0">
              <w:rPr>
                <w:i/>
                <w:iCs/>
              </w:rPr>
              <w:t xml:space="preserve">Additional Relevant Context: </w:t>
            </w:r>
            <w:r w:rsidRPr="007C4FC0">
              <w:t>[e.g., explain any</w:t>
            </w:r>
            <w:r w:rsidRPr="007C4FC0">
              <w:rPr>
                <w:spacing w:val="1"/>
              </w:rPr>
              <w:t xml:space="preserve"> </w:t>
            </w:r>
            <w:r w:rsidRPr="007C4FC0">
              <w:t>difference from data reported in WMP due to different numerator used for</w:t>
            </w:r>
            <w:r w:rsidRPr="007C4FC0">
              <w:rPr>
                <w:spacing w:val="-47"/>
              </w:rPr>
              <w:t xml:space="preserve"> </w:t>
            </w:r>
            <w:r w:rsidRPr="007C4FC0">
              <w:t>this form]</w:t>
            </w:r>
          </w:p>
        </w:tc>
      </w:tr>
      <w:tr w:rsidR="00091516" w:rsidRPr="007C4FC0" w14:paraId="4520DA69" w14:textId="77777777" w:rsidTr="001D7993">
        <w:trPr>
          <w:jc w:val="center"/>
        </w:trPr>
        <w:tc>
          <w:tcPr>
            <w:tcW w:w="2671" w:type="dxa"/>
            <w:tcBorders>
              <w:top w:val="single" w:sz="4" w:space="0" w:color="000000"/>
              <w:left w:val="single" w:sz="4" w:space="0" w:color="auto"/>
              <w:bottom w:val="single" w:sz="6" w:space="0" w:color="000000"/>
              <w:right w:val="single" w:sz="6" w:space="0" w:color="000000"/>
            </w:tcBorders>
            <w:shd w:val="clear" w:color="auto" w:fill="D1EDF8"/>
            <w:vAlign w:val="center"/>
          </w:tcPr>
          <w:p w14:paraId="0F82C0F4" w14:textId="77777777" w:rsidR="00091516" w:rsidRPr="007C4FC0" w:rsidRDefault="00091516" w:rsidP="001D7993">
            <w:pPr>
              <w:pStyle w:val="TableSubheading"/>
              <w:rPr>
                <w:rFonts w:ascii="Calibri" w:eastAsia="Times New Roman" w:hAnsi="Calibri"/>
              </w:rPr>
            </w:pPr>
            <w:r w:rsidRPr="007C4FC0">
              <w:rPr>
                <w:rFonts w:ascii="Calibri" w:eastAsia="Times New Roman" w:hAnsi="Calibri"/>
              </w:rPr>
              <w:t>Customers have ever lost</w:t>
            </w:r>
            <w:r w:rsidRPr="007C4FC0">
              <w:rPr>
                <w:rFonts w:ascii="Calibri" w:eastAsia="Times New Roman" w:hAnsi="Calibri"/>
                <w:spacing w:val="1"/>
              </w:rPr>
              <w:t xml:space="preserve"> </w:t>
            </w:r>
            <w:r w:rsidRPr="007C4FC0">
              <w:rPr>
                <w:rFonts w:ascii="Calibri" w:eastAsia="Times New Roman" w:hAnsi="Calibri"/>
              </w:rPr>
              <w:t>service due to an IOU PSPS</w:t>
            </w:r>
            <w:r w:rsidRPr="007C4FC0">
              <w:rPr>
                <w:rFonts w:ascii="Calibri" w:eastAsia="Times New Roman" w:hAnsi="Calibri"/>
                <w:spacing w:val="-48"/>
              </w:rPr>
              <w:t xml:space="preserve"> </w:t>
            </w:r>
            <w:r w:rsidRPr="007C4FC0">
              <w:rPr>
                <w:rFonts w:ascii="Calibri" w:eastAsia="Times New Roman" w:hAnsi="Calibri"/>
              </w:rPr>
              <w:t>event?</w:t>
            </w:r>
          </w:p>
        </w:tc>
        <w:tc>
          <w:tcPr>
            <w:tcW w:w="7203" w:type="dxa"/>
            <w:gridSpan w:val="2"/>
            <w:tcBorders>
              <w:top w:val="single" w:sz="6" w:space="0" w:color="000000"/>
              <w:left w:val="single" w:sz="6" w:space="0" w:color="000000"/>
              <w:bottom w:val="single" w:sz="6" w:space="0" w:color="000000"/>
              <w:right w:val="single" w:sz="6" w:space="0" w:color="000000"/>
            </w:tcBorders>
            <w:vAlign w:val="center"/>
          </w:tcPr>
          <w:p w14:paraId="26311C8B" w14:textId="57D26DEE" w:rsidR="00091516" w:rsidRPr="00012CC0" w:rsidRDefault="00091516" w:rsidP="00D71601">
            <w:pPr>
              <w:pStyle w:val="TableText"/>
            </w:pPr>
            <w:r w:rsidRPr="00012CC0">
              <w:t xml:space="preserve">Yes </w:t>
            </w:r>
            <w:sdt>
              <w:sdtPr>
                <w:id w:val="-247812534"/>
                <w14:checkbox>
                  <w14:checked w14:val="1"/>
                  <w14:checkedState w14:val="2612" w14:font="MS Gothic"/>
                  <w14:uncheckedState w14:val="2610" w14:font="MS Gothic"/>
                </w14:checkbox>
              </w:sdtPr>
              <w:sdtEndPr/>
              <w:sdtContent>
                <w:r w:rsidRPr="00012CC0">
                  <w:rPr>
                    <w:rFonts w:ascii="Segoe UI Symbol" w:hAnsi="Segoe UI Symbol" w:cs="Segoe UI Symbol"/>
                  </w:rPr>
                  <w:t>☒</w:t>
                </w:r>
              </w:sdtContent>
            </w:sdt>
            <w:r w:rsidRPr="00012CC0">
              <w:t xml:space="preserve"> No</w:t>
            </w:r>
          </w:p>
        </w:tc>
      </w:tr>
      <w:tr w:rsidR="00091516" w:rsidRPr="007C4FC0" w14:paraId="54600047" w14:textId="77777777" w:rsidTr="001D7993">
        <w:trPr>
          <w:jc w:val="center"/>
        </w:trPr>
        <w:tc>
          <w:tcPr>
            <w:tcW w:w="2671" w:type="dxa"/>
            <w:tcBorders>
              <w:top w:val="single" w:sz="6" w:space="0" w:color="000000"/>
              <w:left w:val="single" w:sz="4" w:space="0" w:color="auto"/>
              <w:bottom w:val="single" w:sz="6" w:space="0" w:color="000000"/>
              <w:right w:val="single" w:sz="6" w:space="0" w:color="000000"/>
            </w:tcBorders>
            <w:shd w:val="clear" w:color="auto" w:fill="D1EDF8"/>
            <w:vAlign w:val="center"/>
          </w:tcPr>
          <w:p w14:paraId="6041E249" w14:textId="77777777" w:rsidR="00091516" w:rsidRPr="007C4FC0" w:rsidRDefault="00091516" w:rsidP="001D7993">
            <w:pPr>
              <w:pStyle w:val="TableSubheading"/>
              <w:rPr>
                <w:rFonts w:ascii="Calibri" w:eastAsia="Times New Roman" w:hAnsi="Calibri"/>
              </w:rPr>
            </w:pPr>
            <w:r w:rsidRPr="007C4FC0">
              <w:rPr>
                <w:rFonts w:ascii="Calibri" w:eastAsia="Times New Roman" w:hAnsi="Calibri"/>
              </w:rPr>
              <w:t>Customers have ever been</w:t>
            </w:r>
            <w:r w:rsidRPr="007C4FC0">
              <w:rPr>
                <w:rFonts w:ascii="Calibri" w:eastAsia="Times New Roman" w:hAnsi="Calibri"/>
                <w:spacing w:val="-47"/>
              </w:rPr>
              <w:t xml:space="preserve"> </w:t>
            </w:r>
            <w:r w:rsidRPr="007C4FC0">
              <w:rPr>
                <w:rFonts w:ascii="Calibri" w:eastAsia="Times New Roman" w:hAnsi="Calibri"/>
              </w:rPr>
              <w:t>notified of a potential loss</w:t>
            </w:r>
            <w:r w:rsidRPr="007C4FC0">
              <w:rPr>
                <w:rFonts w:ascii="Calibri" w:eastAsia="Times New Roman" w:hAnsi="Calibri"/>
                <w:spacing w:val="-47"/>
              </w:rPr>
              <w:t xml:space="preserve"> </w:t>
            </w:r>
            <w:r w:rsidRPr="007C4FC0">
              <w:rPr>
                <w:rFonts w:ascii="Calibri" w:eastAsia="Times New Roman" w:hAnsi="Calibri"/>
              </w:rPr>
              <w:t>of service to due to a</w:t>
            </w:r>
            <w:r w:rsidRPr="007C4FC0">
              <w:rPr>
                <w:rFonts w:ascii="Calibri" w:eastAsia="Times New Roman" w:hAnsi="Calibri"/>
                <w:spacing w:val="1"/>
              </w:rPr>
              <w:t xml:space="preserve"> </w:t>
            </w:r>
            <w:r w:rsidRPr="007C4FC0">
              <w:rPr>
                <w:rFonts w:ascii="Calibri" w:eastAsia="Times New Roman" w:hAnsi="Calibri"/>
              </w:rPr>
              <w:t>forecasted IOU PSPS</w:t>
            </w:r>
            <w:r w:rsidRPr="007C4FC0">
              <w:rPr>
                <w:rFonts w:ascii="Calibri" w:eastAsia="Times New Roman" w:hAnsi="Calibri"/>
                <w:spacing w:val="1"/>
              </w:rPr>
              <w:t xml:space="preserve"> </w:t>
            </w:r>
            <w:r w:rsidRPr="007C4FC0">
              <w:rPr>
                <w:rFonts w:ascii="Calibri" w:eastAsia="Times New Roman" w:hAnsi="Calibri"/>
              </w:rPr>
              <w:t>event?</w:t>
            </w:r>
          </w:p>
        </w:tc>
        <w:tc>
          <w:tcPr>
            <w:tcW w:w="7203" w:type="dxa"/>
            <w:gridSpan w:val="2"/>
            <w:tcBorders>
              <w:top w:val="single" w:sz="6" w:space="0" w:color="000000"/>
              <w:left w:val="single" w:sz="6" w:space="0" w:color="000000"/>
              <w:bottom w:val="single" w:sz="6" w:space="0" w:color="000000"/>
              <w:right w:val="single" w:sz="6" w:space="0" w:color="000000"/>
            </w:tcBorders>
            <w:vAlign w:val="center"/>
          </w:tcPr>
          <w:p w14:paraId="5A92FF7B" w14:textId="16DA1FAF" w:rsidR="00091516" w:rsidRPr="007C4FC0" w:rsidRDefault="00622C52" w:rsidP="00012CC0">
            <w:pPr>
              <w:pStyle w:val="TableText"/>
            </w:pPr>
            <w:sdt>
              <w:sdtPr>
                <w:id w:val="-695922371"/>
                <w14:checkbox>
                  <w14:checked w14:val="1"/>
                  <w14:checkedState w14:val="2612" w14:font="MS Gothic"/>
                  <w14:uncheckedState w14:val="2610" w14:font="MS Gothic"/>
                </w14:checkbox>
              </w:sdtPr>
              <w:sdtEndPr/>
              <w:sdtContent>
                <w:r w:rsidR="0050052B">
                  <w:rPr>
                    <w:rFonts w:ascii="MS Gothic" w:eastAsia="MS Gothic" w:hAnsi="MS Gothic" w:hint="eastAsia"/>
                  </w:rPr>
                  <w:t>☒</w:t>
                </w:r>
              </w:sdtContent>
            </w:sdt>
            <w:r w:rsidR="00091516" w:rsidRPr="007C4FC0">
              <w:t xml:space="preserve">Yes </w:t>
            </w:r>
            <w:sdt>
              <w:sdtPr>
                <w:id w:val="-491485758"/>
                <w14:checkbox>
                  <w14:checked w14:val="0"/>
                  <w14:checkedState w14:val="2612" w14:font="MS Gothic"/>
                  <w14:uncheckedState w14:val="2610" w14:font="MS Gothic"/>
                </w14:checkbox>
              </w:sdtPr>
              <w:sdtEndPr/>
              <w:sdtContent>
                <w:r w:rsidR="00091516">
                  <w:rPr>
                    <w:rFonts w:ascii="MS Gothic" w:eastAsia="MS Gothic" w:hAnsi="MS Gothic" w:hint="eastAsia"/>
                  </w:rPr>
                  <w:t>☐</w:t>
                </w:r>
              </w:sdtContent>
            </w:sdt>
            <w:r w:rsidR="00091516" w:rsidRPr="007C4FC0">
              <w:t xml:space="preserve"> No</w:t>
            </w:r>
          </w:p>
        </w:tc>
      </w:tr>
      <w:tr w:rsidR="00091516" w:rsidRPr="007C4FC0" w14:paraId="0A2FA151" w14:textId="77777777" w:rsidTr="001D7993">
        <w:trPr>
          <w:jc w:val="center"/>
        </w:trPr>
        <w:tc>
          <w:tcPr>
            <w:tcW w:w="2671" w:type="dxa"/>
            <w:tcBorders>
              <w:top w:val="single" w:sz="6" w:space="0" w:color="000000"/>
              <w:left w:val="single" w:sz="4" w:space="0" w:color="auto"/>
              <w:bottom w:val="single" w:sz="6" w:space="0" w:color="000000"/>
              <w:right w:val="single" w:sz="6" w:space="0" w:color="000000"/>
            </w:tcBorders>
            <w:shd w:val="clear" w:color="auto" w:fill="D1EDF8"/>
            <w:vAlign w:val="center"/>
          </w:tcPr>
          <w:p w14:paraId="0F30FACD" w14:textId="71EC3190" w:rsidR="00091516" w:rsidRPr="007C4FC0" w:rsidRDefault="00091516" w:rsidP="001D7993">
            <w:pPr>
              <w:pStyle w:val="TableSubheading"/>
            </w:pPr>
            <w:r w:rsidRPr="007C4FC0">
              <w:t>Has developed protocols</w:t>
            </w:r>
            <w:r w:rsidRPr="007C4FC0">
              <w:rPr>
                <w:spacing w:val="-47"/>
              </w:rPr>
              <w:t xml:space="preserve"> </w:t>
            </w:r>
            <w:r w:rsidRPr="007C4FC0">
              <w:t>to pre-emptively shut off</w:t>
            </w:r>
            <w:r>
              <w:t xml:space="preserve"> </w:t>
            </w:r>
            <w:r w:rsidRPr="007C4FC0">
              <w:t>electricity in response to</w:t>
            </w:r>
            <w:r w:rsidRPr="007C4FC0">
              <w:rPr>
                <w:spacing w:val="-47"/>
              </w:rPr>
              <w:t xml:space="preserve"> </w:t>
            </w:r>
            <w:r w:rsidRPr="007C4FC0">
              <w:t>elevated</w:t>
            </w:r>
            <w:r w:rsidRPr="007C4FC0">
              <w:rPr>
                <w:spacing w:val="-3"/>
              </w:rPr>
              <w:t xml:space="preserve"> </w:t>
            </w:r>
            <w:r w:rsidRPr="007C4FC0">
              <w:t>wildfire</w:t>
            </w:r>
            <w:r w:rsidRPr="007C4FC0">
              <w:rPr>
                <w:spacing w:val="-4"/>
              </w:rPr>
              <w:t xml:space="preserve"> </w:t>
            </w:r>
            <w:r w:rsidRPr="007C4FC0">
              <w:t>risks?</w:t>
            </w:r>
          </w:p>
        </w:tc>
        <w:tc>
          <w:tcPr>
            <w:tcW w:w="7203" w:type="dxa"/>
            <w:gridSpan w:val="2"/>
            <w:tcBorders>
              <w:top w:val="single" w:sz="6" w:space="0" w:color="000000"/>
              <w:left w:val="single" w:sz="6" w:space="0" w:color="000000"/>
              <w:bottom w:val="single" w:sz="6" w:space="0" w:color="000000"/>
              <w:right w:val="single" w:sz="6" w:space="0" w:color="000000"/>
            </w:tcBorders>
            <w:vAlign w:val="center"/>
          </w:tcPr>
          <w:p w14:paraId="08BB97F4" w14:textId="582AC00A" w:rsidR="00091516" w:rsidRDefault="00622C52" w:rsidP="001D7993">
            <w:pPr>
              <w:pStyle w:val="TableText"/>
              <w:keepNext/>
              <w:keepLines/>
            </w:pPr>
            <w:sdt>
              <w:sdtPr>
                <w:id w:val="-379091456"/>
                <w14:checkbox>
                  <w14:checked w14:val="1"/>
                  <w14:checkedState w14:val="2612" w14:font="MS Gothic"/>
                  <w14:uncheckedState w14:val="2610" w14:font="MS Gothic"/>
                </w14:checkbox>
              </w:sdtPr>
              <w:sdtEndPr/>
              <w:sdtContent>
                <w:r w:rsidR="007A72B9">
                  <w:rPr>
                    <w:rFonts w:ascii="MS Gothic" w:eastAsia="MS Gothic" w:hAnsi="MS Gothic" w:hint="eastAsia"/>
                  </w:rPr>
                  <w:t>☒</w:t>
                </w:r>
              </w:sdtContent>
            </w:sdt>
            <w:r w:rsidR="007A72B9" w:rsidRPr="007C4FC0">
              <w:t>Yes</w:t>
            </w:r>
            <w:r w:rsidR="00091516" w:rsidRPr="007C4FC0">
              <w:t xml:space="preserve"> </w:t>
            </w:r>
            <w:sdt>
              <w:sdtPr>
                <w:id w:val="1893616754"/>
                <w14:checkbox>
                  <w14:checked w14:val="0"/>
                  <w14:checkedState w14:val="2612" w14:font="MS Gothic"/>
                  <w14:uncheckedState w14:val="2610" w14:font="MS Gothic"/>
                </w14:checkbox>
              </w:sdtPr>
              <w:sdtEndPr/>
              <w:sdtContent>
                <w:r w:rsidR="007A72B9">
                  <w:rPr>
                    <w:rFonts w:ascii="MS Gothic" w:eastAsia="MS Gothic" w:hAnsi="MS Gothic" w:hint="eastAsia"/>
                  </w:rPr>
                  <w:t>☐</w:t>
                </w:r>
              </w:sdtContent>
            </w:sdt>
            <w:r w:rsidR="00091516" w:rsidRPr="007C4FC0">
              <w:rPr>
                <w:rFonts w:ascii="Segoe UI Symbol" w:hAnsi="Segoe UI Symbol" w:cs="Segoe UI Symbol"/>
                <w:spacing w:val="-13"/>
              </w:rPr>
              <w:t xml:space="preserve"> </w:t>
            </w:r>
            <w:r w:rsidR="00091516" w:rsidRPr="007C4FC0">
              <w:t>No</w:t>
            </w:r>
          </w:p>
          <w:p w14:paraId="65124D62" w14:textId="61B72C95" w:rsidR="00091516" w:rsidRPr="007C4FC0" w:rsidRDefault="00635267" w:rsidP="001D7993">
            <w:pPr>
              <w:pStyle w:val="TableText"/>
              <w:keepNext/>
              <w:keepLines/>
            </w:pPr>
            <w:r>
              <w:t>In 2025, the TDPUD developed protocols to preemptively shut off electricity</w:t>
            </w:r>
            <w:r>
              <w:rPr>
                <w:rFonts w:ascii="Times New Roman" w:hAnsi="Times New Roman" w:cs="Times New Roman"/>
              </w:rPr>
              <w:t xml:space="preserve"> </w:t>
            </w:r>
            <w:r>
              <w:t>in response to elevated wildfire risk.</w:t>
            </w:r>
          </w:p>
        </w:tc>
      </w:tr>
      <w:tr w:rsidR="00091516" w:rsidRPr="007C4FC0" w14:paraId="42B505DC" w14:textId="77777777" w:rsidTr="001D7993">
        <w:trPr>
          <w:jc w:val="center"/>
        </w:trPr>
        <w:tc>
          <w:tcPr>
            <w:tcW w:w="2671" w:type="dxa"/>
            <w:tcBorders>
              <w:top w:val="single" w:sz="6" w:space="0" w:color="000000"/>
              <w:left w:val="single" w:sz="4" w:space="0" w:color="auto"/>
              <w:bottom w:val="single" w:sz="6" w:space="0" w:color="000000"/>
              <w:right w:val="single" w:sz="6" w:space="0" w:color="000000"/>
            </w:tcBorders>
            <w:shd w:val="clear" w:color="auto" w:fill="D1EDF8"/>
            <w:vAlign w:val="center"/>
          </w:tcPr>
          <w:p w14:paraId="0D846113" w14:textId="6906CC98" w:rsidR="00091516" w:rsidRPr="007C4FC0" w:rsidRDefault="00091516" w:rsidP="001D7993">
            <w:pPr>
              <w:pStyle w:val="TableSubheading"/>
            </w:pPr>
            <w:r w:rsidRPr="007C4FC0">
              <w:t>Has previously preemptively shut off</w:t>
            </w:r>
            <w:r w:rsidRPr="007C4FC0">
              <w:rPr>
                <w:spacing w:val="1"/>
              </w:rPr>
              <w:t xml:space="preserve"> </w:t>
            </w:r>
            <w:r w:rsidRPr="007C4FC0">
              <w:t>electricity in response to</w:t>
            </w:r>
            <w:r w:rsidRPr="007C4FC0">
              <w:rPr>
                <w:spacing w:val="-47"/>
              </w:rPr>
              <w:t xml:space="preserve"> </w:t>
            </w:r>
            <w:r w:rsidRPr="007C4FC0">
              <w:t>elevated</w:t>
            </w:r>
            <w:r w:rsidRPr="007C4FC0">
              <w:rPr>
                <w:spacing w:val="-3"/>
              </w:rPr>
              <w:t xml:space="preserve"> </w:t>
            </w:r>
            <w:r w:rsidRPr="007C4FC0">
              <w:t>wildfire</w:t>
            </w:r>
            <w:r w:rsidRPr="007C4FC0">
              <w:rPr>
                <w:spacing w:val="-4"/>
              </w:rPr>
              <w:t xml:space="preserve"> </w:t>
            </w:r>
            <w:r w:rsidRPr="007C4FC0">
              <w:t>risk?</w:t>
            </w:r>
          </w:p>
        </w:tc>
        <w:tc>
          <w:tcPr>
            <w:tcW w:w="7203" w:type="dxa"/>
            <w:gridSpan w:val="2"/>
            <w:tcBorders>
              <w:top w:val="single" w:sz="6" w:space="0" w:color="000000"/>
              <w:left w:val="single" w:sz="6" w:space="0" w:color="000000"/>
              <w:bottom w:val="single" w:sz="6" w:space="0" w:color="000000"/>
              <w:right w:val="single" w:sz="6" w:space="0" w:color="000000"/>
            </w:tcBorders>
            <w:vAlign w:val="center"/>
          </w:tcPr>
          <w:p w14:paraId="2A8CD4EB" w14:textId="08F2028A" w:rsidR="00091516" w:rsidRPr="007C4FC0" w:rsidRDefault="00091516" w:rsidP="00D71601">
            <w:pPr>
              <w:pStyle w:val="TableText"/>
            </w:pPr>
            <w:r w:rsidRPr="007C4FC0">
              <w:t xml:space="preserve">Yes </w:t>
            </w:r>
            <w:sdt>
              <w:sdtPr>
                <w:id w:val="-1531261187"/>
                <w14:checkbox>
                  <w14:checked w14:val="1"/>
                  <w14:checkedState w14:val="2612" w14:font="MS Gothic"/>
                  <w14:uncheckedState w14:val="2610" w14:font="MS Gothic"/>
                </w14:checkbox>
              </w:sdtPr>
              <w:sdtEndPr/>
              <w:sdtContent>
                <w:r w:rsidRPr="007C4FC0">
                  <w:rPr>
                    <w:rFonts w:ascii="MS Gothic" w:eastAsia="MS Gothic" w:hAnsi="MS Gothic" w:hint="eastAsia"/>
                  </w:rPr>
                  <w:t>☒</w:t>
                </w:r>
              </w:sdtContent>
            </w:sdt>
            <w:r w:rsidRPr="007C4FC0">
              <w:rPr>
                <w:rFonts w:ascii="Segoe UI Symbol" w:hAnsi="Segoe UI Symbol" w:cs="Segoe UI Symbol"/>
                <w:spacing w:val="-13"/>
              </w:rPr>
              <w:t xml:space="preserve"> </w:t>
            </w:r>
            <w:r w:rsidRPr="007C4FC0">
              <w:t>No</w:t>
            </w:r>
          </w:p>
          <w:p w14:paraId="224E494A" w14:textId="02E58910" w:rsidR="00091516" w:rsidRPr="007C4FC0" w:rsidRDefault="00091516" w:rsidP="00D71601">
            <w:pPr>
              <w:pStyle w:val="TableText"/>
            </w:pPr>
            <w:r w:rsidRPr="007C4FC0">
              <w:t>If</w:t>
            </w:r>
            <w:r w:rsidRPr="007C4FC0">
              <w:rPr>
                <w:spacing w:val="-1"/>
              </w:rPr>
              <w:t xml:space="preserve"> </w:t>
            </w:r>
            <w:r w:rsidRPr="007C4FC0">
              <w:t>yes,</w:t>
            </w:r>
            <w:r w:rsidRPr="007C4FC0">
              <w:rPr>
                <w:spacing w:val="-2"/>
              </w:rPr>
              <w:t xml:space="preserve"> </w:t>
            </w:r>
            <w:r w:rsidRPr="007C4FC0">
              <w:t>then</w:t>
            </w:r>
            <w:r w:rsidRPr="007C4FC0">
              <w:rPr>
                <w:spacing w:val="-1"/>
              </w:rPr>
              <w:t xml:space="preserve"> </w:t>
            </w:r>
            <w:r w:rsidRPr="007C4FC0">
              <w:t>provide</w:t>
            </w:r>
            <w:r w:rsidRPr="007C4FC0">
              <w:rPr>
                <w:spacing w:val="1"/>
              </w:rPr>
              <w:t xml:space="preserve"> </w:t>
            </w:r>
            <w:r w:rsidRPr="007C4FC0">
              <w:t>the</w:t>
            </w:r>
            <w:r w:rsidRPr="007C4FC0">
              <w:rPr>
                <w:spacing w:val="-4"/>
              </w:rPr>
              <w:t xml:space="preserve"> </w:t>
            </w:r>
            <w:r w:rsidRPr="007C4FC0">
              <w:t>following</w:t>
            </w:r>
            <w:r w:rsidRPr="007C4FC0">
              <w:rPr>
                <w:spacing w:val="-2"/>
              </w:rPr>
              <w:t xml:space="preserve"> </w:t>
            </w:r>
            <w:r w:rsidRPr="007C4FC0">
              <w:t>data</w:t>
            </w:r>
            <w:r w:rsidRPr="007C4FC0">
              <w:rPr>
                <w:spacing w:val="-3"/>
              </w:rPr>
              <w:t xml:space="preserve"> </w:t>
            </w:r>
            <w:r w:rsidRPr="007C4FC0">
              <w:t>for</w:t>
            </w:r>
            <w:r w:rsidRPr="007C4FC0">
              <w:rPr>
                <w:spacing w:val="-4"/>
              </w:rPr>
              <w:t xml:space="preserve"> </w:t>
            </w:r>
            <w:r w:rsidRPr="007C4FC0">
              <w:t>calendar</w:t>
            </w:r>
            <w:r w:rsidRPr="007C4FC0">
              <w:rPr>
                <w:spacing w:val="-3"/>
              </w:rPr>
              <w:t xml:space="preserve"> </w:t>
            </w:r>
            <w:r w:rsidRPr="007C4FC0">
              <w:t>year</w:t>
            </w:r>
            <w:r w:rsidRPr="007C4FC0">
              <w:rPr>
                <w:spacing w:val="-1"/>
              </w:rPr>
              <w:t xml:space="preserve"> </w:t>
            </w:r>
            <w:r w:rsidRPr="007C4FC0">
              <w:t>20</w:t>
            </w:r>
            <w:r>
              <w:t>24</w:t>
            </w:r>
            <w:r w:rsidRPr="007C4FC0">
              <w:t>:</w:t>
            </w:r>
            <w:r w:rsidRPr="007C4FC0">
              <w:rPr>
                <w:i/>
                <w:iCs/>
              </w:rPr>
              <w:t>Number</w:t>
            </w:r>
            <w:r w:rsidRPr="007C4FC0">
              <w:rPr>
                <w:i/>
                <w:iCs/>
                <w:spacing w:val="-2"/>
              </w:rPr>
              <w:t xml:space="preserve"> </w:t>
            </w:r>
            <w:r w:rsidRPr="007C4FC0">
              <w:rPr>
                <w:i/>
                <w:iCs/>
              </w:rPr>
              <w:t>of</w:t>
            </w:r>
            <w:r w:rsidRPr="007C4FC0">
              <w:rPr>
                <w:i/>
                <w:iCs/>
                <w:spacing w:val="-3"/>
              </w:rPr>
              <w:t xml:space="preserve"> </w:t>
            </w:r>
            <w:r w:rsidRPr="007C4FC0">
              <w:rPr>
                <w:i/>
                <w:iCs/>
              </w:rPr>
              <w:t>shut-off</w:t>
            </w:r>
            <w:r w:rsidRPr="007C4FC0">
              <w:rPr>
                <w:i/>
                <w:iCs/>
                <w:spacing w:val="-2"/>
              </w:rPr>
              <w:t xml:space="preserve"> </w:t>
            </w:r>
            <w:r w:rsidRPr="007C4FC0">
              <w:rPr>
                <w:i/>
                <w:iCs/>
              </w:rPr>
              <w:t>events</w:t>
            </w:r>
            <w:r w:rsidRPr="007C4FC0">
              <w:t>:</w:t>
            </w:r>
            <w:r w:rsidRPr="007C4FC0">
              <w:rPr>
                <w:spacing w:val="47"/>
              </w:rPr>
              <w:t xml:space="preserve"> </w:t>
            </w:r>
            <w:r w:rsidRPr="007C4FC0">
              <w:t>N</w:t>
            </w:r>
            <w:r>
              <w:t>/</w:t>
            </w:r>
            <w:r w:rsidRPr="007C4FC0">
              <w:t>A</w:t>
            </w:r>
          </w:p>
          <w:p w14:paraId="31335EC3" w14:textId="609A06F7" w:rsidR="00091516" w:rsidRPr="007C4FC0" w:rsidRDefault="00091516" w:rsidP="00D71601">
            <w:pPr>
              <w:pStyle w:val="TableText"/>
            </w:pPr>
            <w:r w:rsidRPr="00D71601">
              <w:rPr>
                <w:i/>
                <w:iCs/>
              </w:rPr>
              <w:t>Customer</w:t>
            </w:r>
            <w:r w:rsidRPr="00D71601">
              <w:rPr>
                <w:i/>
                <w:iCs/>
                <w:spacing w:val="-2"/>
              </w:rPr>
              <w:t xml:space="preserve"> </w:t>
            </w:r>
            <w:r w:rsidRPr="00D71601">
              <w:rPr>
                <w:i/>
                <w:iCs/>
              </w:rPr>
              <w:t>Accounts</w:t>
            </w:r>
            <w:r w:rsidRPr="00D71601">
              <w:rPr>
                <w:i/>
                <w:iCs/>
                <w:spacing w:val="-5"/>
              </w:rPr>
              <w:t xml:space="preserve"> </w:t>
            </w:r>
            <w:r w:rsidRPr="00D71601">
              <w:rPr>
                <w:i/>
                <w:iCs/>
              </w:rPr>
              <w:t>that</w:t>
            </w:r>
            <w:r w:rsidRPr="00D71601">
              <w:rPr>
                <w:i/>
                <w:iCs/>
                <w:spacing w:val="-2"/>
              </w:rPr>
              <w:t xml:space="preserve"> </w:t>
            </w:r>
            <w:r w:rsidRPr="00D71601">
              <w:rPr>
                <w:i/>
                <w:iCs/>
              </w:rPr>
              <w:t>lost</w:t>
            </w:r>
            <w:r w:rsidRPr="00D71601">
              <w:rPr>
                <w:i/>
                <w:iCs/>
                <w:spacing w:val="-3"/>
              </w:rPr>
              <w:t xml:space="preserve"> </w:t>
            </w:r>
            <w:r w:rsidRPr="00D71601">
              <w:rPr>
                <w:i/>
                <w:iCs/>
              </w:rPr>
              <w:t>service</w:t>
            </w:r>
            <w:r w:rsidRPr="00D71601">
              <w:rPr>
                <w:i/>
                <w:iCs/>
                <w:spacing w:val="-3"/>
              </w:rPr>
              <w:t xml:space="preserve"> </w:t>
            </w:r>
            <w:r w:rsidRPr="00D71601">
              <w:rPr>
                <w:i/>
                <w:iCs/>
              </w:rPr>
              <w:t>for</w:t>
            </w:r>
            <w:r w:rsidRPr="00D71601">
              <w:rPr>
                <w:i/>
                <w:iCs/>
                <w:spacing w:val="-1"/>
              </w:rPr>
              <w:t xml:space="preserve"> </w:t>
            </w:r>
            <w:r w:rsidRPr="00D71601">
              <w:rPr>
                <w:i/>
                <w:iCs/>
              </w:rPr>
              <w:t>&gt;10</w:t>
            </w:r>
            <w:r w:rsidRPr="00D71601">
              <w:rPr>
                <w:i/>
                <w:iCs/>
                <w:spacing w:val="-5"/>
              </w:rPr>
              <w:t xml:space="preserve"> </w:t>
            </w:r>
            <w:r w:rsidRPr="00D71601">
              <w:rPr>
                <w:i/>
                <w:iCs/>
              </w:rPr>
              <w:t>minutes</w:t>
            </w:r>
            <w:r w:rsidRPr="007C4FC0">
              <w:t>:</w:t>
            </w:r>
            <w:r w:rsidRPr="007C4FC0">
              <w:rPr>
                <w:spacing w:val="2"/>
              </w:rPr>
              <w:t xml:space="preserve"> </w:t>
            </w:r>
            <w:r w:rsidRPr="007C4FC0">
              <w:t>N</w:t>
            </w:r>
            <w:r>
              <w:t>/</w:t>
            </w:r>
            <w:r w:rsidRPr="007C4FC0">
              <w:t>A</w:t>
            </w:r>
          </w:p>
          <w:p w14:paraId="65F3529C" w14:textId="736EB2D5" w:rsidR="00091516" w:rsidRPr="007C4FC0" w:rsidRDefault="00091516" w:rsidP="00D71601">
            <w:pPr>
              <w:pStyle w:val="TableText"/>
            </w:pPr>
            <w:r w:rsidRPr="00D71601">
              <w:rPr>
                <w:i/>
                <w:iCs/>
              </w:rPr>
              <w:t>For</w:t>
            </w:r>
            <w:r w:rsidRPr="00D71601">
              <w:rPr>
                <w:i/>
                <w:iCs/>
                <w:spacing w:val="-2"/>
              </w:rPr>
              <w:t xml:space="preserve"> </w:t>
            </w:r>
            <w:r w:rsidRPr="00D71601">
              <w:rPr>
                <w:i/>
                <w:iCs/>
              </w:rPr>
              <w:t>prior</w:t>
            </w:r>
            <w:r w:rsidRPr="00D71601">
              <w:rPr>
                <w:i/>
                <w:iCs/>
                <w:spacing w:val="-1"/>
              </w:rPr>
              <w:t xml:space="preserve"> </w:t>
            </w:r>
            <w:r w:rsidRPr="00D71601">
              <w:rPr>
                <w:i/>
                <w:iCs/>
              </w:rPr>
              <w:t>response,</w:t>
            </w:r>
            <w:r w:rsidRPr="00D71601">
              <w:rPr>
                <w:i/>
                <w:iCs/>
                <w:spacing w:val="-4"/>
              </w:rPr>
              <w:t xml:space="preserve"> </w:t>
            </w:r>
            <w:r w:rsidRPr="00D71601">
              <w:rPr>
                <w:i/>
                <w:iCs/>
              </w:rPr>
              <w:t>average</w:t>
            </w:r>
            <w:r w:rsidRPr="00D71601">
              <w:rPr>
                <w:i/>
                <w:iCs/>
                <w:spacing w:val="-5"/>
              </w:rPr>
              <w:t xml:space="preserve"> </w:t>
            </w:r>
            <w:r w:rsidRPr="00D71601">
              <w:rPr>
                <w:i/>
                <w:iCs/>
              </w:rPr>
              <w:t>duration</w:t>
            </w:r>
            <w:r w:rsidRPr="00D71601">
              <w:rPr>
                <w:i/>
                <w:iCs/>
                <w:spacing w:val="-3"/>
              </w:rPr>
              <w:t xml:space="preserve"> </w:t>
            </w:r>
            <w:r w:rsidRPr="00D71601">
              <w:rPr>
                <w:i/>
                <w:iCs/>
              </w:rPr>
              <w:t>before</w:t>
            </w:r>
            <w:r w:rsidRPr="00D71601">
              <w:rPr>
                <w:i/>
                <w:iCs/>
                <w:spacing w:val="-2"/>
              </w:rPr>
              <w:t xml:space="preserve"> </w:t>
            </w:r>
            <w:r w:rsidRPr="00D71601">
              <w:rPr>
                <w:i/>
                <w:iCs/>
              </w:rPr>
              <w:t>service</w:t>
            </w:r>
            <w:r w:rsidRPr="00D71601">
              <w:rPr>
                <w:i/>
                <w:iCs/>
                <w:spacing w:val="-5"/>
              </w:rPr>
              <w:t xml:space="preserve"> </w:t>
            </w:r>
            <w:r w:rsidRPr="00D71601">
              <w:rPr>
                <w:i/>
                <w:iCs/>
              </w:rPr>
              <w:t>restored</w:t>
            </w:r>
            <w:r w:rsidRPr="00012CC0">
              <w:t>:</w:t>
            </w:r>
            <w:r w:rsidRPr="007C4FC0">
              <w:rPr>
                <w:spacing w:val="-1"/>
              </w:rPr>
              <w:t xml:space="preserve"> </w:t>
            </w:r>
            <w:r w:rsidRPr="007C4FC0">
              <w:t>N</w:t>
            </w:r>
            <w:r>
              <w:t>/</w:t>
            </w:r>
            <w:r w:rsidRPr="007C4FC0">
              <w:t>A</w:t>
            </w:r>
          </w:p>
        </w:tc>
      </w:tr>
    </w:tbl>
    <w:p w14:paraId="2662E790" w14:textId="522DB227" w:rsidR="007C4FC0" w:rsidRDefault="00E20107" w:rsidP="00E20107">
      <w:pPr>
        <w:pStyle w:val="TableSourceNote"/>
      </w:pPr>
      <w:r w:rsidRPr="00E20107">
        <w:rPr>
          <w:b/>
          <w:bCs/>
        </w:rPr>
        <w:t>Notes</w:t>
      </w:r>
      <w:r>
        <w:t xml:space="preserve">: </w:t>
      </w:r>
      <w:r w:rsidR="007D0505" w:rsidRPr="007D0505">
        <w:t>TDPUD = Truckee Donner Public Utility District</w:t>
      </w:r>
      <w:r w:rsidR="007D0505">
        <w:t>;</w:t>
      </w:r>
      <w:r w:rsidR="007D0505" w:rsidRPr="007D0505">
        <w:t xml:space="preserve"> </w:t>
      </w:r>
      <w:r>
        <w:t xml:space="preserve">CPUC = </w:t>
      </w:r>
      <w:r w:rsidRPr="00E20107">
        <w:t>California Public Utilities Commission</w:t>
      </w:r>
      <w:r>
        <w:t xml:space="preserve">; GIS = </w:t>
      </w:r>
      <w:r w:rsidRPr="00E20107">
        <w:t>geographic information system</w:t>
      </w:r>
      <w:r>
        <w:t xml:space="preserve">; </w:t>
      </w:r>
      <w:r w:rsidR="007D0505" w:rsidRPr="007D0505">
        <w:t xml:space="preserve">N/A = not applicable; </w:t>
      </w:r>
      <w:r>
        <w:t xml:space="preserve">IOU = </w:t>
      </w:r>
      <w:r w:rsidRPr="00E20107">
        <w:t>Investor-Owned Utilities</w:t>
      </w:r>
      <w:r>
        <w:t>;</w:t>
      </w:r>
      <w:r w:rsidRPr="00E20107">
        <w:t xml:space="preserve"> </w:t>
      </w:r>
      <w:r>
        <w:t xml:space="preserve">PSPS = </w:t>
      </w:r>
      <w:r w:rsidRPr="00E20107">
        <w:t xml:space="preserve">Public Safety Power </w:t>
      </w:r>
      <w:r w:rsidR="00901B7B" w:rsidRPr="00E20107">
        <w:t>Shut</w:t>
      </w:r>
      <w:r w:rsidR="00901B7B">
        <w:t>off</w:t>
      </w:r>
      <w:r>
        <w:t>.</w:t>
      </w:r>
    </w:p>
    <w:p w14:paraId="55C7B6A6" w14:textId="3E18623A" w:rsidR="004025E8" w:rsidRDefault="00870278" w:rsidP="004025E8">
      <w:pPr>
        <w:pStyle w:val="Heading2"/>
        <w:spacing w:after="200"/>
      </w:pPr>
      <w:bookmarkStart w:id="18" w:name="_Toc135748520"/>
      <w:bookmarkStart w:id="19" w:name="_Toc236903451"/>
      <w:r>
        <w:lastRenderedPageBreak/>
        <w:t>B</w:t>
      </w:r>
      <w:r w:rsidR="004025E8">
        <w:t>.</w:t>
      </w:r>
      <w:r w:rsidR="004025E8">
        <w:tab/>
        <w:t>Statutory Cross</w:t>
      </w:r>
      <w:r w:rsidR="00FC70B4">
        <w:t>-</w:t>
      </w:r>
      <w:r w:rsidR="004025E8">
        <w:t>Reference Table</w:t>
      </w:r>
      <w:bookmarkEnd w:id="18"/>
      <w:bookmarkEnd w:id="19"/>
    </w:p>
    <w:p w14:paraId="706966CA" w14:textId="77777777" w:rsidR="00FB70E5" w:rsidRPr="005E47BD" w:rsidRDefault="00FB70E5" w:rsidP="00FB70E5">
      <w:commentRangeStart w:id="20"/>
      <w:r>
        <w:t>The table below explains where TDPUD’s WMP addresses regulatory requirements.</w:t>
      </w:r>
      <w:commentRangeEnd w:id="20"/>
      <w:r w:rsidR="0021383A" w:rsidRPr="005E47BD">
        <w:rPr>
          <w:rStyle w:val="CommentReference"/>
          <w:sz w:val="20"/>
          <w:szCs w:val="20"/>
        </w:rPr>
        <w:commentReference w:id="20"/>
      </w:r>
    </w:p>
    <w:tbl>
      <w:tblPr>
        <w:tblStyle w:val="TableGrid1"/>
        <w:tblW w:w="5000" w:type="pct"/>
        <w:jc w:val="center"/>
        <w:tblLook w:val="04A0" w:firstRow="1" w:lastRow="0" w:firstColumn="1" w:lastColumn="0" w:noHBand="0" w:noVBand="1"/>
      </w:tblPr>
      <w:tblGrid>
        <w:gridCol w:w="2420"/>
        <w:gridCol w:w="4783"/>
        <w:gridCol w:w="2157"/>
      </w:tblGrid>
      <w:tr w:rsidR="00804066" w:rsidRPr="007718D7" w14:paraId="098F001C" w14:textId="77777777" w:rsidTr="001D7993">
        <w:trPr>
          <w:tblHeader/>
          <w:jc w:val="center"/>
        </w:trPr>
        <w:tc>
          <w:tcPr>
            <w:tcW w:w="5000" w:type="pct"/>
            <w:gridSpan w:val="3"/>
            <w:tcBorders>
              <w:top w:val="nil"/>
              <w:left w:val="nil"/>
              <w:right w:val="nil"/>
            </w:tcBorders>
            <w:vAlign w:val="center"/>
          </w:tcPr>
          <w:p w14:paraId="57EBBBC3" w14:textId="13372B74" w:rsidR="00804066" w:rsidRPr="00012CC0" w:rsidRDefault="00804066" w:rsidP="00804066">
            <w:pPr>
              <w:pStyle w:val="Table"/>
            </w:pPr>
            <w:bookmarkStart w:id="21" w:name="_Toc236903510"/>
            <w:r w:rsidRPr="00804066">
              <w:t>Statutory Cross Reference Table</w:t>
            </w:r>
            <w:bookmarkEnd w:id="21"/>
          </w:p>
        </w:tc>
      </w:tr>
      <w:tr w:rsidR="007718D7" w:rsidRPr="007718D7" w14:paraId="4F14122E" w14:textId="77777777" w:rsidTr="001D7993">
        <w:trPr>
          <w:tblHeader/>
          <w:jc w:val="center"/>
        </w:trPr>
        <w:tc>
          <w:tcPr>
            <w:tcW w:w="1293" w:type="pct"/>
            <w:shd w:val="clear" w:color="auto" w:fill="1CADE4"/>
            <w:vAlign w:val="center"/>
          </w:tcPr>
          <w:p w14:paraId="1F389CCB" w14:textId="77777777" w:rsidR="007718D7" w:rsidRPr="00012CC0" w:rsidRDefault="007718D7" w:rsidP="00012CC0">
            <w:pPr>
              <w:pStyle w:val="TableHeading"/>
            </w:pPr>
            <w:r w:rsidRPr="00012CC0">
              <w:t>Requirement</w:t>
            </w:r>
          </w:p>
        </w:tc>
        <w:tc>
          <w:tcPr>
            <w:tcW w:w="2555" w:type="pct"/>
            <w:shd w:val="clear" w:color="auto" w:fill="1CADE4"/>
            <w:vAlign w:val="center"/>
          </w:tcPr>
          <w:p w14:paraId="59E3D470" w14:textId="77777777" w:rsidR="007718D7" w:rsidRPr="00012CC0" w:rsidRDefault="007718D7" w:rsidP="00012CC0">
            <w:pPr>
              <w:pStyle w:val="TableHeading"/>
            </w:pPr>
            <w:r w:rsidRPr="00012CC0">
              <w:t>Statutory Language</w:t>
            </w:r>
          </w:p>
        </w:tc>
        <w:tc>
          <w:tcPr>
            <w:tcW w:w="1152" w:type="pct"/>
            <w:shd w:val="clear" w:color="auto" w:fill="1CADE4"/>
            <w:vAlign w:val="center"/>
          </w:tcPr>
          <w:p w14:paraId="1459AB7A" w14:textId="77777777" w:rsidR="007718D7" w:rsidRPr="00012CC0" w:rsidRDefault="007718D7" w:rsidP="00012CC0">
            <w:pPr>
              <w:pStyle w:val="TableHeading"/>
            </w:pPr>
            <w:r w:rsidRPr="00012CC0">
              <w:t>Location in TDPUD’s WMP</w:t>
            </w:r>
          </w:p>
        </w:tc>
      </w:tr>
      <w:tr w:rsidR="007718D7" w:rsidRPr="007718D7" w14:paraId="2BC583D0" w14:textId="77777777" w:rsidTr="001D7993">
        <w:trPr>
          <w:jc w:val="center"/>
        </w:trPr>
        <w:tc>
          <w:tcPr>
            <w:tcW w:w="1293" w:type="pct"/>
            <w:shd w:val="clear" w:color="auto" w:fill="D1EDF8"/>
            <w:vAlign w:val="center"/>
          </w:tcPr>
          <w:p w14:paraId="500A44A7" w14:textId="77777777" w:rsidR="007718D7" w:rsidRPr="001D7993" w:rsidRDefault="007718D7" w:rsidP="001D7993">
            <w:pPr>
              <w:pStyle w:val="TableSubheading"/>
            </w:pPr>
            <w:r w:rsidRPr="001D7993">
              <w:t>Persons</w:t>
            </w:r>
            <w:r w:rsidRPr="001D7993">
              <w:br/>
              <w:t>Responsible</w:t>
            </w:r>
          </w:p>
        </w:tc>
        <w:tc>
          <w:tcPr>
            <w:tcW w:w="2555" w:type="pct"/>
            <w:vAlign w:val="center"/>
          </w:tcPr>
          <w:p w14:paraId="34F8A19F" w14:textId="590AF2BD" w:rsidR="007718D7" w:rsidRPr="007718D7" w:rsidRDefault="007718D7" w:rsidP="00012CC0">
            <w:pPr>
              <w:pStyle w:val="TableText"/>
            </w:pPr>
            <w:r w:rsidRPr="007718D7">
              <w:rPr>
                <w:b/>
                <w:bCs/>
              </w:rPr>
              <w:t xml:space="preserve">PUC </w:t>
            </w:r>
            <w:r w:rsidR="00940504">
              <w:rPr>
                <w:b/>
                <w:bCs/>
              </w:rPr>
              <w:t>Section</w:t>
            </w:r>
            <w:r w:rsidRPr="007718D7">
              <w:rPr>
                <w:b/>
                <w:bCs/>
              </w:rPr>
              <w:t xml:space="preserve"> 8387(b)(2)(A): </w:t>
            </w:r>
            <w:r w:rsidRPr="007718D7">
              <w:t xml:space="preserve">An accounting of the </w:t>
            </w:r>
            <w:r w:rsidRPr="007718D7">
              <w:rPr>
                <w:b/>
                <w:bCs/>
              </w:rPr>
              <w:t>responsibilities of</w:t>
            </w:r>
            <w:r w:rsidRPr="007718D7">
              <w:rPr>
                <w:rFonts w:ascii="Calibri-Bold" w:hAnsi="Calibri-Bold"/>
                <w:b/>
                <w:bCs/>
              </w:rPr>
              <w:t xml:space="preserve"> </w:t>
            </w:r>
            <w:r w:rsidRPr="007718D7">
              <w:rPr>
                <w:b/>
                <w:bCs/>
              </w:rPr>
              <w:t xml:space="preserve">persons </w:t>
            </w:r>
            <w:r w:rsidRPr="007718D7">
              <w:t>responsible for executing the plan.</w:t>
            </w:r>
          </w:p>
        </w:tc>
        <w:tc>
          <w:tcPr>
            <w:tcW w:w="1152" w:type="pct"/>
            <w:vAlign w:val="center"/>
          </w:tcPr>
          <w:p w14:paraId="415D1A44" w14:textId="487D1FAA" w:rsidR="007718D7" w:rsidRPr="007718D7" w:rsidRDefault="007718D7" w:rsidP="00D71601">
            <w:pPr>
              <w:pStyle w:val="TableText"/>
            </w:pPr>
            <w:r w:rsidRPr="007718D7">
              <w:t>Section: 3</w:t>
            </w:r>
            <w:r w:rsidRPr="007718D7">
              <w:br/>
              <w:t>Pages: 1</w:t>
            </w:r>
            <w:r w:rsidR="00DF13F2">
              <w:t>4</w:t>
            </w:r>
            <w:r w:rsidR="004977A9">
              <w:t>–1</w:t>
            </w:r>
            <w:r w:rsidR="00DF13F2">
              <w:t>5</w:t>
            </w:r>
          </w:p>
        </w:tc>
      </w:tr>
      <w:tr w:rsidR="007718D7" w:rsidRPr="007718D7" w14:paraId="337C840C" w14:textId="77777777" w:rsidTr="001D7993">
        <w:trPr>
          <w:jc w:val="center"/>
        </w:trPr>
        <w:tc>
          <w:tcPr>
            <w:tcW w:w="1293" w:type="pct"/>
            <w:shd w:val="clear" w:color="auto" w:fill="D1EDF8"/>
            <w:vAlign w:val="center"/>
          </w:tcPr>
          <w:p w14:paraId="535E859F" w14:textId="3A5E64B1" w:rsidR="007718D7" w:rsidRPr="001D7993" w:rsidRDefault="007718D7" w:rsidP="001D7993">
            <w:pPr>
              <w:pStyle w:val="TableSubheading"/>
            </w:pPr>
            <w:r w:rsidRPr="001D7993">
              <w:t xml:space="preserve">Objectives of </w:t>
            </w:r>
            <w:r w:rsidR="001D7993">
              <w:br/>
            </w:r>
            <w:r w:rsidRPr="001D7993">
              <w:t>the</w:t>
            </w:r>
            <w:r w:rsidR="001D7993">
              <w:t xml:space="preserve"> </w:t>
            </w:r>
            <w:r w:rsidRPr="001D7993">
              <w:t>Plan</w:t>
            </w:r>
          </w:p>
        </w:tc>
        <w:tc>
          <w:tcPr>
            <w:tcW w:w="2555" w:type="pct"/>
            <w:vAlign w:val="center"/>
          </w:tcPr>
          <w:p w14:paraId="6C391467" w14:textId="458841C5" w:rsidR="007718D7" w:rsidRPr="007718D7" w:rsidRDefault="007718D7" w:rsidP="000B0A45">
            <w:pPr>
              <w:rPr>
                <w:rFonts w:eastAsia="Calibri" w:cs="Calibri"/>
              </w:rPr>
            </w:pPr>
            <w:r w:rsidRPr="007718D7">
              <w:rPr>
                <w:rFonts w:eastAsia="Calibri" w:cs="Calibri"/>
                <w:b/>
                <w:bCs/>
                <w:color w:val="333333"/>
              </w:rPr>
              <w:t xml:space="preserve">PUC </w:t>
            </w:r>
            <w:r w:rsidR="00940504">
              <w:rPr>
                <w:rFonts w:eastAsia="Calibri" w:cs="Calibri"/>
                <w:b/>
                <w:bCs/>
                <w:color w:val="333333"/>
              </w:rPr>
              <w:t>Section</w:t>
            </w:r>
            <w:r w:rsidR="00940504" w:rsidRPr="007718D7">
              <w:rPr>
                <w:rFonts w:eastAsia="Calibri" w:cs="Calibri"/>
                <w:b/>
                <w:bCs/>
                <w:color w:val="333333"/>
              </w:rPr>
              <w:t xml:space="preserve"> </w:t>
            </w:r>
            <w:r w:rsidRPr="007718D7">
              <w:rPr>
                <w:rFonts w:eastAsia="Calibri" w:cs="Calibri"/>
                <w:b/>
                <w:bCs/>
                <w:color w:val="333333"/>
              </w:rPr>
              <w:t xml:space="preserve">8387(b)(2)(B): </w:t>
            </w:r>
            <w:r w:rsidRPr="007718D7">
              <w:rPr>
                <w:rFonts w:eastAsia="Calibri" w:cs="Calibri"/>
                <w:color w:val="333333"/>
              </w:rPr>
              <w:t xml:space="preserve">The </w:t>
            </w:r>
            <w:r w:rsidRPr="007718D7">
              <w:rPr>
                <w:rFonts w:eastAsia="Calibri" w:cs="Calibri"/>
                <w:b/>
                <w:bCs/>
                <w:color w:val="333333"/>
              </w:rPr>
              <w:t xml:space="preserve">objectives </w:t>
            </w:r>
            <w:r w:rsidRPr="007718D7">
              <w:rPr>
                <w:rFonts w:eastAsia="Calibri" w:cs="Calibri"/>
                <w:color w:val="333333"/>
              </w:rPr>
              <w:t xml:space="preserve">of the wildfire mitigation plan. </w:t>
            </w:r>
          </w:p>
        </w:tc>
        <w:tc>
          <w:tcPr>
            <w:tcW w:w="1152" w:type="pct"/>
            <w:vAlign w:val="center"/>
          </w:tcPr>
          <w:p w14:paraId="64D0A5FB" w14:textId="03349960" w:rsidR="007718D7" w:rsidRPr="007718D7" w:rsidRDefault="007718D7" w:rsidP="00D71601">
            <w:pPr>
              <w:pStyle w:val="TableText"/>
            </w:pPr>
            <w:r w:rsidRPr="007718D7">
              <w:t>Section: 2</w:t>
            </w:r>
            <w:r w:rsidRPr="007718D7">
              <w:br/>
              <w:t>Page</w:t>
            </w:r>
            <w:r w:rsidR="004977A9">
              <w:t>s</w:t>
            </w:r>
            <w:r w:rsidRPr="007718D7">
              <w:t xml:space="preserve">: </w:t>
            </w:r>
            <w:r w:rsidR="000C5186">
              <w:t>1</w:t>
            </w:r>
            <w:r w:rsidR="00DF13F2">
              <w:t>3</w:t>
            </w:r>
            <w:r w:rsidR="004977A9">
              <w:t>–1</w:t>
            </w:r>
            <w:r w:rsidR="00DF13F2">
              <w:t>4</w:t>
            </w:r>
          </w:p>
        </w:tc>
      </w:tr>
      <w:tr w:rsidR="007718D7" w:rsidRPr="007718D7" w14:paraId="797A49BF" w14:textId="77777777" w:rsidTr="001D7993">
        <w:trPr>
          <w:jc w:val="center"/>
        </w:trPr>
        <w:tc>
          <w:tcPr>
            <w:tcW w:w="1293" w:type="pct"/>
            <w:shd w:val="clear" w:color="auto" w:fill="D1EDF8"/>
            <w:vAlign w:val="center"/>
          </w:tcPr>
          <w:p w14:paraId="4AE28F7C" w14:textId="77777777" w:rsidR="007718D7" w:rsidRPr="001D7993" w:rsidRDefault="007718D7" w:rsidP="001D7993">
            <w:pPr>
              <w:pStyle w:val="TableSubheading"/>
            </w:pPr>
            <w:r w:rsidRPr="001D7993">
              <w:t>Preventive</w:t>
            </w:r>
            <w:r w:rsidRPr="001D7993">
              <w:br/>
              <w:t>Strategies</w:t>
            </w:r>
          </w:p>
        </w:tc>
        <w:tc>
          <w:tcPr>
            <w:tcW w:w="2555" w:type="pct"/>
            <w:vAlign w:val="center"/>
          </w:tcPr>
          <w:p w14:paraId="70A75AB1" w14:textId="373C04BB" w:rsidR="007718D7" w:rsidRPr="007718D7" w:rsidRDefault="007718D7" w:rsidP="00D71601">
            <w:pPr>
              <w:pStyle w:val="TableText"/>
            </w:pPr>
            <w:r w:rsidRPr="007718D7">
              <w:rPr>
                <w:b/>
                <w:bCs/>
              </w:rPr>
              <w:t xml:space="preserve">PUC </w:t>
            </w:r>
            <w:r w:rsidR="00940504">
              <w:rPr>
                <w:b/>
                <w:bCs/>
              </w:rPr>
              <w:t>Section</w:t>
            </w:r>
            <w:r w:rsidR="00940504" w:rsidRPr="007718D7">
              <w:rPr>
                <w:b/>
                <w:bCs/>
              </w:rPr>
              <w:t xml:space="preserve"> </w:t>
            </w:r>
            <w:r w:rsidRPr="007718D7">
              <w:rPr>
                <w:b/>
                <w:bCs/>
              </w:rPr>
              <w:t xml:space="preserve">8387(b)(2)(C): </w:t>
            </w:r>
            <w:r w:rsidRPr="007718D7">
              <w:t xml:space="preserve">A description of the </w:t>
            </w:r>
            <w:r w:rsidRPr="007718D7">
              <w:rPr>
                <w:b/>
                <w:bCs/>
              </w:rPr>
              <w:t>preventive strategies</w:t>
            </w:r>
            <w:r w:rsidRPr="007718D7">
              <w:rPr>
                <w:rFonts w:ascii="Calibri-Bold" w:hAnsi="Calibri-Bold"/>
                <w:b/>
                <w:bCs/>
              </w:rPr>
              <w:t xml:space="preserve"> </w:t>
            </w:r>
            <w:r w:rsidRPr="007718D7">
              <w:rPr>
                <w:b/>
                <w:bCs/>
              </w:rPr>
              <w:t>and programs to be adopted by the local publicly owned electric</w:t>
            </w:r>
            <w:r w:rsidRPr="007718D7">
              <w:rPr>
                <w:rFonts w:ascii="Calibri-Bold" w:hAnsi="Calibri-Bold"/>
                <w:b/>
                <w:bCs/>
              </w:rPr>
              <w:t xml:space="preserve"> </w:t>
            </w:r>
            <w:r w:rsidRPr="007718D7">
              <w:rPr>
                <w:b/>
                <w:bCs/>
              </w:rPr>
              <w:t xml:space="preserve">utility </w:t>
            </w:r>
            <w:r w:rsidRPr="007718D7">
              <w:t>or electrical cooperative to minimize the risk of its electrical</w:t>
            </w:r>
            <w:r w:rsidR="00940504">
              <w:t xml:space="preserve"> </w:t>
            </w:r>
            <w:r w:rsidRPr="007718D7">
              <w:t>lines and equipment causing catastrophic wildfires, including consideration of dynamic climate change risks.</w:t>
            </w:r>
          </w:p>
        </w:tc>
        <w:tc>
          <w:tcPr>
            <w:tcW w:w="1152" w:type="pct"/>
            <w:vAlign w:val="center"/>
          </w:tcPr>
          <w:p w14:paraId="5F4F1F8D" w14:textId="76A20DF5" w:rsidR="007718D7" w:rsidRPr="007718D7" w:rsidRDefault="007718D7" w:rsidP="00D71601">
            <w:pPr>
              <w:pStyle w:val="TableText"/>
            </w:pPr>
            <w:r w:rsidRPr="007718D7">
              <w:t xml:space="preserve">Section: </w:t>
            </w:r>
            <w:r w:rsidR="000C5186">
              <w:t>5</w:t>
            </w:r>
            <w:r w:rsidRPr="007718D7">
              <w:br/>
              <w:t xml:space="preserve">Pages: </w:t>
            </w:r>
            <w:r w:rsidR="00DF13F2">
              <w:t>20</w:t>
            </w:r>
            <w:r w:rsidR="004977A9">
              <w:t>–3</w:t>
            </w:r>
            <w:r w:rsidR="00E32999">
              <w:t>0</w:t>
            </w:r>
          </w:p>
        </w:tc>
      </w:tr>
      <w:tr w:rsidR="007718D7" w:rsidRPr="007718D7" w14:paraId="2CA97B1B" w14:textId="77777777" w:rsidTr="001D7993">
        <w:trPr>
          <w:jc w:val="center"/>
        </w:trPr>
        <w:tc>
          <w:tcPr>
            <w:tcW w:w="1293" w:type="pct"/>
            <w:shd w:val="clear" w:color="auto" w:fill="D1EDF8"/>
            <w:vAlign w:val="center"/>
          </w:tcPr>
          <w:p w14:paraId="636C294F" w14:textId="77777777" w:rsidR="007718D7" w:rsidRPr="007718D7" w:rsidRDefault="007718D7" w:rsidP="00115A18">
            <w:pPr>
              <w:rPr>
                <w:rFonts w:eastAsia="Calibri" w:cs="Calibri"/>
              </w:rPr>
            </w:pPr>
            <w:r w:rsidRPr="007718D7">
              <w:rPr>
                <w:rFonts w:eastAsia="Calibri" w:cs="Calibri"/>
                <w:b/>
                <w:bCs/>
                <w:color w:val="000000"/>
              </w:rPr>
              <w:t>Evaluation</w:t>
            </w:r>
            <w:r w:rsidRPr="007718D7">
              <w:rPr>
                <w:rFonts w:eastAsia="Calibri" w:cs="Calibri"/>
                <w:b/>
                <w:bCs/>
                <w:color w:val="000000"/>
              </w:rPr>
              <w:br/>
              <w:t>Metrics</w:t>
            </w:r>
          </w:p>
        </w:tc>
        <w:tc>
          <w:tcPr>
            <w:tcW w:w="2555" w:type="pct"/>
            <w:vAlign w:val="center"/>
          </w:tcPr>
          <w:p w14:paraId="47799E88" w14:textId="43101716" w:rsidR="007718D7" w:rsidRPr="007718D7" w:rsidRDefault="007718D7" w:rsidP="00D71601">
            <w:pPr>
              <w:pStyle w:val="TableText"/>
            </w:pPr>
            <w:r w:rsidRPr="00D71601">
              <w:rPr>
                <w:b/>
                <w:bCs/>
              </w:rPr>
              <w:t xml:space="preserve">PUC </w:t>
            </w:r>
            <w:r w:rsidR="00940504" w:rsidRPr="00D71601">
              <w:rPr>
                <w:b/>
                <w:bCs/>
              </w:rPr>
              <w:t xml:space="preserve">Section </w:t>
            </w:r>
            <w:r w:rsidRPr="00D71601">
              <w:rPr>
                <w:b/>
                <w:bCs/>
              </w:rPr>
              <w:t>8387(b)(2)(D):</w:t>
            </w:r>
            <w:r w:rsidRPr="007718D7">
              <w:t xml:space="preserve"> A description of the </w:t>
            </w:r>
            <w:r w:rsidRPr="00D71601">
              <w:rPr>
                <w:b/>
                <w:bCs/>
              </w:rPr>
              <w:t>metrics the local</w:t>
            </w:r>
            <w:r w:rsidRPr="00D71601">
              <w:rPr>
                <w:rFonts w:ascii="Calibri-Bold" w:hAnsi="Calibri-Bold"/>
                <w:b/>
                <w:bCs/>
              </w:rPr>
              <w:t xml:space="preserve"> </w:t>
            </w:r>
            <w:r w:rsidRPr="00D71601">
              <w:rPr>
                <w:b/>
                <w:bCs/>
              </w:rPr>
              <w:t>publicly owned electric utility or electrical cooperative plans to</w:t>
            </w:r>
            <w:r w:rsidR="00940504" w:rsidRPr="00D71601">
              <w:rPr>
                <w:b/>
                <w:bCs/>
              </w:rPr>
              <w:t xml:space="preserve"> </w:t>
            </w:r>
            <w:r w:rsidRPr="00D71601">
              <w:rPr>
                <w:b/>
                <w:bCs/>
              </w:rPr>
              <w:t>use to evaluate the wildfire mitigation plan’s performance</w:t>
            </w:r>
            <w:r w:rsidRPr="007718D7">
              <w:t xml:space="preserve"> and the assumptions that underlie the use of those metrics.</w:t>
            </w:r>
          </w:p>
        </w:tc>
        <w:tc>
          <w:tcPr>
            <w:tcW w:w="1152" w:type="pct"/>
            <w:vAlign w:val="center"/>
          </w:tcPr>
          <w:p w14:paraId="1FC3914A" w14:textId="41FE6318" w:rsidR="007718D7" w:rsidRPr="007718D7" w:rsidRDefault="007718D7" w:rsidP="00D71601">
            <w:pPr>
              <w:pStyle w:val="TableText"/>
            </w:pPr>
            <w:r w:rsidRPr="007718D7">
              <w:t>Section: 8</w:t>
            </w:r>
            <w:r w:rsidRPr="007718D7">
              <w:br/>
              <w:t>Page</w:t>
            </w:r>
            <w:r w:rsidR="004977A9">
              <w:t>s</w:t>
            </w:r>
            <w:r w:rsidRPr="007718D7">
              <w:t>: 3</w:t>
            </w:r>
            <w:r w:rsidR="00E32999">
              <w:t>2</w:t>
            </w:r>
            <w:r w:rsidR="004977A9">
              <w:t>–3</w:t>
            </w:r>
            <w:r w:rsidR="00E32999">
              <w:t>5</w:t>
            </w:r>
          </w:p>
        </w:tc>
      </w:tr>
      <w:tr w:rsidR="007718D7" w:rsidRPr="007718D7" w14:paraId="4AA1B521" w14:textId="77777777" w:rsidTr="001D7993">
        <w:trPr>
          <w:jc w:val="center"/>
        </w:trPr>
        <w:tc>
          <w:tcPr>
            <w:tcW w:w="1293" w:type="pct"/>
            <w:shd w:val="clear" w:color="auto" w:fill="D1EDF8"/>
            <w:vAlign w:val="center"/>
          </w:tcPr>
          <w:p w14:paraId="7CE48FA0" w14:textId="77777777" w:rsidR="007718D7" w:rsidRPr="007718D7" w:rsidRDefault="007718D7" w:rsidP="007718D7">
            <w:pPr>
              <w:rPr>
                <w:rFonts w:eastAsia="Calibri" w:cs="Calibri"/>
              </w:rPr>
            </w:pPr>
            <w:r w:rsidRPr="007718D7">
              <w:rPr>
                <w:rFonts w:eastAsia="Calibri" w:cs="Calibri"/>
                <w:b/>
                <w:bCs/>
                <w:color w:val="000000"/>
              </w:rPr>
              <w:t>Impact of Metrics</w:t>
            </w:r>
          </w:p>
        </w:tc>
        <w:tc>
          <w:tcPr>
            <w:tcW w:w="2555" w:type="pct"/>
            <w:vAlign w:val="center"/>
          </w:tcPr>
          <w:p w14:paraId="6766DEA4" w14:textId="43E888FC" w:rsidR="007718D7" w:rsidRPr="007718D7" w:rsidRDefault="007718D7" w:rsidP="00D71601">
            <w:pPr>
              <w:pStyle w:val="TableText"/>
            </w:pPr>
            <w:r w:rsidRPr="007718D7">
              <w:rPr>
                <w:b/>
                <w:bCs/>
              </w:rPr>
              <w:t xml:space="preserve">PUC </w:t>
            </w:r>
            <w:r w:rsidR="00940504">
              <w:rPr>
                <w:b/>
                <w:bCs/>
              </w:rPr>
              <w:t>Section</w:t>
            </w:r>
            <w:r w:rsidR="00940504" w:rsidRPr="007718D7">
              <w:rPr>
                <w:b/>
                <w:bCs/>
              </w:rPr>
              <w:t xml:space="preserve"> </w:t>
            </w:r>
            <w:r w:rsidRPr="007718D7">
              <w:rPr>
                <w:b/>
                <w:bCs/>
              </w:rPr>
              <w:t xml:space="preserve">8387(b)(2)(E): </w:t>
            </w:r>
            <w:r w:rsidRPr="007718D7">
              <w:t xml:space="preserve">A discussion of how the </w:t>
            </w:r>
            <w:r w:rsidRPr="007718D7">
              <w:rPr>
                <w:b/>
                <w:bCs/>
              </w:rPr>
              <w:t>application of</w:t>
            </w:r>
            <w:r w:rsidRPr="007718D7">
              <w:rPr>
                <w:rFonts w:ascii="Calibri-Bold" w:hAnsi="Calibri-Bold"/>
                <w:b/>
                <w:bCs/>
              </w:rPr>
              <w:t xml:space="preserve"> </w:t>
            </w:r>
            <w:r w:rsidRPr="007718D7">
              <w:rPr>
                <w:b/>
                <w:bCs/>
              </w:rPr>
              <w:t xml:space="preserve">previously identified metrics </w:t>
            </w:r>
            <w:r w:rsidRPr="007718D7">
              <w:t>to previous wildfire mitigation plan performances has informed the wildfire mitigation plan.</w:t>
            </w:r>
          </w:p>
        </w:tc>
        <w:tc>
          <w:tcPr>
            <w:tcW w:w="1152" w:type="pct"/>
            <w:vAlign w:val="center"/>
          </w:tcPr>
          <w:p w14:paraId="70781A9C" w14:textId="6A06F619" w:rsidR="007718D7" w:rsidRPr="007718D7" w:rsidRDefault="007718D7" w:rsidP="00D71601">
            <w:pPr>
              <w:pStyle w:val="TableText"/>
            </w:pPr>
            <w:r w:rsidRPr="007718D7">
              <w:t>Section: 8</w:t>
            </w:r>
            <w:r w:rsidRPr="007718D7">
              <w:br/>
              <w:t>Page: 3</w:t>
            </w:r>
            <w:r w:rsidR="00E32999">
              <w:t>5</w:t>
            </w:r>
          </w:p>
        </w:tc>
      </w:tr>
      <w:tr w:rsidR="007718D7" w:rsidRPr="007718D7" w14:paraId="35743A7D" w14:textId="77777777" w:rsidTr="001D7993">
        <w:trPr>
          <w:jc w:val="center"/>
        </w:trPr>
        <w:tc>
          <w:tcPr>
            <w:tcW w:w="1293" w:type="pct"/>
            <w:shd w:val="clear" w:color="auto" w:fill="D1EDF8"/>
            <w:vAlign w:val="center"/>
          </w:tcPr>
          <w:p w14:paraId="38AE808A" w14:textId="77777777" w:rsidR="007718D7" w:rsidRPr="007718D7" w:rsidRDefault="007718D7" w:rsidP="0054550A">
            <w:pPr>
              <w:pStyle w:val="TableSubheading"/>
            </w:pPr>
            <w:r w:rsidRPr="007718D7">
              <w:lastRenderedPageBreak/>
              <w:t>De</w:t>
            </w:r>
            <w:r w:rsidRPr="007718D7">
              <w:rPr>
                <w:rFonts w:ascii="Calibri-Bold" w:hAnsi="Calibri-Bold"/>
              </w:rPr>
              <w:t>-</w:t>
            </w:r>
            <w:r w:rsidRPr="007718D7">
              <w:t>energization</w:t>
            </w:r>
            <w:r w:rsidRPr="007718D7">
              <w:br/>
              <w:t>Protocols</w:t>
            </w:r>
          </w:p>
        </w:tc>
        <w:tc>
          <w:tcPr>
            <w:tcW w:w="2555" w:type="pct"/>
            <w:vAlign w:val="center"/>
          </w:tcPr>
          <w:p w14:paraId="198607E6" w14:textId="459F91C3" w:rsidR="007718D7" w:rsidRPr="007718D7" w:rsidRDefault="007718D7" w:rsidP="00D71601">
            <w:pPr>
              <w:pStyle w:val="TableText"/>
            </w:pPr>
            <w:r w:rsidRPr="007718D7">
              <w:rPr>
                <w:b/>
                <w:bCs/>
              </w:rPr>
              <w:t xml:space="preserve">PUC </w:t>
            </w:r>
            <w:r w:rsidR="00940504">
              <w:rPr>
                <w:b/>
                <w:bCs/>
              </w:rPr>
              <w:t>Section</w:t>
            </w:r>
            <w:r w:rsidR="00940504" w:rsidRPr="007718D7">
              <w:rPr>
                <w:b/>
                <w:bCs/>
              </w:rPr>
              <w:t xml:space="preserve"> </w:t>
            </w:r>
            <w:r w:rsidRPr="007718D7">
              <w:rPr>
                <w:b/>
                <w:bCs/>
              </w:rPr>
              <w:t>8387(b)(2)(F): Protocols for disabling reclosers and</w:t>
            </w:r>
            <w:r w:rsidRPr="007718D7">
              <w:rPr>
                <w:rFonts w:ascii="Calibri-Bold" w:hAnsi="Calibri-Bold"/>
                <w:b/>
                <w:bCs/>
              </w:rPr>
              <w:t xml:space="preserve"> </w:t>
            </w:r>
            <w:r w:rsidRPr="007718D7">
              <w:rPr>
                <w:b/>
                <w:bCs/>
              </w:rPr>
              <w:t>de</w:t>
            </w:r>
            <w:r w:rsidR="0074593B">
              <w:rPr>
                <w:b/>
                <w:bCs/>
              </w:rPr>
              <w:t>-</w:t>
            </w:r>
            <w:r w:rsidRPr="007718D7">
              <w:rPr>
                <w:b/>
                <w:bCs/>
              </w:rPr>
              <w:t xml:space="preserve">energizing portions of the electrical distribution system </w:t>
            </w:r>
            <w:r w:rsidRPr="007718D7">
              <w:t>that consider the associated impacts on public safety</w:t>
            </w:r>
            <w:r w:rsidR="002C40D4">
              <w:t xml:space="preserve"> and</w:t>
            </w:r>
            <w:r w:rsidR="00940504">
              <w:t xml:space="preserve"> </w:t>
            </w:r>
            <w:r w:rsidRPr="007718D7">
              <w:t>protocols related to mitigating the public safety impacts of those protocols, including impacts on critical first responders and on health and communication infrastructure.</w:t>
            </w:r>
          </w:p>
        </w:tc>
        <w:tc>
          <w:tcPr>
            <w:tcW w:w="1152" w:type="pct"/>
            <w:vAlign w:val="center"/>
          </w:tcPr>
          <w:p w14:paraId="45E9CD42" w14:textId="572C698F" w:rsidR="007718D7" w:rsidRPr="007718D7" w:rsidRDefault="007718D7" w:rsidP="00D71601">
            <w:pPr>
              <w:pStyle w:val="TableText"/>
            </w:pPr>
            <w:r w:rsidRPr="007718D7">
              <w:t>Section: 5</w:t>
            </w:r>
            <w:r w:rsidRPr="007718D7">
              <w:br/>
              <w:t>Page</w:t>
            </w:r>
            <w:r w:rsidR="004977A9">
              <w:t>s</w:t>
            </w:r>
            <w:r w:rsidRPr="007718D7">
              <w:t>: 2</w:t>
            </w:r>
            <w:r w:rsidR="00E32999">
              <w:t>8</w:t>
            </w:r>
            <w:r w:rsidR="004977A9">
              <w:t>–2</w:t>
            </w:r>
            <w:r w:rsidR="00E32999">
              <w:t>9</w:t>
            </w:r>
          </w:p>
        </w:tc>
      </w:tr>
      <w:tr w:rsidR="007718D7" w:rsidRPr="007718D7" w14:paraId="25AC5F69" w14:textId="77777777" w:rsidTr="001D7993">
        <w:trPr>
          <w:jc w:val="center"/>
        </w:trPr>
        <w:tc>
          <w:tcPr>
            <w:tcW w:w="1293" w:type="pct"/>
            <w:shd w:val="clear" w:color="auto" w:fill="D1EDF8"/>
            <w:vAlign w:val="center"/>
          </w:tcPr>
          <w:p w14:paraId="46F49B43" w14:textId="77777777" w:rsidR="007718D7" w:rsidRPr="007718D7" w:rsidRDefault="007718D7" w:rsidP="0054550A">
            <w:pPr>
              <w:pStyle w:val="TableSubheading"/>
            </w:pPr>
            <w:r w:rsidRPr="007718D7">
              <w:t>Customer</w:t>
            </w:r>
            <w:r w:rsidRPr="007718D7">
              <w:br/>
              <w:t>Notification</w:t>
            </w:r>
            <w:r w:rsidRPr="007718D7">
              <w:br/>
              <w:t>Procedures</w:t>
            </w:r>
          </w:p>
        </w:tc>
        <w:tc>
          <w:tcPr>
            <w:tcW w:w="2555" w:type="pct"/>
            <w:vAlign w:val="center"/>
          </w:tcPr>
          <w:p w14:paraId="30F5289D" w14:textId="36544D0A" w:rsidR="007718D7" w:rsidRPr="007718D7" w:rsidRDefault="007718D7" w:rsidP="007718D7">
            <w:pPr>
              <w:rPr>
                <w:rFonts w:eastAsia="Calibri" w:cs="Calibri"/>
              </w:rPr>
            </w:pPr>
            <w:r w:rsidRPr="00D71601">
              <w:rPr>
                <w:rStyle w:val="TableTextChar"/>
                <w:b/>
                <w:bCs/>
              </w:rPr>
              <w:t xml:space="preserve">PUC </w:t>
            </w:r>
            <w:r w:rsidR="00940504" w:rsidRPr="00D71601">
              <w:rPr>
                <w:rStyle w:val="TableTextChar"/>
                <w:b/>
                <w:bCs/>
              </w:rPr>
              <w:t xml:space="preserve">Section </w:t>
            </w:r>
            <w:r w:rsidRPr="00D71601">
              <w:rPr>
                <w:rStyle w:val="TableTextChar"/>
                <w:b/>
                <w:bCs/>
              </w:rPr>
              <w:t>8387(b)(2)(G):</w:t>
            </w:r>
            <w:r w:rsidRPr="00D71601">
              <w:rPr>
                <w:rStyle w:val="TableTextChar"/>
              </w:rPr>
              <w:t xml:space="preserve"> Appropriate and feasible </w:t>
            </w:r>
            <w:r w:rsidRPr="00D71601">
              <w:rPr>
                <w:rStyle w:val="TableTextChar"/>
                <w:b/>
                <w:bCs/>
              </w:rPr>
              <w:t>procedures for notifying a customer</w:t>
            </w:r>
            <w:r w:rsidRPr="00D71601">
              <w:rPr>
                <w:rStyle w:val="TableTextChar"/>
              </w:rPr>
              <w:t xml:space="preserve"> who may be impacted by the de</w:t>
            </w:r>
            <w:r w:rsidR="0074593B" w:rsidRPr="00D71601">
              <w:rPr>
                <w:rStyle w:val="TableTextChar"/>
              </w:rPr>
              <w:t>-</w:t>
            </w:r>
            <w:r w:rsidRPr="00D71601">
              <w:rPr>
                <w:rStyle w:val="TableTextChar"/>
              </w:rPr>
              <w:t>energizing of electrical lines. The procedures shall consider the need to notify,</w:t>
            </w:r>
            <w:r w:rsidR="00940504" w:rsidRPr="00D71601">
              <w:rPr>
                <w:rStyle w:val="TableTextChar"/>
              </w:rPr>
              <w:t xml:space="preserve"> </w:t>
            </w:r>
            <w:r w:rsidRPr="00D71601">
              <w:rPr>
                <w:rStyle w:val="TableTextChar"/>
              </w:rPr>
              <w:t>as a priority, critical first responders, health care facilities, and operators of telecommunications infrastructure.</w:t>
            </w:r>
          </w:p>
        </w:tc>
        <w:tc>
          <w:tcPr>
            <w:tcW w:w="1152" w:type="pct"/>
            <w:vAlign w:val="center"/>
          </w:tcPr>
          <w:p w14:paraId="4823EF9E" w14:textId="5DDA649F" w:rsidR="007718D7" w:rsidRPr="007718D7" w:rsidRDefault="007718D7" w:rsidP="000B0A45">
            <w:pPr>
              <w:pStyle w:val="TableText"/>
            </w:pPr>
            <w:r w:rsidRPr="007718D7">
              <w:t>Section: 5</w:t>
            </w:r>
            <w:r w:rsidRPr="007718D7">
              <w:br/>
              <w:t>Page</w:t>
            </w:r>
            <w:r w:rsidR="004977A9">
              <w:t>s</w:t>
            </w:r>
            <w:r w:rsidRPr="007718D7">
              <w:t>: 2</w:t>
            </w:r>
            <w:r w:rsidR="00E32999">
              <w:t>9</w:t>
            </w:r>
            <w:r w:rsidR="004977A9">
              <w:t>–3</w:t>
            </w:r>
            <w:r w:rsidR="00E32999">
              <w:t>0</w:t>
            </w:r>
          </w:p>
        </w:tc>
      </w:tr>
      <w:tr w:rsidR="007718D7" w:rsidRPr="007718D7" w14:paraId="21D291F6" w14:textId="77777777" w:rsidTr="001D7993">
        <w:trPr>
          <w:jc w:val="center"/>
        </w:trPr>
        <w:tc>
          <w:tcPr>
            <w:tcW w:w="1293" w:type="pct"/>
            <w:shd w:val="clear" w:color="auto" w:fill="D1EDF8"/>
            <w:vAlign w:val="center"/>
          </w:tcPr>
          <w:p w14:paraId="60D4FEE8" w14:textId="77777777" w:rsidR="007718D7" w:rsidRPr="007718D7" w:rsidRDefault="007718D7" w:rsidP="0054550A">
            <w:pPr>
              <w:pStyle w:val="TableSubheading"/>
            </w:pPr>
            <w:r w:rsidRPr="007718D7">
              <w:t>Vegetation</w:t>
            </w:r>
            <w:r w:rsidRPr="007718D7">
              <w:br/>
              <w:t>Management</w:t>
            </w:r>
          </w:p>
        </w:tc>
        <w:tc>
          <w:tcPr>
            <w:tcW w:w="2555" w:type="pct"/>
            <w:vAlign w:val="center"/>
          </w:tcPr>
          <w:p w14:paraId="6643FA39" w14:textId="5BA05580" w:rsidR="007718D7" w:rsidRPr="007718D7" w:rsidRDefault="007718D7" w:rsidP="00D71601">
            <w:pPr>
              <w:pStyle w:val="TableText"/>
              <w:rPr>
                <w:b/>
                <w:bCs/>
              </w:rPr>
            </w:pPr>
            <w:r w:rsidRPr="007718D7">
              <w:rPr>
                <w:b/>
                <w:bCs/>
              </w:rPr>
              <w:t xml:space="preserve">PUC </w:t>
            </w:r>
            <w:r w:rsidR="00940504">
              <w:rPr>
                <w:b/>
                <w:bCs/>
              </w:rPr>
              <w:t>Section</w:t>
            </w:r>
            <w:r w:rsidR="00940504" w:rsidRPr="007718D7">
              <w:rPr>
                <w:b/>
                <w:bCs/>
              </w:rPr>
              <w:t xml:space="preserve"> </w:t>
            </w:r>
            <w:r w:rsidRPr="007718D7">
              <w:rPr>
                <w:b/>
                <w:bCs/>
              </w:rPr>
              <w:t xml:space="preserve">8387(b)(2)(H): </w:t>
            </w:r>
            <w:r w:rsidRPr="007718D7">
              <w:t xml:space="preserve">Plans for vegetation management. </w:t>
            </w:r>
          </w:p>
        </w:tc>
        <w:tc>
          <w:tcPr>
            <w:tcW w:w="1152" w:type="pct"/>
            <w:vAlign w:val="center"/>
          </w:tcPr>
          <w:p w14:paraId="58E344C8" w14:textId="1CAB29FF" w:rsidR="007718D7" w:rsidRPr="007718D7" w:rsidRDefault="007718D7" w:rsidP="000B0A45">
            <w:pPr>
              <w:pStyle w:val="TableText"/>
            </w:pPr>
            <w:r w:rsidRPr="007718D7">
              <w:t>Section: 5</w:t>
            </w:r>
            <w:r w:rsidRPr="007718D7">
              <w:br/>
              <w:t xml:space="preserve">Pages: </w:t>
            </w:r>
            <w:r w:rsidR="000C5186">
              <w:t>2</w:t>
            </w:r>
            <w:r w:rsidR="00E32999">
              <w:t>6</w:t>
            </w:r>
          </w:p>
        </w:tc>
      </w:tr>
      <w:tr w:rsidR="007718D7" w:rsidRPr="007718D7" w14:paraId="5ED1ECD6" w14:textId="77777777" w:rsidTr="001D7993">
        <w:trPr>
          <w:jc w:val="center"/>
        </w:trPr>
        <w:tc>
          <w:tcPr>
            <w:tcW w:w="1293" w:type="pct"/>
            <w:shd w:val="clear" w:color="auto" w:fill="D1EDF8"/>
            <w:vAlign w:val="center"/>
          </w:tcPr>
          <w:p w14:paraId="26365406" w14:textId="77777777" w:rsidR="007718D7" w:rsidRPr="007718D7" w:rsidRDefault="007718D7" w:rsidP="0054550A">
            <w:pPr>
              <w:pStyle w:val="TableSubheading"/>
            </w:pPr>
            <w:r w:rsidRPr="007718D7">
              <w:t>Inspections</w:t>
            </w:r>
          </w:p>
        </w:tc>
        <w:tc>
          <w:tcPr>
            <w:tcW w:w="2555" w:type="pct"/>
            <w:vAlign w:val="center"/>
          </w:tcPr>
          <w:p w14:paraId="0D4232DD" w14:textId="1ADED5DE" w:rsidR="007718D7" w:rsidRPr="007718D7" w:rsidRDefault="007718D7" w:rsidP="007718D7">
            <w:pPr>
              <w:rPr>
                <w:rFonts w:eastAsia="Calibri" w:cs="Calibri"/>
                <w:b/>
                <w:bCs/>
                <w:color w:val="333333"/>
              </w:rPr>
            </w:pPr>
            <w:r w:rsidRPr="00D71601">
              <w:rPr>
                <w:rStyle w:val="TableTextChar"/>
                <w:b/>
                <w:bCs/>
              </w:rPr>
              <w:t xml:space="preserve">PUC </w:t>
            </w:r>
            <w:r w:rsidR="00940504" w:rsidRPr="00D71601">
              <w:rPr>
                <w:rStyle w:val="TableTextChar"/>
                <w:b/>
                <w:bCs/>
              </w:rPr>
              <w:t xml:space="preserve">Section </w:t>
            </w:r>
            <w:r w:rsidRPr="00D71601">
              <w:rPr>
                <w:rStyle w:val="TableTextChar"/>
                <w:b/>
                <w:bCs/>
              </w:rPr>
              <w:t>8387(b)(2)(I): Plans for inspections</w:t>
            </w:r>
            <w:r w:rsidRPr="00D71601">
              <w:rPr>
                <w:rStyle w:val="TableTextChar"/>
              </w:rPr>
              <w:t xml:space="preserve"> of the local publicly owned electric utility’s or electrical cooperative’s electrical infrastructure.</w:t>
            </w:r>
          </w:p>
        </w:tc>
        <w:tc>
          <w:tcPr>
            <w:tcW w:w="1152" w:type="pct"/>
            <w:vAlign w:val="center"/>
          </w:tcPr>
          <w:p w14:paraId="3FA6031B" w14:textId="05A332CB" w:rsidR="007718D7" w:rsidRPr="007718D7" w:rsidRDefault="007718D7" w:rsidP="007718D7">
            <w:pPr>
              <w:rPr>
                <w:rFonts w:eastAsia="Calibri" w:cs="Calibri"/>
                <w:color w:val="000000"/>
              </w:rPr>
            </w:pPr>
            <w:r w:rsidRPr="007718D7">
              <w:rPr>
                <w:rFonts w:eastAsia="Calibri" w:cs="Calibri"/>
                <w:color w:val="000000"/>
              </w:rPr>
              <w:t>Section: 5</w:t>
            </w:r>
            <w:r w:rsidRPr="007718D7">
              <w:rPr>
                <w:rFonts w:eastAsia="Calibri" w:cs="Calibri"/>
                <w:color w:val="000000"/>
              </w:rPr>
              <w:br/>
              <w:t>Page: 2</w:t>
            </w:r>
            <w:r w:rsidR="00E32999">
              <w:rPr>
                <w:rFonts w:eastAsia="Calibri" w:cs="Calibri"/>
                <w:color w:val="000000"/>
              </w:rPr>
              <w:t>7</w:t>
            </w:r>
          </w:p>
        </w:tc>
      </w:tr>
      <w:tr w:rsidR="007718D7" w:rsidRPr="007718D7" w14:paraId="0DD79D6E" w14:textId="77777777" w:rsidTr="001D7993">
        <w:trPr>
          <w:jc w:val="center"/>
        </w:trPr>
        <w:tc>
          <w:tcPr>
            <w:tcW w:w="1293" w:type="pct"/>
            <w:shd w:val="clear" w:color="auto" w:fill="D1EDF8"/>
            <w:vAlign w:val="center"/>
          </w:tcPr>
          <w:p w14:paraId="3677B944" w14:textId="77777777" w:rsidR="007718D7" w:rsidRPr="007718D7" w:rsidRDefault="007718D7" w:rsidP="0054550A">
            <w:pPr>
              <w:pStyle w:val="TableSubheading"/>
            </w:pPr>
            <w:r w:rsidRPr="007718D7">
              <w:t>Prioritization of</w:t>
            </w:r>
            <w:r w:rsidRPr="007718D7">
              <w:br/>
              <w:t>Wildfire Risks</w:t>
            </w:r>
          </w:p>
        </w:tc>
        <w:tc>
          <w:tcPr>
            <w:tcW w:w="2555" w:type="pct"/>
            <w:vAlign w:val="center"/>
          </w:tcPr>
          <w:p w14:paraId="2A0B3248" w14:textId="40DD8BA3" w:rsidR="007718D7" w:rsidRPr="00D71601" w:rsidRDefault="007718D7" w:rsidP="00D71601">
            <w:pPr>
              <w:pStyle w:val="TableText"/>
            </w:pPr>
            <w:r w:rsidRPr="00D71601">
              <w:rPr>
                <w:b/>
                <w:bCs/>
              </w:rPr>
              <w:t xml:space="preserve">PUC </w:t>
            </w:r>
            <w:r w:rsidR="00940504" w:rsidRPr="00D71601">
              <w:rPr>
                <w:b/>
                <w:bCs/>
              </w:rPr>
              <w:t xml:space="preserve">Section </w:t>
            </w:r>
            <w:r w:rsidRPr="00D71601">
              <w:rPr>
                <w:b/>
                <w:bCs/>
              </w:rPr>
              <w:t>8387(b)(2)(J):</w:t>
            </w:r>
            <w:r w:rsidRPr="00D71601">
              <w:t xml:space="preserve"> A list that </w:t>
            </w:r>
            <w:r w:rsidRPr="00D71601">
              <w:rPr>
                <w:b/>
                <w:bCs/>
              </w:rPr>
              <w:t>identifies, describes, and prioritizes</w:t>
            </w:r>
            <w:r w:rsidR="00940504" w:rsidRPr="00D71601">
              <w:rPr>
                <w:b/>
                <w:bCs/>
              </w:rPr>
              <w:t xml:space="preserve"> </w:t>
            </w:r>
            <w:r w:rsidRPr="00D71601">
              <w:rPr>
                <w:b/>
                <w:bCs/>
              </w:rPr>
              <w:t>all wildfire risks, and drivers for those risks, throughout the local</w:t>
            </w:r>
            <w:r w:rsidR="00940504" w:rsidRPr="00D71601">
              <w:rPr>
                <w:b/>
                <w:bCs/>
              </w:rPr>
              <w:t xml:space="preserve"> </w:t>
            </w:r>
            <w:r w:rsidRPr="00D71601">
              <w:rPr>
                <w:b/>
                <w:bCs/>
              </w:rPr>
              <w:t>publicly owned electric utility’s or electrical cooperative’s service</w:t>
            </w:r>
            <w:r w:rsidR="00940504" w:rsidRPr="00D71601">
              <w:rPr>
                <w:b/>
                <w:bCs/>
              </w:rPr>
              <w:t xml:space="preserve"> </w:t>
            </w:r>
            <w:r w:rsidRPr="00D71601">
              <w:rPr>
                <w:b/>
                <w:bCs/>
              </w:rPr>
              <w:t xml:space="preserve">territory. </w:t>
            </w:r>
            <w:r w:rsidRPr="00D71601">
              <w:t xml:space="preserve">The list shall </w:t>
            </w:r>
            <w:r w:rsidRPr="00D71601">
              <w:lastRenderedPageBreak/>
              <w:t>include, but not be limited to, both of the following:</w:t>
            </w:r>
          </w:p>
          <w:p w14:paraId="0A94C010" w14:textId="708FCBCA" w:rsidR="007718D7" w:rsidRPr="00D71601" w:rsidRDefault="007718D7" w:rsidP="00D71601">
            <w:pPr>
              <w:pStyle w:val="TableText"/>
            </w:pPr>
            <w:r w:rsidRPr="00D71601">
              <w:rPr>
                <w:b/>
                <w:bCs/>
              </w:rPr>
              <w:t xml:space="preserve">(i) </w:t>
            </w:r>
            <w:r w:rsidRPr="00D71601">
              <w:t>Risks and risk drivers associated with design, construction,</w:t>
            </w:r>
            <w:r w:rsidR="00940504" w:rsidRPr="00D71601">
              <w:t xml:space="preserve"> </w:t>
            </w:r>
            <w:r w:rsidRPr="00D71601">
              <w:t>operation, and maintenance of the local publicly owned electric</w:t>
            </w:r>
            <w:r w:rsidR="00940504" w:rsidRPr="00D71601">
              <w:t xml:space="preserve"> </w:t>
            </w:r>
            <w:r w:rsidRPr="00D71601">
              <w:t>utility’s or electrical cooperative’s equipment and facilities.</w:t>
            </w:r>
            <w:r w:rsidRPr="00D71601">
              <w:br/>
            </w:r>
            <w:r w:rsidRPr="00D71601">
              <w:rPr>
                <w:b/>
                <w:bCs/>
              </w:rPr>
              <w:t>(ii)</w:t>
            </w:r>
            <w:r w:rsidRPr="00D71601">
              <w:t xml:space="preserve"> Particular risks and </w:t>
            </w:r>
            <w:r w:rsidRPr="00D71601">
              <w:rPr>
                <w:b/>
                <w:bCs/>
              </w:rPr>
              <w:t xml:space="preserve">risk drivers </w:t>
            </w:r>
            <w:r w:rsidRPr="00D71601">
              <w:t>associated with topographic</w:t>
            </w:r>
            <w:r w:rsidR="00777F1E" w:rsidRPr="00D71601">
              <w:t>al</w:t>
            </w:r>
            <w:r w:rsidRPr="00D71601">
              <w:t xml:space="preserve"> and</w:t>
            </w:r>
            <w:r w:rsidR="00940504" w:rsidRPr="00D71601">
              <w:t xml:space="preserve"> </w:t>
            </w:r>
            <w:r w:rsidRPr="00D71601">
              <w:t>climatological risk factors throughout the different parts of the</w:t>
            </w:r>
            <w:r w:rsidR="00940504" w:rsidRPr="00D71601">
              <w:t xml:space="preserve"> </w:t>
            </w:r>
            <w:r w:rsidRPr="00D71601">
              <w:t>local publicly owned electric utility’s or electrical cooperative’s</w:t>
            </w:r>
            <w:r w:rsidR="00940504" w:rsidRPr="00D71601">
              <w:t xml:space="preserve"> </w:t>
            </w:r>
            <w:r w:rsidRPr="00D71601">
              <w:t>service territory</w:t>
            </w:r>
            <w:r w:rsidR="00777F1E" w:rsidRPr="00D71601">
              <w:t>.</w:t>
            </w:r>
          </w:p>
        </w:tc>
        <w:tc>
          <w:tcPr>
            <w:tcW w:w="1152" w:type="pct"/>
            <w:vAlign w:val="center"/>
          </w:tcPr>
          <w:p w14:paraId="0798D95E" w14:textId="1E530127" w:rsidR="007718D7" w:rsidRPr="007718D7" w:rsidRDefault="007718D7" w:rsidP="007718D7">
            <w:pPr>
              <w:rPr>
                <w:rFonts w:eastAsia="Calibri" w:cs="Calibri"/>
                <w:color w:val="000000"/>
              </w:rPr>
            </w:pPr>
            <w:r w:rsidRPr="007718D7">
              <w:rPr>
                <w:rFonts w:eastAsia="Calibri" w:cs="Calibri"/>
                <w:color w:val="000000"/>
              </w:rPr>
              <w:lastRenderedPageBreak/>
              <w:t>Section: 4</w:t>
            </w:r>
            <w:r w:rsidRPr="007718D7">
              <w:rPr>
                <w:rFonts w:eastAsia="Calibri" w:cs="Calibri"/>
                <w:color w:val="000000"/>
              </w:rPr>
              <w:br/>
              <w:t>Pages: 1</w:t>
            </w:r>
            <w:r w:rsidR="00E32999">
              <w:rPr>
                <w:rFonts w:eastAsia="Calibri" w:cs="Calibri"/>
                <w:color w:val="000000"/>
              </w:rPr>
              <w:t>8</w:t>
            </w:r>
            <w:r w:rsidR="004977A9">
              <w:rPr>
                <w:rFonts w:eastAsia="Calibri" w:cs="Calibri"/>
                <w:color w:val="000000"/>
              </w:rPr>
              <w:t>–2</w:t>
            </w:r>
            <w:r w:rsidR="00E32999">
              <w:rPr>
                <w:rFonts w:eastAsia="Calibri" w:cs="Calibri"/>
                <w:color w:val="000000"/>
              </w:rPr>
              <w:t>0</w:t>
            </w:r>
          </w:p>
        </w:tc>
      </w:tr>
      <w:tr w:rsidR="007718D7" w:rsidRPr="007718D7" w14:paraId="6821B96B" w14:textId="77777777" w:rsidTr="001D7993">
        <w:trPr>
          <w:jc w:val="center"/>
        </w:trPr>
        <w:tc>
          <w:tcPr>
            <w:tcW w:w="1293" w:type="pct"/>
            <w:shd w:val="clear" w:color="auto" w:fill="D1EDF8"/>
            <w:vAlign w:val="center"/>
          </w:tcPr>
          <w:p w14:paraId="23BF33DE" w14:textId="09A4B09C" w:rsidR="007718D7" w:rsidRPr="00D71601" w:rsidRDefault="007718D7" w:rsidP="00D71601">
            <w:pPr>
              <w:pStyle w:val="TableSubheading"/>
            </w:pPr>
            <w:r w:rsidRPr="00D71601">
              <w:t>CPUC Fire Threat</w:t>
            </w:r>
            <w:r w:rsidRPr="00D71601">
              <w:br/>
              <w:t>Map</w:t>
            </w:r>
            <w:r w:rsidR="00576F6C" w:rsidRPr="00D71601">
              <w:t xml:space="preserve"> </w:t>
            </w:r>
            <w:r w:rsidRPr="00D71601">
              <w:t>Adjustments</w:t>
            </w:r>
          </w:p>
        </w:tc>
        <w:tc>
          <w:tcPr>
            <w:tcW w:w="2555" w:type="pct"/>
            <w:vAlign w:val="center"/>
          </w:tcPr>
          <w:p w14:paraId="79359A3F" w14:textId="6CB9F355" w:rsidR="007718D7" w:rsidRPr="00D71601" w:rsidRDefault="007718D7" w:rsidP="00D71601">
            <w:pPr>
              <w:pStyle w:val="TableText"/>
            </w:pPr>
            <w:r w:rsidRPr="00D71601">
              <w:rPr>
                <w:b/>
                <w:bCs/>
              </w:rPr>
              <w:t xml:space="preserve">PUC </w:t>
            </w:r>
            <w:r w:rsidR="00940504" w:rsidRPr="00D71601">
              <w:rPr>
                <w:b/>
                <w:bCs/>
              </w:rPr>
              <w:t xml:space="preserve">Section </w:t>
            </w:r>
            <w:r w:rsidRPr="00D71601">
              <w:rPr>
                <w:b/>
                <w:bCs/>
              </w:rPr>
              <w:t xml:space="preserve">8387(b)(2)(K): </w:t>
            </w:r>
            <w:r w:rsidRPr="00D71601">
              <w:t xml:space="preserve">Identification of any </w:t>
            </w:r>
            <w:r w:rsidRPr="00D71601">
              <w:rPr>
                <w:b/>
                <w:bCs/>
              </w:rPr>
              <w:t>geographic area in the</w:t>
            </w:r>
            <w:r w:rsidR="00940504" w:rsidRPr="00D71601">
              <w:rPr>
                <w:b/>
                <w:bCs/>
              </w:rPr>
              <w:t xml:space="preserve"> </w:t>
            </w:r>
            <w:r w:rsidRPr="00D71601">
              <w:rPr>
                <w:b/>
                <w:bCs/>
              </w:rPr>
              <w:t xml:space="preserve">local publicly owned electric utility’s or electrical cooperative’s service territory </w:t>
            </w:r>
            <w:r w:rsidRPr="00D71601">
              <w:t xml:space="preserve">that is a higher wildfire threat than is identified in a commission fire threat map, and identification of where the commission should expand a high fire threat </w:t>
            </w:r>
            <w:r w:rsidR="00777F1E" w:rsidRPr="00D71601">
              <w:t xml:space="preserve">for </w:t>
            </w:r>
            <w:r w:rsidR="00A97307" w:rsidRPr="00D71601">
              <w:t>TDPUD</w:t>
            </w:r>
            <w:r w:rsidRPr="00D71601">
              <w:t xml:space="preserve"> based on new information or changes to the environment.</w:t>
            </w:r>
          </w:p>
        </w:tc>
        <w:tc>
          <w:tcPr>
            <w:tcW w:w="1152" w:type="pct"/>
            <w:vAlign w:val="center"/>
          </w:tcPr>
          <w:p w14:paraId="186B517C" w14:textId="4F4897CB" w:rsidR="007718D7" w:rsidRPr="007718D7" w:rsidRDefault="007718D7" w:rsidP="007718D7">
            <w:pPr>
              <w:rPr>
                <w:rFonts w:eastAsia="Calibri" w:cs="Calibri"/>
                <w:color w:val="000000"/>
              </w:rPr>
            </w:pPr>
            <w:r w:rsidRPr="007718D7">
              <w:rPr>
                <w:rFonts w:eastAsia="Calibri" w:cs="Calibri"/>
                <w:color w:val="000000"/>
              </w:rPr>
              <w:t xml:space="preserve">Section: </w:t>
            </w:r>
            <w:r w:rsidR="004F71CD">
              <w:rPr>
                <w:rFonts w:eastAsia="Calibri" w:cs="Calibri"/>
                <w:color w:val="000000"/>
              </w:rPr>
              <w:t>Appendix A</w:t>
            </w:r>
            <w:r w:rsidRPr="007718D7">
              <w:rPr>
                <w:rFonts w:eastAsia="Calibri" w:cs="Calibri"/>
                <w:color w:val="000000"/>
              </w:rPr>
              <w:br/>
              <w:t xml:space="preserve">Page: </w:t>
            </w:r>
            <w:r w:rsidR="004F71CD">
              <w:rPr>
                <w:rFonts w:eastAsia="Calibri" w:cs="Calibri"/>
                <w:color w:val="000000"/>
              </w:rPr>
              <w:t>Attached</w:t>
            </w:r>
          </w:p>
        </w:tc>
      </w:tr>
      <w:tr w:rsidR="007718D7" w:rsidRPr="007718D7" w14:paraId="10510A3C" w14:textId="77777777" w:rsidTr="001D7993">
        <w:trPr>
          <w:jc w:val="center"/>
        </w:trPr>
        <w:tc>
          <w:tcPr>
            <w:tcW w:w="1293" w:type="pct"/>
            <w:shd w:val="clear" w:color="auto" w:fill="D1EDF8"/>
            <w:vAlign w:val="center"/>
          </w:tcPr>
          <w:p w14:paraId="70D320A0" w14:textId="3015B7AD" w:rsidR="007718D7" w:rsidRPr="00D71601" w:rsidRDefault="007718D7" w:rsidP="00D71601">
            <w:pPr>
              <w:pStyle w:val="TableSubheading"/>
            </w:pPr>
            <w:r w:rsidRPr="00D71601">
              <w:t>Enterprise</w:t>
            </w:r>
            <w:r w:rsidR="00576F6C" w:rsidRPr="00D71601">
              <w:t>-</w:t>
            </w:r>
            <w:r w:rsidRPr="00D71601">
              <w:t>wide</w:t>
            </w:r>
            <w:r w:rsidRPr="00D71601">
              <w:br/>
              <w:t>Risks</w:t>
            </w:r>
          </w:p>
        </w:tc>
        <w:tc>
          <w:tcPr>
            <w:tcW w:w="2555" w:type="pct"/>
            <w:vAlign w:val="center"/>
          </w:tcPr>
          <w:p w14:paraId="6E978366" w14:textId="74D67417" w:rsidR="007718D7" w:rsidRPr="00D71601" w:rsidRDefault="007718D7" w:rsidP="00D71601">
            <w:pPr>
              <w:pStyle w:val="TableText"/>
            </w:pPr>
            <w:r w:rsidRPr="00D71601">
              <w:rPr>
                <w:b/>
                <w:bCs/>
              </w:rPr>
              <w:t xml:space="preserve">PUC </w:t>
            </w:r>
            <w:r w:rsidR="00940504" w:rsidRPr="00D71601">
              <w:rPr>
                <w:b/>
                <w:bCs/>
              </w:rPr>
              <w:t xml:space="preserve">Section </w:t>
            </w:r>
            <w:r w:rsidRPr="00D71601">
              <w:rPr>
                <w:b/>
                <w:bCs/>
              </w:rPr>
              <w:t>8387(b)(2)(L):</w:t>
            </w:r>
            <w:r w:rsidRPr="00D71601">
              <w:t xml:space="preserve"> A methodology for identifying and presenting</w:t>
            </w:r>
            <w:r w:rsidR="00940504" w:rsidRPr="00D71601">
              <w:t xml:space="preserve"> </w:t>
            </w:r>
            <w:r w:rsidRPr="00D71601">
              <w:rPr>
                <w:b/>
                <w:bCs/>
              </w:rPr>
              <w:t>enterprise-wide</w:t>
            </w:r>
            <w:r w:rsidRPr="00D71601">
              <w:t xml:space="preserve"> safety risk and wildfire-related risk.</w:t>
            </w:r>
          </w:p>
        </w:tc>
        <w:tc>
          <w:tcPr>
            <w:tcW w:w="1152" w:type="pct"/>
            <w:vAlign w:val="center"/>
          </w:tcPr>
          <w:p w14:paraId="4598C1D6" w14:textId="4BB187C4" w:rsidR="007718D7" w:rsidRPr="007718D7" w:rsidRDefault="007718D7" w:rsidP="007718D7">
            <w:pPr>
              <w:rPr>
                <w:rFonts w:eastAsia="Calibri" w:cs="Calibri"/>
                <w:color w:val="000000"/>
              </w:rPr>
            </w:pPr>
            <w:r w:rsidRPr="007718D7">
              <w:rPr>
                <w:rFonts w:eastAsia="Calibri" w:cs="Calibri"/>
                <w:color w:val="000000"/>
              </w:rPr>
              <w:t>Section: 4</w:t>
            </w:r>
            <w:r w:rsidRPr="007718D7">
              <w:rPr>
                <w:rFonts w:eastAsia="Calibri" w:cs="Calibri"/>
                <w:color w:val="000000"/>
              </w:rPr>
              <w:br/>
              <w:t xml:space="preserve">Page: </w:t>
            </w:r>
            <w:r w:rsidR="00E32999">
              <w:rPr>
                <w:rFonts w:eastAsia="Calibri" w:cs="Calibri"/>
                <w:color w:val="000000"/>
              </w:rPr>
              <w:t>20</w:t>
            </w:r>
          </w:p>
        </w:tc>
      </w:tr>
      <w:tr w:rsidR="007718D7" w:rsidRPr="007718D7" w14:paraId="73E2C575" w14:textId="77777777" w:rsidTr="001D7993">
        <w:trPr>
          <w:jc w:val="center"/>
        </w:trPr>
        <w:tc>
          <w:tcPr>
            <w:tcW w:w="1293" w:type="pct"/>
            <w:shd w:val="clear" w:color="auto" w:fill="D1EDF8"/>
            <w:vAlign w:val="center"/>
          </w:tcPr>
          <w:p w14:paraId="10024AF5" w14:textId="77777777" w:rsidR="007718D7" w:rsidRPr="00D71601" w:rsidRDefault="007718D7" w:rsidP="00D71601">
            <w:pPr>
              <w:pStyle w:val="TableSubheading"/>
            </w:pPr>
            <w:r w:rsidRPr="00D71601">
              <w:t>Restoration of</w:t>
            </w:r>
            <w:r w:rsidRPr="00D71601">
              <w:br/>
              <w:t>Service</w:t>
            </w:r>
          </w:p>
        </w:tc>
        <w:tc>
          <w:tcPr>
            <w:tcW w:w="2555" w:type="pct"/>
            <w:vAlign w:val="center"/>
          </w:tcPr>
          <w:p w14:paraId="43026475" w14:textId="5D3550D5" w:rsidR="007718D7" w:rsidRPr="00D71601" w:rsidRDefault="007718D7" w:rsidP="00D71601">
            <w:pPr>
              <w:pStyle w:val="TableText"/>
            </w:pPr>
            <w:r w:rsidRPr="00D71601">
              <w:rPr>
                <w:b/>
                <w:bCs/>
              </w:rPr>
              <w:t xml:space="preserve">PUC </w:t>
            </w:r>
            <w:r w:rsidR="00940504" w:rsidRPr="00D71601">
              <w:rPr>
                <w:b/>
                <w:bCs/>
              </w:rPr>
              <w:t xml:space="preserve">Section </w:t>
            </w:r>
            <w:r w:rsidRPr="00D71601">
              <w:rPr>
                <w:b/>
                <w:bCs/>
              </w:rPr>
              <w:t>8387(b)(2)(M):</w:t>
            </w:r>
            <w:r w:rsidRPr="00D71601">
              <w:t xml:space="preserve"> A statement of how the local publicly owned electric utility or electrical cooperative will </w:t>
            </w:r>
            <w:r w:rsidRPr="00D71601">
              <w:rPr>
                <w:b/>
                <w:bCs/>
              </w:rPr>
              <w:t>restore service after a wildfire.</w:t>
            </w:r>
          </w:p>
        </w:tc>
        <w:tc>
          <w:tcPr>
            <w:tcW w:w="1152" w:type="pct"/>
            <w:vAlign w:val="center"/>
          </w:tcPr>
          <w:p w14:paraId="4DD4B2F8" w14:textId="773F3C46" w:rsidR="007718D7" w:rsidRPr="007718D7" w:rsidRDefault="007718D7" w:rsidP="007718D7">
            <w:pPr>
              <w:rPr>
                <w:rFonts w:eastAsia="Calibri" w:cs="Calibri"/>
                <w:color w:val="000000"/>
              </w:rPr>
            </w:pPr>
            <w:r w:rsidRPr="007718D7">
              <w:rPr>
                <w:rFonts w:eastAsia="Calibri" w:cs="Calibri"/>
                <w:color w:val="000000"/>
              </w:rPr>
              <w:t>Section:</w:t>
            </w:r>
            <w:r w:rsidR="007823B6">
              <w:rPr>
                <w:rFonts w:eastAsia="Calibri" w:cs="Calibri"/>
                <w:color w:val="000000"/>
              </w:rPr>
              <w:t xml:space="preserve"> </w:t>
            </w:r>
            <w:r w:rsidRPr="007718D7">
              <w:rPr>
                <w:rFonts w:eastAsia="Calibri" w:cs="Calibri"/>
                <w:color w:val="000000"/>
              </w:rPr>
              <w:t>7</w:t>
            </w:r>
            <w:r w:rsidRPr="007718D7">
              <w:rPr>
                <w:rFonts w:eastAsia="Calibri" w:cs="Calibri"/>
                <w:color w:val="000000"/>
              </w:rPr>
              <w:br/>
              <w:t xml:space="preserve">Pages: </w:t>
            </w:r>
            <w:r w:rsidR="004F71CD">
              <w:rPr>
                <w:rFonts w:eastAsia="Calibri" w:cs="Calibri"/>
                <w:color w:val="000000"/>
              </w:rPr>
              <w:t>3</w:t>
            </w:r>
            <w:r w:rsidR="00E32999">
              <w:rPr>
                <w:rFonts w:eastAsia="Calibri" w:cs="Calibri"/>
                <w:color w:val="000000"/>
              </w:rPr>
              <w:t>1</w:t>
            </w:r>
          </w:p>
        </w:tc>
      </w:tr>
      <w:tr w:rsidR="007718D7" w:rsidRPr="007718D7" w14:paraId="2F07A1AF" w14:textId="77777777" w:rsidTr="001D7993">
        <w:trPr>
          <w:jc w:val="center"/>
        </w:trPr>
        <w:tc>
          <w:tcPr>
            <w:tcW w:w="1293" w:type="pct"/>
            <w:shd w:val="clear" w:color="auto" w:fill="D1EDF8"/>
            <w:vAlign w:val="center"/>
          </w:tcPr>
          <w:p w14:paraId="5DBE12E3" w14:textId="77777777" w:rsidR="007718D7" w:rsidRPr="007718D7" w:rsidRDefault="007718D7" w:rsidP="00D71601">
            <w:pPr>
              <w:pStyle w:val="TableSubheading"/>
            </w:pPr>
            <w:r w:rsidRPr="007718D7">
              <w:lastRenderedPageBreak/>
              <w:t>Monitor and</w:t>
            </w:r>
            <w:r w:rsidRPr="007718D7">
              <w:br/>
              <w:t>Audit</w:t>
            </w:r>
          </w:p>
        </w:tc>
        <w:tc>
          <w:tcPr>
            <w:tcW w:w="2555" w:type="pct"/>
            <w:vAlign w:val="center"/>
          </w:tcPr>
          <w:p w14:paraId="58181607" w14:textId="0C7687EA" w:rsidR="00940504" w:rsidRDefault="007718D7" w:rsidP="007718D7">
            <w:pPr>
              <w:rPr>
                <w:rFonts w:eastAsia="Calibri" w:cs="Calibri"/>
                <w:color w:val="333333"/>
              </w:rPr>
            </w:pPr>
            <w:r w:rsidRPr="000C6877">
              <w:rPr>
                <w:rFonts w:eastAsia="Calibri" w:cs="Calibri"/>
                <w:b/>
                <w:bCs/>
                <w:color w:val="333333"/>
              </w:rPr>
              <w:t>P</w:t>
            </w:r>
            <w:r w:rsidRPr="000C6877">
              <w:rPr>
                <w:rStyle w:val="TableTextChar"/>
                <w:b/>
                <w:bCs/>
              </w:rPr>
              <w:t xml:space="preserve">UC </w:t>
            </w:r>
            <w:r w:rsidR="00940504" w:rsidRPr="000C6877">
              <w:rPr>
                <w:rStyle w:val="TableTextChar"/>
                <w:b/>
                <w:bCs/>
              </w:rPr>
              <w:t xml:space="preserve">Section </w:t>
            </w:r>
            <w:r w:rsidRPr="000C6877">
              <w:rPr>
                <w:rStyle w:val="TableTextChar"/>
                <w:b/>
                <w:bCs/>
              </w:rPr>
              <w:t xml:space="preserve">8387(b)(2)(N): </w:t>
            </w:r>
            <w:r w:rsidRPr="00D71601">
              <w:rPr>
                <w:rStyle w:val="TableTextChar"/>
              </w:rPr>
              <w:t>A description of the processes and procedures the local publicly owned electric utility or electrical</w:t>
            </w:r>
            <w:r w:rsidR="00940504" w:rsidRPr="00D71601">
              <w:rPr>
                <w:rStyle w:val="TableTextChar"/>
              </w:rPr>
              <w:t xml:space="preserve"> </w:t>
            </w:r>
            <w:r w:rsidRPr="00D71601">
              <w:rPr>
                <w:rStyle w:val="TableTextChar"/>
              </w:rPr>
              <w:t>cooperative shall use to do all of the following</w:t>
            </w:r>
            <w:r w:rsidR="00940504" w:rsidRPr="00D71601">
              <w:rPr>
                <w:rStyle w:val="TableTextChar"/>
              </w:rPr>
              <w:t>:</w:t>
            </w:r>
          </w:p>
          <w:p w14:paraId="5FE77231" w14:textId="72C69AB6" w:rsidR="007718D7" w:rsidRPr="007718D7" w:rsidRDefault="007718D7" w:rsidP="007718D7">
            <w:pPr>
              <w:rPr>
                <w:rFonts w:eastAsia="Calibri" w:cs="Calibri"/>
                <w:b/>
                <w:bCs/>
                <w:color w:val="333333"/>
              </w:rPr>
            </w:pPr>
            <w:r w:rsidRPr="00D71601">
              <w:rPr>
                <w:rStyle w:val="TableTextChar"/>
                <w:b/>
                <w:bCs/>
              </w:rPr>
              <w:t>(i)</w:t>
            </w:r>
            <w:r w:rsidRPr="00D71601">
              <w:rPr>
                <w:rStyle w:val="TableTextChar"/>
              </w:rPr>
              <w:t xml:space="preserve"> </w:t>
            </w:r>
            <w:r w:rsidRPr="00D71601">
              <w:rPr>
                <w:rStyle w:val="TableTextChar"/>
                <w:b/>
                <w:bCs/>
              </w:rPr>
              <w:t>Monitor and audit</w:t>
            </w:r>
            <w:r w:rsidRPr="00D71601">
              <w:rPr>
                <w:rStyle w:val="TableTextChar"/>
              </w:rPr>
              <w:t xml:space="preserve"> the implementation of the wildfire mitigation plan.</w:t>
            </w:r>
            <w:r w:rsidRPr="00D71601">
              <w:rPr>
                <w:rStyle w:val="TableTextChar"/>
              </w:rPr>
              <w:br/>
            </w:r>
            <w:r w:rsidRPr="00D71601">
              <w:rPr>
                <w:rStyle w:val="TableTextChar"/>
                <w:b/>
                <w:bCs/>
              </w:rPr>
              <w:t>(ii)</w:t>
            </w:r>
            <w:r w:rsidRPr="00D71601">
              <w:rPr>
                <w:rStyle w:val="TableTextChar"/>
              </w:rPr>
              <w:t xml:space="preserve"> </w:t>
            </w:r>
            <w:r w:rsidRPr="00D71601">
              <w:rPr>
                <w:rStyle w:val="TableTextChar"/>
                <w:b/>
                <w:bCs/>
              </w:rPr>
              <w:t>Identify any deficiencies</w:t>
            </w:r>
            <w:r w:rsidRPr="00D71601">
              <w:rPr>
                <w:rStyle w:val="TableTextChar"/>
              </w:rPr>
              <w:t xml:space="preserve"> in the wildfire mitigation plan or its </w:t>
            </w:r>
            <w:r w:rsidR="007726A6" w:rsidRPr="00D71601">
              <w:rPr>
                <w:rStyle w:val="TableTextChar"/>
              </w:rPr>
              <w:t>implementation and</w:t>
            </w:r>
            <w:r w:rsidRPr="00D71601">
              <w:rPr>
                <w:rStyle w:val="TableTextChar"/>
              </w:rPr>
              <w:t xml:space="preserve"> correct those deficiencies.</w:t>
            </w:r>
            <w:r w:rsidRPr="00D71601">
              <w:rPr>
                <w:rStyle w:val="TableTextChar"/>
              </w:rPr>
              <w:br/>
            </w:r>
            <w:r w:rsidRPr="00D71601">
              <w:rPr>
                <w:rStyle w:val="TableTextChar"/>
                <w:b/>
                <w:bCs/>
              </w:rPr>
              <w:t>(iii)</w:t>
            </w:r>
            <w:r w:rsidRPr="00D71601">
              <w:rPr>
                <w:rStyle w:val="TableTextChar"/>
              </w:rPr>
              <w:t xml:space="preserve"> Monitor and audit the effectiveness of electrical line and equipment inspections, including inspections performed by</w:t>
            </w:r>
            <w:r w:rsidR="00940504" w:rsidRPr="00D71601">
              <w:rPr>
                <w:rStyle w:val="TableTextChar"/>
              </w:rPr>
              <w:t xml:space="preserve"> </w:t>
            </w:r>
            <w:r w:rsidRPr="00D71601">
              <w:rPr>
                <w:rStyle w:val="TableTextChar"/>
              </w:rPr>
              <w:t>contractors, that are carried out under the plan, other applic</w:t>
            </w:r>
            <w:r w:rsidRPr="007718D7">
              <w:rPr>
                <w:rFonts w:eastAsia="Calibri" w:cs="Calibri"/>
                <w:color w:val="333333"/>
              </w:rPr>
              <w:t>able statutes, or commission rules.</w:t>
            </w:r>
          </w:p>
        </w:tc>
        <w:tc>
          <w:tcPr>
            <w:tcW w:w="1152" w:type="pct"/>
            <w:vAlign w:val="center"/>
          </w:tcPr>
          <w:p w14:paraId="4D14B8F0" w14:textId="71600364" w:rsidR="007718D7" w:rsidRPr="007718D7" w:rsidRDefault="007718D7" w:rsidP="007718D7">
            <w:pPr>
              <w:rPr>
                <w:rFonts w:eastAsia="Calibri" w:cs="Calibri"/>
                <w:color w:val="000000"/>
              </w:rPr>
            </w:pPr>
            <w:r w:rsidRPr="007718D7">
              <w:rPr>
                <w:rFonts w:eastAsia="Calibri" w:cs="Calibri"/>
                <w:color w:val="000000"/>
              </w:rPr>
              <w:t>Section: 8</w:t>
            </w:r>
            <w:r w:rsidRPr="007718D7">
              <w:rPr>
                <w:rFonts w:eastAsia="Calibri" w:cs="Calibri"/>
                <w:color w:val="000000"/>
              </w:rPr>
              <w:br/>
              <w:t>Page</w:t>
            </w:r>
            <w:r w:rsidR="004977A9">
              <w:rPr>
                <w:rFonts w:eastAsia="Calibri" w:cs="Calibri"/>
                <w:color w:val="000000"/>
              </w:rPr>
              <w:t>s</w:t>
            </w:r>
            <w:r w:rsidRPr="007718D7">
              <w:rPr>
                <w:rFonts w:eastAsia="Calibri" w:cs="Calibri"/>
                <w:color w:val="000000"/>
              </w:rPr>
              <w:t>: 3</w:t>
            </w:r>
            <w:r w:rsidR="00E32999">
              <w:rPr>
                <w:rFonts w:eastAsia="Calibri" w:cs="Calibri"/>
                <w:color w:val="000000"/>
              </w:rPr>
              <w:t>5</w:t>
            </w:r>
            <w:r w:rsidR="004977A9">
              <w:rPr>
                <w:rFonts w:eastAsia="Calibri" w:cs="Calibri"/>
                <w:color w:val="000000"/>
              </w:rPr>
              <w:t>–3</w:t>
            </w:r>
            <w:r w:rsidR="00E32999">
              <w:rPr>
                <w:rFonts w:eastAsia="Calibri" w:cs="Calibri"/>
                <w:color w:val="000000"/>
              </w:rPr>
              <w:t>6</w:t>
            </w:r>
          </w:p>
        </w:tc>
      </w:tr>
      <w:tr w:rsidR="007718D7" w:rsidRPr="007718D7" w14:paraId="5D64AC66" w14:textId="77777777" w:rsidTr="001D7993">
        <w:trPr>
          <w:jc w:val="center"/>
        </w:trPr>
        <w:tc>
          <w:tcPr>
            <w:tcW w:w="1293" w:type="pct"/>
            <w:shd w:val="clear" w:color="auto" w:fill="D1EDF8"/>
            <w:vAlign w:val="center"/>
          </w:tcPr>
          <w:p w14:paraId="52D28FE3" w14:textId="77777777" w:rsidR="007718D7" w:rsidRPr="007718D7" w:rsidRDefault="007718D7" w:rsidP="00D71601">
            <w:pPr>
              <w:pStyle w:val="TableSubheading"/>
            </w:pPr>
            <w:r w:rsidRPr="007718D7">
              <w:t>Qualified</w:t>
            </w:r>
            <w:r w:rsidRPr="007718D7">
              <w:br/>
              <w:t>Independent</w:t>
            </w:r>
            <w:r w:rsidRPr="007718D7">
              <w:br/>
              <w:t>Evaluator</w:t>
            </w:r>
          </w:p>
        </w:tc>
        <w:tc>
          <w:tcPr>
            <w:tcW w:w="2555" w:type="pct"/>
            <w:vAlign w:val="center"/>
          </w:tcPr>
          <w:p w14:paraId="72E6E515" w14:textId="0B6F0573" w:rsidR="007718D7" w:rsidRPr="007718D7" w:rsidRDefault="007718D7" w:rsidP="00D71601">
            <w:pPr>
              <w:pStyle w:val="TableText"/>
              <w:rPr>
                <w:b/>
                <w:bCs/>
              </w:rPr>
            </w:pPr>
            <w:r w:rsidRPr="00D71601">
              <w:rPr>
                <w:b/>
                <w:bCs/>
              </w:rPr>
              <w:t xml:space="preserve">PUC </w:t>
            </w:r>
            <w:r w:rsidR="00940504" w:rsidRPr="00D71601">
              <w:rPr>
                <w:b/>
                <w:bCs/>
              </w:rPr>
              <w:t xml:space="preserve">Section </w:t>
            </w:r>
            <w:r w:rsidRPr="00D71601">
              <w:rPr>
                <w:b/>
                <w:bCs/>
              </w:rPr>
              <w:t>8387(c):</w:t>
            </w:r>
            <w:r w:rsidRPr="00D71601">
              <w:t xml:space="preserve"> The local publicly owned electric utility or electrical cooperative shall contract with a qualified independent evaluator with experience in assessing the safe operation of electrical infrastructure to review and assess the comprehensiveness of its wildfire mitigation plan. The independent evaluator shall issue a report that shall be made available on the </w:t>
            </w:r>
            <w:r w:rsidR="00792E5F" w:rsidRPr="00D71601">
              <w:t>i</w:t>
            </w:r>
            <w:r w:rsidRPr="00D71601">
              <w:t xml:space="preserve">nternet </w:t>
            </w:r>
            <w:r w:rsidR="00011B7B" w:rsidRPr="00D71601">
              <w:t>w</w:t>
            </w:r>
            <w:r w:rsidRPr="00D71601">
              <w:t xml:space="preserve">ebsite of the local publicly owned electric utility or electrical </w:t>
            </w:r>
            <w:r w:rsidR="00C42FF3" w:rsidRPr="00D71601">
              <w:t>cooperative and</w:t>
            </w:r>
            <w:r w:rsidRPr="00D71601">
              <w:t xml:space="preserve"> shall present the report at a public meeting of the local publicly owned electric utility’s or electrical cooperative’s governing board.</w:t>
            </w:r>
          </w:p>
        </w:tc>
        <w:tc>
          <w:tcPr>
            <w:tcW w:w="1152" w:type="pct"/>
            <w:vAlign w:val="center"/>
          </w:tcPr>
          <w:p w14:paraId="1EEF4CDE" w14:textId="3D30B277" w:rsidR="007718D7" w:rsidRPr="007718D7" w:rsidRDefault="007718D7" w:rsidP="007718D7">
            <w:pPr>
              <w:rPr>
                <w:rFonts w:eastAsia="Calibri" w:cs="Calibri"/>
                <w:color w:val="000000"/>
              </w:rPr>
            </w:pPr>
            <w:r w:rsidRPr="007718D7">
              <w:rPr>
                <w:rFonts w:eastAsia="Calibri" w:cs="Calibri"/>
                <w:color w:val="000000"/>
              </w:rPr>
              <w:t>Section: 9</w:t>
            </w:r>
            <w:r w:rsidRPr="007718D7">
              <w:rPr>
                <w:rFonts w:eastAsia="Calibri" w:cs="Calibri"/>
                <w:color w:val="000000"/>
              </w:rPr>
              <w:br/>
              <w:t>Page</w:t>
            </w:r>
            <w:r w:rsidR="004977A9">
              <w:rPr>
                <w:rFonts w:eastAsia="Calibri" w:cs="Calibri"/>
                <w:color w:val="000000"/>
              </w:rPr>
              <w:t>s</w:t>
            </w:r>
            <w:r w:rsidRPr="007718D7">
              <w:rPr>
                <w:rFonts w:eastAsia="Calibri" w:cs="Calibri"/>
                <w:color w:val="000000"/>
              </w:rPr>
              <w:t>: 3</w:t>
            </w:r>
            <w:r w:rsidR="00E32999">
              <w:rPr>
                <w:rFonts w:eastAsia="Calibri" w:cs="Calibri"/>
                <w:color w:val="000000"/>
              </w:rPr>
              <w:t>6</w:t>
            </w:r>
            <w:r w:rsidR="004977A9">
              <w:rPr>
                <w:rFonts w:eastAsia="Calibri" w:cs="Calibri"/>
                <w:color w:val="000000"/>
              </w:rPr>
              <w:t>–3</w:t>
            </w:r>
            <w:r w:rsidR="00E32999">
              <w:rPr>
                <w:rFonts w:eastAsia="Calibri" w:cs="Calibri"/>
                <w:color w:val="000000"/>
              </w:rPr>
              <w:t>7</w:t>
            </w:r>
          </w:p>
        </w:tc>
      </w:tr>
    </w:tbl>
    <w:p w14:paraId="1445CD25" w14:textId="6E2CEB09" w:rsidR="00F7707E" w:rsidRDefault="00E20107" w:rsidP="00D71601">
      <w:pPr>
        <w:pStyle w:val="TableSourceNote"/>
      </w:pPr>
      <w:r w:rsidRPr="00E20107">
        <w:rPr>
          <w:b/>
          <w:bCs/>
        </w:rPr>
        <w:t>Notes</w:t>
      </w:r>
      <w:r>
        <w:t xml:space="preserve">: TDPUD = </w:t>
      </w:r>
      <w:r w:rsidRPr="00E20107">
        <w:t>Truckee Donner Public Utility District</w:t>
      </w:r>
      <w:r>
        <w:t xml:space="preserve">; WMP = </w:t>
      </w:r>
      <w:r w:rsidRPr="00E20107">
        <w:t>Wildfire Mitigation Plan</w:t>
      </w:r>
      <w:r>
        <w:t>; PUC</w:t>
      </w:r>
      <w:r w:rsidR="00212C06">
        <w:t xml:space="preserve"> </w:t>
      </w:r>
      <w:r>
        <w:t xml:space="preserve">= </w:t>
      </w:r>
      <w:r w:rsidRPr="00E20107">
        <w:t>Public Utilities Code</w:t>
      </w:r>
      <w:r>
        <w:t>.</w:t>
      </w:r>
    </w:p>
    <w:p w14:paraId="2EC3C089" w14:textId="0143A208" w:rsidR="00F7707E" w:rsidRDefault="007726A6" w:rsidP="00DC7BC8">
      <w:pPr>
        <w:pStyle w:val="graphic"/>
      </w:pPr>
      <w:r w:rsidRPr="007726A6">
        <w:rPr>
          <w:noProof/>
        </w:rPr>
        <w:lastRenderedPageBreak/>
        <w:drawing>
          <wp:inline distT="0" distB="0" distL="0" distR="0" wp14:anchorId="08738E23" wp14:editId="43209EC6">
            <wp:extent cx="5943600" cy="40481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4048125"/>
                    </a:xfrm>
                    <a:prstGeom prst="rect">
                      <a:avLst/>
                    </a:prstGeom>
                  </pic:spPr>
                </pic:pic>
              </a:graphicData>
            </a:graphic>
          </wp:inline>
        </w:drawing>
      </w:r>
    </w:p>
    <w:p w14:paraId="03F5E66B" w14:textId="46FAFCE4" w:rsidR="00521483" w:rsidRPr="00521483" w:rsidRDefault="00521483" w:rsidP="000B0A45">
      <w:pPr>
        <w:pStyle w:val="Figure"/>
      </w:pPr>
      <w:bookmarkStart w:id="22" w:name="_Toc236900555"/>
      <w:r w:rsidRPr="00521483">
        <w:t>Figure 1</w:t>
      </w:r>
      <w:r w:rsidR="00587E69">
        <w:t>.</w:t>
      </w:r>
      <w:r w:rsidRPr="00521483">
        <w:t xml:space="preserve"> TDPUD Electric Service Territory</w:t>
      </w:r>
      <w:bookmarkEnd w:id="22"/>
    </w:p>
    <w:p w14:paraId="7548450E" w14:textId="3A280296" w:rsidR="00115A18" w:rsidRPr="007718D7" w:rsidRDefault="004025E8" w:rsidP="00D07962">
      <w:pPr>
        <w:pStyle w:val="Heading2"/>
      </w:pPr>
      <w:bookmarkStart w:id="23" w:name="_Toc135748521"/>
      <w:bookmarkStart w:id="24" w:name="_Toc236903452"/>
      <w:r>
        <w:t>C</w:t>
      </w:r>
      <w:r w:rsidR="00D07962">
        <w:t>.</w:t>
      </w:r>
      <w:r w:rsidR="00D07962">
        <w:tab/>
      </w:r>
      <w:r w:rsidR="00115A18">
        <w:t>Process for Utility Adoption and Submittal of Annual WMP and Opportunities for Public Comment</w:t>
      </w:r>
      <w:bookmarkEnd w:id="23"/>
      <w:bookmarkEnd w:id="24"/>
    </w:p>
    <w:p w14:paraId="77DB4D12" w14:textId="26123E17" w:rsidR="00115A18" w:rsidRPr="003D1BE2" w:rsidRDefault="00115A18" w:rsidP="00DC7BC8">
      <w:pPr>
        <w:pStyle w:val="BodyText"/>
      </w:pPr>
      <w:r w:rsidRPr="003D1BE2">
        <w:t xml:space="preserve">The TDPUD Wildfire Mitigation Plan </w:t>
      </w:r>
      <w:r w:rsidR="00DF3691">
        <w:t>(WMP</w:t>
      </w:r>
      <w:r w:rsidR="00FE5AB9">
        <w:t xml:space="preserve"> </w:t>
      </w:r>
      <w:r w:rsidR="00FE5AB9" w:rsidRPr="003D1BE2">
        <w:rPr>
          <w:szCs w:val="21"/>
        </w:rPr>
        <w:t>or Plan</w:t>
      </w:r>
      <w:r w:rsidR="00DF3691">
        <w:t xml:space="preserve">) </w:t>
      </w:r>
      <w:r w:rsidRPr="003D1BE2">
        <w:t xml:space="preserve">is adopted by the </w:t>
      </w:r>
      <w:r w:rsidR="0064570C">
        <w:t>TD</w:t>
      </w:r>
      <w:r w:rsidRPr="003D1BE2">
        <w:t>PUD Board</w:t>
      </w:r>
      <w:r w:rsidR="007C3B84">
        <w:t xml:space="preserve"> of Directors</w:t>
      </w:r>
      <w:r w:rsidRPr="003D1BE2">
        <w:t xml:space="preserve"> </w:t>
      </w:r>
      <w:r w:rsidR="00351163">
        <w:t xml:space="preserve">(Board) </w:t>
      </w:r>
      <w:r w:rsidRPr="003D1BE2">
        <w:t xml:space="preserve">during </w:t>
      </w:r>
      <w:r w:rsidR="002D1768">
        <w:t>a public meeting</w:t>
      </w:r>
      <w:r w:rsidRPr="003D1BE2">
        <w:t xml:space="preserve">. TDPUD staff present the final version of the annual </w:t>
      </w:r>
      <w:r w:rsidR="00DF3691">
        <w:t>WMP</w:t>
      </w:r>
      <w:r w:rsidRPr="003D1BE2">
        <w:t xml:space="preserve"> to the </w:t>
      </w:r>
      <w:r w:rsidR="004C1653">
        <w:t>B</w:t>
      </w:r>
      <w:r w:rsidRPr="003D1BE2">
        <w:t xml:space="preserve">oard for review. Included with the </w:t>
      </w:r>
      <w:r w:rsidR="00411E7E">
        <w:t>P</w:t>
      </w:r>
      <w:r w:rsidRPr="003D1BE2">
        <w:t xml:space="preserve">lan is an agenda packet with a summary of the background and the contents of the current WMP. The agenda packet also includes a </w:t>
      </w:r>
      <w:r w:rsidR="002D1768">
        <w:t>description</w:t>
      </w:r>
      <w:r w:rsidR="002D1768" w:rsidRPr="003D1BE2">
        <w:t xml:space="preserve"> </w:t>
      </w:r>
      <w:r w:rsidRPr="003D1BE2">
        <w:t xml:space="preserve">of </w:t>
      </w:r>
      <w:r w:rsidR="002D1768">
        <w:t xml:space="preserve">major </w:t>
      </w:r>
      <w:r w:rsidRPr="003D1BE2">
        <w:t xml:space="preserve">changes from </w:t>
      </w:r>
      <w:r w:rsidR="00DF3691">
        <w:t xml:space="preserve">the </w:t>
      </w:r>
      <w:r w:rsidRPr="003D1BE2">
        <w:t>previous year</w:t>
      </w:r>
      <w:r w:rsidR="00DF3691">
        <w:t>’</w:t>
      </w:r>
      <w:r w:rsidRPr="003D1BE2">
        <w:t>s WMP.</w:t>
      </w:r>
    </w:p>
    <w:p w14:paraId="3328AAFE" w14:textId="24E4B5F3" w:rsidR="00115A18" w:rsidRPr="003D1BE2" w:rsidRDefault="00115A18" w:rsidP="000B0A45">
      <w:pPr>
        <w:pStyle w:val="BodyText"/>
      </w:pPr>
      <w:r w:rsidRPr="003D1BE2">
        <w:t xml:space="preserve">During the </w:t>
      </w:r>
      <w:r w:rsidR="004C1653">
        <w:t>B</w:t>
      </w:r>
      <w:r w:rsidRPr="003D1BE2">
        <w:t>oard meeting</w:t>
      </w:r>
      <w:r w:rsidR="004C1653">
        <w:t>,</w:t>
      </w:r>
      <w:r w:rsidRPr="003D1BE2">
        <w:t xml:space="preserve"> </w:t>
      </w:r>
      <w:r w:rsidR="004E66AA">
        <w:t xml:space="preserve">consideration </w:t>
      </w:r>
      <w:r w:rsidR="0061578B">
        <w:t xml:space="preserve">for </w:t>
      </w:r>
      <w:r w:rsidRPr="003D1BE2">
        <w:t>the adoption of the current WMP is presented as a</w:t>
      </w:r>
      <w:r w:rsidR="006E5C92" w:rsidRPr="003D1BE2">
        <w:t>n</w:t>
      </w:r>
      <w:r w:rsidRPr="003D1BE2">
        <w:t xml:space="preserve"> action item. TDPUD staff present an overview of the WMP, accomplishments, and changes to the </w:t>
      </w:r>
      <w:r w:rsidR="004C1653">
        <w:t>B</w:t>
      </w:r>
      <w:r w:rsidRPr="003D1BE2">
        <w:t>oard members and the general public. After the conclusion of the presentation</w:t>
      </w:r>
      <w:r w:rsidR="004C1653">
        <w:t>,</w:t>
      </w:r>
      <w:r w:rsidRPr="003D1BE2">
        <w:t xml:space="preserve"> </w:t>
      </w:r>
      <w:r w:rsidR="004C1653">
        <w:t>B</w:t>
      </w:r>
      <w:r w:rsidRPr="003D1BE2">
        <w:t xml:space="preserve">oard members allow a period for public comment. After the public comment period has ended, </w:t>
      </w:r>
      <w:r w:rsidR="004C1653">
        <w:t>B</w:t>
      </w:r>
      <w:r w:rsidRPr="003D1BE2">
        <w:t xml:space="preserve">oard members </w:t>
      </w:r>
      <w:r w:rsidR="0061578B">
        <w:t>consider adoption of</w:t>
      </w:r>
      <w:r w:rsidRPr="003D1BE2">
        <w:t xml:space="preserve"> the WMP as presented by TDPUD staff.</w:t>
      </w:r>
    </w:p>
    <w:p w14:paraId="1D12C9AE" w14:textId="0EE6492F" w:rsidR="00C008E6" w:rsidRPr="0084525D" w:rsidRDefault="00115A18" w:rsidP="00DC7BC8">
      <w:pPr>
        <w:pStyle w:val="BodyText"/>
      </w:pPr>
      <w:r w:rsidRPr="0084525D">
        <w:t>Board meeting documents</w:t>
      </w:r>
      <w:r w:rsidR="001B2D2C" w:rsidRPr="0084525D">
        <w:t>,</w:t>
      </w:r>
      <w:r w:rsidRPr="0084525D">
        <w:t xml:space="preserve"> including meeting minutes, agendas, and presentations</w:t>
      </w:r>
      <w:r w:rsidR="001B2D2C" w:rsidRPr="0084525D">
        <w:t>,</w:t>
      </w:r>
      <w:r w:rsidRPr="0084525D">
        <w:t xml:space="preserve"> </w:t>
      </w:r>
      <w:r w:rsidR="007869D9" w:rsidRPr="0084525D">
        <w:t xml:space="preserve">as well as the meeting minutes and the agenda for the adoption of the </w:t>
      </w:r>
      <w:r w:rsidR="00124D77">
        <w:t>202</w:t>
      </w:r>
      <w:r w:rsidR="00922B11">
        <w:t>6</w:t>
      </w:r>
      <w:r w:rsidR="00124D77" w:rsidRPr="0084525D">
        <w:t xml:space="preserve"> </w:t>
      </w:r>
      <w:r w:rsidR="007869D9" w:rsidRPr="0084525D">
        <w:t xml:space="preserve">WMP, </w:t>
      </w:r>
      <w:r w:rsidRPr="0084525D">
        <w:t xml:space="preserve">are available online at </w:t>
      </w:r>
      <w:r w:rsidRPr="0084525D">
        <w:lastRenderedPageBreak/>
        <w:t xml:space="preserve">the </w:t>
      </w:r>
      <w:r w:rsidR="009D30F2" w:rsidRPr="0084525D">
        <w:t>TDPUD</w:t>
      </w:r>
      <w:r w:rsidRPr="0084525D">
        <w:t xml:space="preserve"> website: </w:t>
      </w:r>
      <w:hyperlink r:id="rId22" w:history="1">
        <w:r w:rsidR="00DC7BC8" w:rsidRPr="00A42BD1">
          <w:rPr>
            <w:rStyle w:val="Hyperlink"/>
            <w:spacing w:val="-2"/>
          </w:rPr>
          <w:t>https://web.tdpud.org/WebLink/Browse.aspx?id=289229&amp;dbid=</w:t>
        </w:r>
        <w:r w:rsidR="00DC7BC8" w:rsidRPr="00A42BD1">
          <w:rPr>
            <w:rStyle w:val="Hyperlink"/>
            <w:spacing w:val="-2"/>
          </w:rPr>
          <w:br/>
          <w:t>0&amp;repo=TDPUD</w:t>
        </w:r>
      </w:hyperlink>
      <w:r w:rsidR="00C008E6" w:rsidRPr="0084525D">
        <w:t>.</w:t>
      </w:r>
    </w:p>
    <w:p w14:paraId="0892503A" w14:textId="66FFBC67" w:rsidR="00115A18" w:rsidRPr="00925D02" w:rsidRDefault="004025E8" w:rsidP="00D07962">
      <w:pPr>
        <w:pStyle w:val="Heading2"/>
        <w:rPr>
          <w:spacing w:val="4"/>
        </w:rPr>
      </w:pPr>
      <w:bookmarkStart w:id="25" w:name="_Toc135748522"/>
      <w:bookmarkStart w:id="26" w:name="_Toc236903453"/>
      <w:r>
        <w:rPr>
          <w:spacing w:val="4"/>
        </w:rPr>
        <w:t>D</w:t>
      </w:r>
      <w:r w:rsidR="00D07962" w:rsidRPr="00925D02">
        <w:rPr>
          <w:spacing w:val="4"/>
        </w:rPr>
        <w:t>.</w:t>
      </w:r>
      <w:r w:rsidR="00D07962" w:rsidRPr="00925D02">
        <w:rPr>
          <w:spacing w:val="4"/>
        </w:rPr>
        <w:tab/>
      </w:r>
      <w:r w:rsidR="00115A18" w:rsidRPr="00925D02">
        <w:rPr>
          <w:spacing w:val="4"/>
        </w:rPr>
        <w:t xml:space="preserve">Description of Where WMP Information Can </w:t>
      </w:r>
      <w:r w:rsidR="000D6660" w:rsidRPr="00925D02">
        <w:rPr>
          <w:spacing w:val="4"/>
        </w:rPr>
        <w:t>B</w:t>
      </w:r>
      <w:r w:rsidR="00115A18" w:rsidRPr="00925D02">
        <w:rPr>
          <w:spacing w:val="4"/>
        </w:rPr>
        <w:t>e Found on Utility Website</w:t>
      </w:r>
      <w:bookmarkEnd w:id="25"/>
      <w:bookmarkEnd w:id="26"/>
    </w:p>
    <w:p w14:paraId="07E66688" w14:textId="5075E9AC" w:rsidR="00115A18" w:rsidRDefault="00115A18" w:rsidP="00DC7BC8">
      <w:pPr>
        <w:pStyle w:val="BodyText"/>
      </w:pPr>
      <w:r>
        <w:t xml:space="preserve">The current version of TDPUD’s WMP is published on the utility website on the page dedicated to </w:t>
      </w:r>
      <w:r w:rsidR="00FE5AB9">
        <w:t>w</w:t>
      </w:r>
      <w:r>
        <w:t xml:space="preserve">ildfire </w:t>
      </w:r>
      <w:r w:rsidR="00FE5AB9">
        <w:t>m</w:t>
      </w:r>
      <w:r>
        <w:t xml:space="preserve">itigation, </w:t>
      </w:r>
      <w:r w:rsidR="00FE5AB9">
        <w:t>s</w:t>
      </w:r>
      <w:r>
        <w:t xml:space="preserve">afety, and </w:t>
      </w:r>
      <w:r w:rsidR="00FE5AB9">
        <w:t>e</w:t>
      </w:r>
      <w:r>
        <w:t xml:space="preserve">mergency </w:t>
      </w:r>
      <w:r w:rsidR="00FE5AB9">
        <w:t>p</w:t>
      </w:r>
      <w:r>
        <w:t>reparedness. The webpage contains information about TDPUD’s wildfire prevention mitigation efforts, links to sign up for emergency notification by the utility, and links to the WMP</w:t>
      </w:r>
      <w:r w:rsidR="002D1768">
        <w:t xml:space="preserve"> </w:t>
      </w:r>
      <w:r w:rsidR="00124D77">
        <w:t>from 202</w:t>
      </w:r>
      <w:r w:rsidR="008D714D">
        <w:t>6</w:t>
      </w:r>
      <w:r w:rsidR="00124D77">
        <w:t xml:space="preserve"> </w:t>
      </w:r>
      <w:r w:rsidR="00FE5AB9">
        <w:t>and</w:t>
      </w:r>
      <w:r>
        <w:t xml:space="preserve"> </w:t>
      </w:r>
      <w:r w:rsidR="00124D77">
        <w:t xml:space="preserve">previous WMPs and </w:t>
      </w:r>
      <w:r>
        <w:t>independent evaluator</w:t>
      </w:r>
      <w:r w:rsidR="00012CC0">
        <w:t> </w:t>
      </w:r>
      <w:r>
        <w:t>report</w:t>
      </w:r>
      <w:r w:rsidR="00124D77">
        <w:t>s</w:t>
      </w:r>
      <w:r>
        <w:t>.</w:t>
      </w:r>
    </w:p>
    <w:p w14:paraId="03FAF9E6" w14:textId="103B6716" w:rsidR="00115A18" w:rsidRDefault="00115A18" w:rsidP="00DC7BC8">
      <w:pPr>
        <w:pStyle w:val="BodyText"/>
      </w:pPr>
      <w:r>
        <w:t>This page is easily accessible from the menu on TDPUD’s home page and can be found by using the search tool on every page on the utility’s website. The link to the website</w:t>
      </w:r>
      <w:r w:rsidR="00FE5AB9">
        <w:t xml:space="preserve"> is</w:t>
      </w:r>
      <w:r>
        <w:t>:</w:t>
      </w:r>
      <w:r w:rsidR="00FE5AB9">
        <w:t xml:space="preserve"> </w:t>
      </w:r>
      <w:hyperlink r:id="rId23" w:history="1">
        <w:r w:rsidR="00FE5AB9" w:rsidRPr="00E2442E">
          <w:rPr>
            <w:rStyle w:val="Hyperlink"/>
          </w:rPr>
          <w:t>https://www.tdpud.org/departments/wildfire-emergency-preparedness</w:t>
        </w:r>
      </w:hyperlink>
      <w:r w:rsidR="00FE5AB9">
        <w:t>.</w:t>
      </w:r>
    </w:p>
    <w:p w14:paraId="44737FE3" w14:textId="190EA80A" w:rsidR="00115A18" w:rsidRDefault="004025E8" w:rsidP="00D07962">
      <w:pPr>
        <w:pStyle w:val="Heading2"/>
      </w:pPr>
      <w:bookmarkStart w:id="27" w:name="_Toc135748523"/>
      <w:bookmarkStart w:id="28" w:name="_Toc236903454"/>
      <w:r>
        <w:t>E</w:t>
      </w:r>
      <w:r w:rsidR="00D07962">
        <w:t>.</w:t>
      </w:r>
      <w:r w:rsidR="00D07962">
        <w:tab/>
      </w:r>
      <w:r w:rsidR="00806022">
        <w:t xml:space="preserve">Purpose of the </w:t>
      </w:r>
      <w:r w:rsidR="000D6660">
        <w:t>WMP</w:t>
      </w:r>
      <w:bookmarkEnd w:id="27"/>
      <w:bookmarkEnd w:id="28"/>
    </w:p>
    <w:p w14:paraId="5E3F40E2" w14:textId="51EE6107" w:rsidR="00806022" w:rsidRPr="003D1BE2" w:rsidRDefault="00806022" w:rsidP="00DC7BC8">
      <w:pPr>
        <w:pStyle w:val="BodyText"/>
      </w:pPr>
      <w:r w:rsidRPr="003D1BE2">
        <w:t xml:space="preserve">This WMP describes the range of activities and strategies </w:t>
      </w:r>
      <w:r w:rsidR="00A97307" w:rsidRPr="003D1BE2">
        <w:t>TDPUD</w:t>
      </w:r>
      <w:r w:rsidRPr="003D1BE2">
        <w:t xml:space="preserve"> is </w:t>
      </w:r>
      <w:r w:rsidR="00315912">
        <w:t>using</w:t>
      </w:r>
      <w:r w:rsidR="00315912" w:rsidRPr="003D1BE2">
        <w:t xml:space="preserve"> </w:t>
      </w:r>
      <w:r w:rsidRPr="003D1BE2">
        <w:t>to mitigate the threat of overhead power</w:t>
      </w:r>
      <w:r w:rsidR="00FE5AB9">
        <w:t xml:space="preserve"> </w:t>
      </w:r>
      <w:r w:rsidRPr="003D1BE2">
        <w:t>line</w:t>
      </w:r>
      <w:r w:rsidR="00FE5AB9">
        <w:t>-</w:t>
      </w:r>
      <w:r w:rsidRPr="003D1BE2">
        <w:t xml:space="preserve"> and equipment</w:t>
      </w:r>
      <w:r w:rsidR="00FE5AB9">
        <w:t>-</w:t>
      </w:r>
      <w:r w:rsidRPr="003D1BE2">
        <w:t>ignited wildfires, including its various programs, policies, and procedures. It addresses the unique features of TDPUD’s service area such as topography, weather, infrastructure, grid configuration</w:t>
      </w:r>
      <w:r w:rsidR="00FE5AB9">
        <w:t>,</w:t>
      </w:r>
      <w:r w:rsidRPr="003D1BE2">
        <w:t xml:space="preserve"> and potential wildfire risks. </w:t>
      </w:r>
    </w:p>
    <w:p w14:paraId="14E9987D" w14:textId="683DB725" w:rsidR="00806022" w:rsidRPr="003D1BE2" w:rsidRDefault="00806022" w:rsidP="00DC7BC8">
      <w:pPr>
        <w:pStyle w:val="BodyText"/>
      </w:pPr>
      <w:r w:rsidRPr="003D1BE2">
        <w:t xml:space="preserve">This Plan is subject to direct approval by </w:t>
      </w:r>
      <w:r w:rsidR="00A97307" w:rsidRPr="003D1BE2">
        <w:t>TDPUD</w:t>
      </w:r>
      <w:r w:rsidRPr="003D1BE2">
        <w:t xml:space="preserve">’s Board of Directors and is implemented by the General Manager. This Plan meets or exceeds the requirements of Public Utilities Code Section 8387 for publicly owned electric utilities to prepare a </w:t>
      </w:r>
      <w:r w:rsidR="00FE5AB9">
        <w:t>WMP</w:t>
      </w:r>
      <w:r w:rsidRPr="003D1BE2">
        <w:t xml:space="preserve"> by January 1, 2020, and to evaluate and update annually thereafter. </w:t>
      </w:r>
    </w:p>
    <w:p w14:paraId="0A48164C" w14:textId="607AFCAC" w:rsidR="00806022" w:rsidRPr="00806022" w:rsidRDefault="004025E8" w:rsidP="000B179C">
      <w:pPr>
        <w:pStyle w:val="Heading2"/>
      </w:pPr>
      <w:bookmarkStart w:id="29" w:name="_Toc135748524"/>
      <w:bookmarkStart w:id="30" w:name="_Toc236903455"/>
      <w:r>
        <w:t>F</w:t>
      </w:r>
      <w:r w:rsidR="00D07962">
        <w:t>.</w:t>
      </w:r>
      <w:r w:rsidR="00D07962">
        <w:tab/>
      </w:r>
      <w:r w:rsidR="00806022">
        <w:t xml:space="preserve">Organization of the </w:t>
      </w:r>
      <w:r w:rsidR="000D6660">
        <w:t>WMP</w:t>
      </w:r>
      <w:bookmarkEnd w:id="29"/>
      <w:bookmarkEnd w:id="30"/>
    </w:p>
    <w:p w14:paraId="4D077D3D" w14:textId="009CFF6C" w:rsidR="00806022" w:rsidRPr="000C013F" w:rsidRDefault="00806022" w:rsidP="00DC7BC8">
      <w:pPr>
        <w:pStyle w:val="BodyText"/>
        <w:rPr>
          <w:rFonts w:eastAsia="Times New Roman"/>
        </w:rPr>
      </w:pPr>
      <w:r w:rsidRPr="000C013F">
        <w:rPr>
          <w:rFonts w:eastAsia="Times New Roman"/>
        </w:rPr>
        <w:t xml:space="preserve">This </w:t>
      </w:r>
      <w:r w:rsidR="00411E7E">
        <w:rPr>
          <w:rFonts w:eastAsia="Times New Roman"/>
        </w:rPr>
        <w:t>WMP</w:t>
      </w:r>
      <w:r w:rsidRPr="000C013F">
        <w:rPr>
          <w:rFonts w:eastAsia="Times New Roman"/>
        </w:rPr>
        <w:t xml:space="preserve"> includes the following elements:</w:t>
      </w:r>
    </w:p>
    <w:p w14:paraId="335C6A5F" w14:textId="37263830" w:rsidR="00806022" w:rsidRPr="00DC7BC8" w:rsidRDefault="00806022" w:rsidP="00DC7BC8">
      <w:pPr>
        <w:pStyle w:val="BulletList"/>
      </w:pPr>
      <w:r w:rsidRPr="00DC7BC8">
        <w:t xml:space="preserve">Utility </w:t>
      </w:r>
      <w:r w:rsidR="00FE5AB9" w:rsidRPr="00DC7BC8">
        <w:t>o</w:t>
      </w:r>
      <w:r w:rsidRPr="00DC7BC8">
        <w:t xml:space="preserve">verview and </w:t>
      </w:r>
      <w:r w:rsidR="00FE5AB9" w:rsidRPr="00DC7BC8">
        <w:t>c</w:t>
      </w:r>
      <w:r w:rsidRPr="00DC7BC8">
        <w:t>ontext</w:t>
      </w:r>
    </w:p>
    <w:p w14:paraId="1CCD08F5" w14:textId="760AD33F" w:rsidR="00806022" w:rsidRPr="00DC7BC8" w:rsidRDefault="00806022" w:rsidP="00DC7BC8">
      <w:pPr>
        <w:pStyle w:val="BulletList"/>
      </w:pPr>
      <w:r w:rsidRPr="00DC7BC8">
        <w:t>Objectives of the Plan</w:t>
      </w:r>
    </w:p>
    <w:p w14:paraId="00DD57E1" w14:textId="18571F0F" w:rsidR="00806022" w:rsidRPr="00DC7BC8" w:rsidRDefault="00806022" w:rsidP="00DC7BC8">
      <w:pPr>
        <w:pStyle w:val="BulletList"/>
      </w:pPr>
      <w:r w:rsidRPr="00DC7BC8">
        <w:t>Roles and responsibilities for executing the Plan</w:t>
      </w:r>
    </w:p>
    <w:p w14:paraId="4681010B" w14:textId="115AF64D" w:rsidR="00806022" w:rsidRPr="00DC7BC8" w:rsidRDefault="00806022" w:rsidP="00DC7BC8">
      <w:pPr>
        <w:pStyle w:val="BulletList"/>
      </w:pPr>
      <w:r w:rsidRPr="00DC7BC8">
        <w:t>Identification of key wildfire risks and risk drivers</w:t>
      </w:r>
    </w:p>
    <w:p w14:paraId="5E11E693" w14:textId="26EEBDAF" w:rsidR="00806022" w:rsidRPr="00DC7BC8" w:rsidRDefault="00806022" w:rsidP="00DC7BC8">
      <w:pPr>
        <w:pStyle w:val="BulletList"/>
      </w:pPr>
      <w:r w:rsidRPr="00DC7BC8">
        <w:t>Description of wildfire prevention strategies</w:t>
      </w:r>
    </w:p>
    <w:p w14:paraId="23B47DE6" w14:textId="11810249" w:rsidR="00806022" w:rsidRPr="00DC7BC8" w:rsidRDefault="00806022" w:rsidP="00DC7BC8">
      <w:pPr>
        <w:pStyle w:val="BulletList"/>
      </w:pPr>
      <w:r w:rsidRPr="00DC7BC8">
        <w:t>Metrics for measuring performance of the Plan and identifying areas for improvement</w:t>
      </w:r>
    </w:p>
    <w:p w14:paraId="4245BF69" w14:textId="787CEDFB" w:rsidR="00806022" w:rsidRPr="00DC7BC8" w:rsidRDefault="00806022" w:rsidP="00DC7BC8">
      <w:pPr>
        <w:pStyle w:val="BulletList"/>
      </w:pPr>
      <w:r w:rsidRPr="00DC7BC8">
        <w:t>Annual and historical results for metrics</w:t>
      </w:r>
    </w:p>
    <w:p w14:paraId="08CD0068" w14:textId="25D67F89" w:rsidR="00806022" w:rsidRPr="00DC7BC8" w:rsidRDefault="00806022" w:rsidP="00DC7BC8">
      <w:pPr>
        <w:pStyle w:val="BulletList"/>
      </w:pPr>
      <w:r w:rsidRPr="00DC7BC8">
        <w:t xml:space="preserve">Description of </w:t>
      </w:r>
      <w:r w:rsidR="00FE5AB9" w:rsidRPr="00DC7BC8">
        <w:t>c</w:t>
      </w:r>
      <w:r w:rsidRPr="00DC7BC8">
        <w:t>ommunity outreach and education, covering communication about wildfire prevention, utility mitigation efforts and strategies, and potential de-energization and re-energization practices</w:t>
      </w:r>
    </w:p>
    <w:p w14:paraId="3B95406B" w14:textId="62CE1629" w:rsidR="00806022" w:rsidRPr="00DC7BC8" w:rsidRDefault="0078483E" w:rsidP="00DC7BC8">
      <w:pPr>
        <w:pStyle w:val="BulletList"/>
      </w:pPr>
      <w:r w:rsidRPr="00DC7BC8">
        <w:t>List of references cited</w:t>
      </w:r>
    </w:p>
    <w:p w14:paraId="43ADC7CA" w14:textId="5A61D0F1" w:rsidR="00806022" w:rsidRPr="00DC7BC8" w:rsidRDefault="0078483E" w:rsidP="00DC7BC8">
      <w:pPr>
        <w:pStyle w:val="BulletList"/>
      </w:pPr>
      <w:r w:rsidRPr="00DC7BC8">
        <w:t>Appendices</w:t>
      </w:r>
    </w:p>
    <w:p w14:paraId="4998F429" w14:textId="43F2DE2D" w:rsidR="00806022" w:rsidRPr="00806022" w:rsidRDefault="00D07962" w:rsidP="003B5CDE">
      <w:pPr>
        <w:pStyle w:val="Heading1"/>
      </w:pPr>
      <w:bookmarkStart w:id="31" w:name="_Toc135748525"/>
      <w:bookmarkStart w:id="32" w:name="_Toc236903456"/>
      <w:r>
        <w:lastRenderedPageBreak/>
        <w:t>II.</w:t>
      </w:r>
      <w:r>
        <w:tab/>
      </w:r>
      <w:r w:rsidR="00806022">
        <w:t xml:space="preserve">Objectives of the </w:t>
      </w:r>
      <w:r w:rsidR="000D6660">
        <w:t>WMP</w:t>
      </w:r>
      <w:bookmarkEnd w:id="31"/>
      <w:bookmarkEnd w:id="32"/>
    </w:p>
    <w:p w14:paraId="3B1F5603" w14:textId="2E551CA4" w:rsidR="00806022" w:rsidRDefault="00B52529" w:rsidP="00A01221">
      <w:pPr>
        <w:pStyle w:val="Heading2"/>
      </w:pPr>
      <w:bookmarkStart w:id="33" w:name="_Toc135748526"/>
      <w:bookmarkStart w:id="34" w:name="_Toc236903457"/>
      <w:r>
        <w:rPr>
          <w:noProof/>
        </w:rPr>
        <mc:AlternateContent>
          <mc:Choice Requires="wps">
            <w:drawing>
              <wp:anchor distT="0" distB="0" distL="114300" distR="114300" simplePos="0" relativeHeight="251643392" behindDoc="0" locked="0" layoutInCell="1" allowOverlap="1" wp14:anchorId="747651D4" wp14:editId="50916D9F">
                <wp:simplePos x="0" y="0"/>
                <wp:positionH relativeFrom="page">
                  <wp:posOffset>1071654</wp:posOffset>
                </wp:positionH>
                <wp:positionV relativeFrom="line">
                  <wp:posOffset>371564</wp:posOffset>
                </wp:positionV>
                <wp:extent cx="5807710" cy="90518"/>
                <wp:effectExtent l="0" t="0" r="2540" b="5080"/>
                <wp:wrapNone/>
                <wp:docPr id="572" name="Freeform 572"/>
                <wp:cNvGraphicFramePr/>
                <a:graphic xmlns:a="http://schemas.openxmlformats.org/drawingml/2006/main">
                  <a:graphicData uri="http://schemas.microsoft.com/office/word/2010/wordprocessingShape">
                    <wps:wsp>
                      <wps:cNvSpPr/>
                      <wps:spPr>
                        <a:xfrm>
                          <a:off x="0" y="0"/>
                          <a:ext cx="5807710" cy="90518"/>
                        </a:xfrm>
                        <a:custGeom>
                          <a:avLst/>
                          <a:gdLst/>
                          <a:ahLst/>
                          <a:cxnLst/>
                          <a:rect l="l" t="t" r="r" b="b"/>
                          <a:pathLst>
                            <a:path w="5807710" h="38100">
                              <a:moveTo>
                                <a:pt x="0" y="38100"/>
                              </a:moveTo>
                              <a:lnTo>
                                <a:pt x="5807710" y="38100"/>
                              </a:lnTo>
                              <a:lnTo>
                                <a:pt x="5807710" y="0"/>
                              </a:lnTo>
                              <a:lnTo>
                                <a:pt x="0" y="0"/>
                              </a:lnTo>
                              <a:lnTo>
                                <a:pt x="0" y="38100"/>
                              </a:lnTo>
                              <a:close/>
                            </a:path>
                          </a:pathLst>
                        </a:custGeom>
                        <a:solidFill>
                          <a:srgbClr val="D1EEF9">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V relativeFrom="margin">
                  <wp14:pctHeight>0</wp14:pctHeight>
                </wp14:sizeRelV>
              </wp:anchor>
            </w:drawing>
          </mc:Choice>
          <mc:Fallback>
            <w:pict>
              <v:shape w14:anchorId="38AB9280" id="Freeform 572" o:spid="_x0000_s1026" style="position:absolute;margin-left:84.4pt;margin-top:29.25pt;width:457.3pt;height:7.15pt;z-index:251643392;visibility:visible;mso-wrap-style:square;mso-height-percent:0;mso-wrap-distance-left:9pt;mso-wrap-distance-top:0;mso-wrap-distance-right:9pt;mso-wrap-distance-bottom:0;mso-position-horizontal:absolute;mso-position-horizontal-relative:page;mso-position-vertical:absolute;mso-position-vertical-relative:line;mso-height-percent:0;mso-height-relative:margin;v-text-anchor:top" coordsize="580771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ao4TwIAAH8FAAAOAAAAZHJzL2Uyb0RvYy54bWysVE2P0zAQvSPxHyzfaZKi0m7VdA90ywUB&#10;Ypcf4DqTJpJjW7a3H/+e8ThJs7AICZFD7Nhv3rx543hzf+kUO4HzrdElL2Y5Z6ClqVp9LPmPp/27&#10;FWc+CF0JZTSU/Aqe32/fvtmc7RrmpjGqAseQRPv12Za8CcGus8zLBjrhZ8aCxs3auE4E/HTHrHLi&#10;jOydyuZ5/iE7G1dZZyR4j6u7tMm3xF/XIMPXuvYQmCo5agv0dvQ+xHe23Yj10QnbtLKXIf5BRSda&#10;jUlHqp0Igj279jeqrpXOeFOHmTRdZuq6lUA1YDVF/ks1j42wQLWgOd6ONvn/Ryu/nB7tN4c2nK1f&#10;e5zGKi616+KI+tiFzLqOZsElMImLi1W+XBboqcS9u3xRrKKZ2S1YPvvwCQwRidNnH5LX1TATzTCT&#10;Fz1MHXYs9kpRrwJn2CvHGfbqkHplRYhxUV2csvNESVPy96siz6kTnTnBkyFcuBWR9pPQG0LpKXKs&#10;DAub4gfUMFrinaLpPKEFA2IYExK9Gmz8C+a1rFIZD0l4LJysHs1Avqnd3qi22rdKxfK9Ox4+KsdO&#10;An3dFQ8P+zsySCjbiLSKnuHT96/HU4IXREpHt4v5sndYm5giSVIa8bcjRLNwVRAFKP0datZWeGjm&#10;lJn+bhg1CSlBhyJtNaKCJGox1RTvgxhBqogwMteYf+TuCQZkIhm4k8oeH0OBLocxOJ2ZPwhLwWME&#10;ZTY6jMFdq417rTKFVfWZE34wKVkTXTqY6kr/H7mHfzlV2N9I8RqZflP47d7c/gQAAP//AwBQSwME&#10;FAAGAAgAAAAhAFp6qrTeAAAACgEAAA8AAABkcnMvZG93bnJldi54bWxMj8FOwzAQRO9I/IO1SNyo&#10;3ZYWK8SpCigIcWvoB7jxEke111HstuHvcU9wHM1o5k25mbxjZxxjH0jBfCaAIbXB9NQp2H/VDxJY&#10;TJqMdoFQwQ9G2FS3N6UuTLjQDs9N6lguoVhoBTaloeA8tha9jrMwIGXvO4xepyzHjptRX3K5d3wh&#10;xJp73VNesHrAV4vtsTl5Bd0437037ljXdvn5sv142weshVL3d9P2GVjCKf2F4Yqf0aHKTIdwIhOZ&#10;y3otM3pSsJIrYNeAkMtHYAcFTwsJvCr5/wvVLwAAAP//AwBQSwECLQAUAAYACAAAACEAtoM4kv4A&#10;AADhAQAAEwAAAAAAAAAAAAAAAAAAAAAAW0NvbnRlbnRfVHlwZXNdLnhtbFBLAQItABQABgAIAAAA&#10;IQA4/SH/1gAAAJQBAAALAAAAAAAAAAAAAAAAAC8BAABfcmVscy8ucmVsc1BLAQItABQABgAIAAAA&#10;IQC5wao4TwIAAH8FAAAOAAAAAAAAAAAAAAAAAC4CAABkcnMvZTJvRG9jLnhtbFBLAQItABQABgAI&#10;AAAAIQBaeqq03gAAAAoBAAAPAAAAAAAAAAAAAAAAAKkEAABkcnMvZG93bnJldi54bWxQSwUGAAAA&#10;AAQABADzAAAAtAUAAAAA&#10;" path="m,38100r5807710,l5807710,,,,,38100xe" fillcolor="#d1eef9" stroked="f" strokeweight="1pt">
                <v:path arrowok="t"/>
                <w10:wrap anchorx="page" anchory="line"/>
              </v:shape>
            </w:pict>
          </mc:Fallback>
        </mc:AlternateContent>
      </w:r>
      <w:r w:rsidR="00D07962">
        <w:t>A.</w:t>
      </w:r>
      <w:r w:rsidR="00D07962">
        <w:tab/>
      </w:r>
      <w:r w:rsidR="006C4D02">
        <w:t>Minimizing Sources of Ignition</w:t>
      </w:r>
      <w:bookmarkEnd w:id="33"/>
      <w:bookmarkEnd w:id="34"/>
    </w:p>
    <w:p w14:paraId="0B15AFC9" w14:textId="6CCFF857" w:rsidR="00604CA1" w:rsidRDefault="00604CA1" w:rsidP="00DC7BC8">
      <w:pPr>
        <w:pStyle w:val="BodyText"/>
        <w:rPr>
          <w:rFonts w:ascii="Times New Roman" w:hAnsi="Times New Roman" w:cs="Times New Roman"/>
          <w:color w:val="010302"/>
        </w:rPr>
      </w:pPr>
      <w:r>
        <w:rPr>
          <w:noProof/>
        </w:rPr>
        <mc:AlternateContent>
          <mc:Choice Requires="wps">
            <w:drawing>
              <wp:anchor distT="0" distB="0" distL="114300" distR="114300" simplePos="0" relativeHeight="251641344" behindDoc="0" locked="0" layoutInCell="1" allowOverlap="1" wp14:anchorId="1F2CE71E" wp14:editId="18AB2A6A">
                <wp:simplePos x="0" y="0"/>
                <wp:positionH relativeFrom="page">
                  <wp:posOffset>1032052</wp:posOffset>
                </wp:positionH>
                <wp:positionV relativeFrom="line">
                  <wp:posOffset>22602</wp:posOffset>
                </wp:positionV>
                <wp:extent cx="38100" cy="38100"/>
                <wp:effectExtent l="0" t="0" r="0" b="0"/>
                <wp:wrapNone/>
                <wp:docPr id="570" name="Freeform 570"/>
                <wp:cNvGraphicFramePr/>
                <a:graphic xmlns:a="http://schemas.openxmlformats.org/drawingml/2006/main">
                  <a:graphicData uri="http://schemas.microsoft.com/office/word/2010/wordprocessingShape">
                    <wps:wsp>
                      <wps:cNvSpPr/>
                      <wps:spPr>
                        <a:xfrm>
                          <a:off x="0" y="0"/>
                          <a:ext cx="38100" cy="38100"/>
                        </a:xfrm>
                        <a:custGeom>
                          <a:avLst/>
                          <a:gdLst/>
                          <a:ahLst/>
                          <a:cxnLst/>
                          <a:rect l="l" t="t" r="r" b="b"/>
                          <a:pathLst>
                            <a:path w="38100" h="38100">
                              <a:moveTo>
                                <a:pt x="0" y="38100"/>
                              </a:moveTo>
                              <a:lnTo>
                                <a:pt x="38100" y="38100"/>
                              </a:lnTo>
                              <a:lnTo>
                                <a:pt x="38100" y="0"/>
                              </a:lnTo>
                              <a:lnTo>
                                <a:pt x="0" y="0"/>
                              </a:lnTo>
                              <a:lnTo>
                                <a:pt x="0" y="38100"/>
                              </a:lnTo>
                              <a:close/>
                            </a:path>
                          </a:pathLst>
                        </a:custGeom>
                        <a:solidFill>
                          <a:srgbClr val="D1EEF9">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7828860" id="Freeform 570" o:spid="_x0000_s1026" style="position:absolute;margin-left:81.25pt;margin-top:1.8pt;width:3pt;height:3pt;z-index:251641344;visibility:visible;mso-wrap-style:square;mso-wrap-distance-left:9pt;mso-wrap-distance-top:0;mso-wrap-distance-right:9pt;mso-wrap-distance-bottom:0;mso-position-horizontal:absolute;mso-position-horizontal-relative:page;mso-position-vertical:absolute;mso-position-vertical-relative:line;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pPvRQIAAHcFAAAOAAAAZHJzL2Uyb0RvYy54bWysVMGO0zAQvSPxD1buNE0RsFu13QPdckGA&#10;2OUDXGfSWHJsy/Y27d8zHsdJtIBWWpFDPLHfPM9743hzd+kUO4Pz0uhtUS2WBQMtTC31aVv8ejy8&#10;uymYD1zXXBkN2+IKvrjbvX2z6e0aVqY1qgbHkET7dW+3RRuCXZelFy103C+MBY2LjXEdD/jpTmXt&#10;eI/snSpXy+XHsjeuts4I8B5n92mx2BF/04AI35vGQ2BqW2Btgd6O3sf4Lncbvj45blsphjL4K6ro&#10;uNS46Ui154GzJyf/oOqkcMabJiyE6UrTNFIAaUA11fKZmoeWWyAtaI63o03+/9GKb+cH+8OhDb31&#10;a49hVHFpXBdHrI9dyKzraBZcAhM4+f6mWqKjAldSiBzllCqefPgChmj4+asPyek6R7zNkbjoHDrs&#10;V+yUok6FgmGnXMGwU8fUKctDzIu1xZD1eXPW5iiudeYMj4ZQYRIwL3NCKD1HDqqeicqYPFpinbB0&#10;jlB8Xs9jwqFL2b4XMPMKM4dQxkPyNkomk0cbkG9utDdK1gepVJTu3en4WTl25ujovrq/P9zSEeXK&#10;tjzNYgfxidYi0YBP8ZxI6ehztfqE0EisTdwiJSmN+OnoUBSuCiJO6Z/QMFnjYVlRIv3VMNbEhQAd&#10;qrTU8hpSUR/mNcV7IGZQVUQYmRvcf+QeCDIykWTuVOWAj6lAl8KYnBT9o7CUPGbQzkaHMbmT2ri/&#10;KVOoatg54bNJyZro0tHUV/rvyD38u0nhcBPF62P+TenTfbn7DQAA//8DAFBLAwQUAAYACAAAACEA&#10;AD1mLtwAAAAHAQAADwAAAGRycy9kb3ducmV2LnhtbEyOwU7DMBBE70j8g7VI3KhDUU0b4lQVggMH&#10;kFpQVW5usiRR7XUUO03y92xPcHya2dmXrUdnxRm70HjScD9LQCAVvmyo0vD1+Xq3BBGiodJYT6hh&#10;wgDr/PoqM2npB9rieRcrwSMUUqOhjrFNpQxFjc6EmW+ROPvxnTORsatk2ZmBx52V8yRR0pmG+ENt&#10;WnyusTjtescah8Pk7TTsv5O3xWNx2vTD+8uH1rc34+YJRMQx/pXhos83kLPT0fdUBmGZ1XzBVQ0P&#10;CsQlV0vmo4aVApln8r9//gsAAP//AwBQSwECLQAUAAYACAAAACEAtoM4kv4AAADhAQAAEwAAAAAA&#10;AAAAAAAAAAAAAAAAW0NvbnRlbnRfVHlwZXNdLnhtbFBLAQItABQABgAIAAAAIQA4/SH/1gAAAJQB&#10;AAALAAAAAAAAAAAAAAAAAC8BAABfcmVscy8ucmVsc1BLAQItABQABgAIAAAAIQCDXpPvRQIAAHcF&#10;AAAOAAAAAAAAAAAAAAAAAC4CAABkcnMvZTJvRG9jLnhtbFBLAQItABQABgAIAAAAIQAAPWYu3AAA&#10;AAcBAAAPAAAAAAAAAAAAAAAAAJ8EAABkcnMvZG93bnJldi54bWxQSwUGAAAAAAQABADzAAAAqAUA&#10;AAAA&#10;" path="m,38100r38100,l38100,,,,,38100xe" fillcolor="#d1eef9" stroked="f" strokeweight="1pt">
                <v:path arrowok="t"/>
                <w10:wrap anchorx="page" anchory="line"/>
              </v:shape>
            </w:pict>
          </mc:Fallback>
        </mc:AlternateContent>
      </w:r>
      <w:r>
        <w:rPr>
          <w:noProof/>
        </w:rPr>
        <mc:AlternateContent>
          <mc:Choice Requires="wps">
            <w:drawing>
              <wp:anchor distT="0" distB="0" distL="114300" distR="114300" simplePos="0" relativeHeight="251639296" behindDoc="0" locked="0" layoutInCell="1" allowOverlap="1" wp14:anchorId="7986E70A" wp14:editId="7ED927ED">
                <wp:simplePos x="0" y="0"/>
                <wp:positionH relativeFrom="page">
                  <wp:posOffset>1032052</wp:posOffset>
                </wp:positionH>
                <wp:positionV relativeFrom="line">
                  <wp:posOffset>22602</wp:posOffset>
                </wp:positionV>
                <wp:extent cx="38100" cy="38100"/>
                <wp:effectExtent l="0" t="0" r="0" b="0"/>
                <wp:wrapNone/>
                <wp:docPr id="571" name="Freeform 571"/>
                <wp:cNvGraphicFramePr/>
                <a:graphic xmlns:a="http://schemas.openxmlformats.org/drawingml/2006/main">
                  <a:graphicData uri="http://schemas.microsoft.com/office/word/2010/wordprocessingShape">
                    <wps:wsp>
                      <wps:cNvSpPr/>
                      <wps:spPr>
                        <a:xfrm>
                          <a:off x="0" y="0"/>
                          <a:ext cx="38100" cy="38100"/>
                        </a:xfrm>
                        <a:custGeom>
                          <a:avLst/>
                          <a:gdLst/>
                          <a:ahLst/>
                          <a:cxnLst/>
                          <a:rect l="l" t="t" r="r" b="b"/>
                          <a:pathLst>
                            <a:path w="38100" h="38100">
                              <a:moveTo>
                                <a:pt x="0" y="38100"/>
                              </a:moveTo>
                              <a:lnTo>
                                <a:pt x="38100" y="38100"/>
                              </a:lnTo>
                              <a:lnTo>
                                <a:pt x="38100" y="0"/>
                              </a:lnTo>
                              <a:lnTo>
                                <a:pt x="0" y="0"/>
                              </a:lnTo>
                              <a:lnTo>
                                <a:pt x="0" y="38100"/>
                              </a:lnTo>
                              <a:close/>
                            </a:path>
                          </a:pathLst>
                        </a:custGeom>
                        <a:solidFill>
                          <a:srgbClr val="D1EEF9">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5FF2D4C" id="Freeform 571" o:spid="_x0000_s1026" style="position:absolute;margin-left:81.25pt;margin-top:1.8pt;width:3pt;height:3pt;z-index:251639296;visibility:visible;mso-wrap-style:square;mso-wrap-distance-left:9pt;mso-wrap-distance-top:0;mso-wrap-distance-right:9pt;mso-wrap-distance-bottom:0;mso-position-horizontal:absolute;mso-position-horizontal-relative:page;mso-position-vertical:absolute;mso-position-vertical-relative:line;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pPvRQIAAHcFAAAOAAAAZHJzL2Uyb0RvYy54bWysVMGO0zAQvSPxD1buNE0RsFu13QPdckGA&#10;2OUDXGfSWHJsy/Y27d8zHsdJtIBWWpFDPLHfPM9743hzd+kUO4Pz0uhtUS2WBQMtTC31aVv8ejy8&#10;uymYD1zXXBkN2+IKvrjbvX2z6e0aVqY1qgbHkET7dW+3RRuCXZelFy103C+MBY2LjXEdD/jpTmXt&#10;eI/snSpXy+XHsjeuts4I8B5n92mx2BF/04AI35vGQ2BqW2Btgd6O3sf4Lncbvj45blsphjL4K6ro&#10;uNS46Ui154GzJyf/oOqkcMabJiyE6UrTNFIAaUA11fKZmoeWWyAtaI63o03+/9GKb+cH+8OhDb31&#10;a49hVHFpXBdHrI9dyKzraBZcAhM4+f6mWqKjAldSiBzllCqefPgChmj4+asPyek6R7zNkbjoHDrs&#10;V+yUok6FgmGnXMGwU8fUKctDzIu1xZD1eXPW5iiudeYMj4ZQYRIwL3NCKD1HDqqeicqYPFpinbB0&#10;jlB8Xs9jwqFL2b4XMPMKM4dQxkPyNkomk0cbkG9utDdK1gepVJTu3en4WTl25ujovrq/P9zSEeXK&#10;tjzNYgfxidYi0YBP8ZxI6ehztfqE0EisTdwiJSmN+OnoUBSuCiJO6Z/QMFnjYVlRIv3VMNbEhQAd&#10;qrTU8hpSUR/mNcV7IGZQVUQYmRvcf+QeCDIykWTuVOWAj6lAl8KYnBT9o7CUPGbQzkaHMbmT2ri/&#10;KVOoatg54bNJyZro0tHUV/rvyD38u0nhcBPF62P+TenTfbn7DQAA//8DAFBLAwQUAAYACAAAACEA&#10;AD1mLtwAAAAHAQAADwAAAGRycy9kb3ducmV2LnhtbEyOwU7DMBBE70j8g7VI3KhDUU0b4lQVggMH&#10;kFpQVW5usiRR7XUUO03y92xPcHya2dmXrUdnxRm70HjScD9LQCAVvmyo0vD1+Xq3BBGiodJYT6hh&#10;wgDr/PoqM2npB9rieRcrwSMUUqOhjrFNpQxFjc6EmW+ROPvxnTORsatk2ZmBx52V8yRR0pmG+ENt&#10;WnyusTjtescah8Pk7TTsv5O3xWNx2vTD+8uH1rc34+YJRMQx/pXhos83kLPT0fdUBmGZ1XzBVQ0P&#10;CsQlV0vmo4aVApln8r9//gsAAP//AwBQSwECLQAUAAYACAAAACEAtoM4kv4AAADhAQAAEwAAAAAA&#10;AAAAAAAAAAAAAAAAW0NvbnRlbnRfVHlwZXNdLnhtbFBLAQItABQABgAIAAAAIQA4/SH/1gAAAJQB&#10;AAALAAAAAAAAAAAAAAAAAC8BAABfcmVscy8ucmVsc1BLAQItABQABgAIAAAAIQCDXpPvRQIAAHcF&#10;AAAOAAAAAAAAAAAAAAAAAC4CAABkcnMvZTJvRG9jLnhtbFBLAQItABQABgAIAAAAIQAAPWYu3AAA&#10;AAcBAAAPAAAAAAAAAAAAAAAAAJ8EAABkcnMvZG93bnJldi54bWxQSwUGAAAAAAQABADzAAAAqAUA&#10;AAAA&#10;" path="m,38100r38100,l38100,,,,,38100xe" fillcolor="#d1eef9" stroked="f" strokeweight="1pt">
                <v:path arrowok="t"/>
                <w10:wrap anchorx="page" anchory="line"/>
              </v:shape>
            </w:pict>
          </mc:Fallback>
        </mc:AlternateContent>
      </w:r>
      <w:r>
        <w:rPr>
          <w:noProof/>
        </w:rPr>
        <mc:AlternateContent>
          <mc:Choice Requires="wps">
            <w:drawing>
              <wp:anchor distT="0" distB="0" distL="114300" distR="114300" simplePos="0" relativeHeight="251647488" behindDoc="0" locked="0" layoutInCell="1" allowOverlap="1" wp14:anchorId="58608AA4" wp14:editId="0AB39185">
                <wp:simplePos x="0" y="0"/>
                <wp:positionH relativeFrom="page">
                  <wp:posOffset>6877811</wp:posOffset>
                </wp:positionH>
                <wp:positionV relativeFrom="line">
                  <wp:posOffset>22602</wp:posOffset>
                </wp:positionV>
                <wp:extent cx="38100" cy="38100"/>
                <wp:effectExtent l="0" t="0" r="0" b="0"/>
                <wp:wrapNone/>
                <wp:docPr id="573" name="Freeform 573"/>
                <wp:cNvGraphicFramePr/>
                <a:graphic xmlns:a="http://schemas.openxmlformats.org/drawingml/2006/main">
                  <a:graphicData uri="http://schemas.microsoft.com/office/word/2010/wordprocessingShape">
                    <wps:wsp>
                      <wps:cNvSpPr/>
                      <wps:spPr>
                        <a:xfrm>
                          <a:off x="0" y="0"/>
                          <a:ext cx="38100" cy="38100"/>
                        </a:xfrm>
                        <a:custGeom>
                          <a:avLst/>
                          <a:gdLst/>
                          <a:ahLst/>
                          <a:cxnLst/>
                          <a:rect l="l" t="t" r="r" b="b"/>
                          <a:pathLst>
                            <a:path w="38100" h="38100">
                              <a:moveTo>
                                <a:pt x="0" y="38100"/>
                              </a:moveTo>
                              <a:lnTo>
                                <a:pt x="38100" y="38100"/>
                              </a:lnTo>
                              <a:lnTo>
                                <a:pt x="38100" y="0"/>
                              </a:lnTo>
                              <a:lnTo>
                                <a:pt x="0" y="0"/>
                              </a:lnTo>
                              <a:lnTo>
                                <a:pt x="0" y="38100"/>
                              </a:lnTo>
                              <a:close/>
                            </a:path>
                          </a:pathLst>
                        </a:custGeom>
                        <a:solidFill>
                          <a:srgbClr val="D1EEF9">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573F776" id="Freeform 573" o:spid="_x0000_s1026" style="position:absolute;margin-left:541.55pt;margin-top:1.8pt;width:3pt;height:3pt;z-index:251647488;visibility:visible;mso-wrap-style:square;mso-wrap-distance-left:9pt;mso-wrap-distance-top:0;mso-wrap-distance-right:9pt;mso-wrap-distance-bottom:0;mso-position-horizontal:absolute;mso-position-horizontal-relative:page;mso-position-vertical:absolute;mso-position-vertical-relative:line;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pPvRQIAAHcFAAAOAAAAZHJzL2Uyb0RvYy54bWysVMGO0zAQvSPxD1buNE0RsFu13QPdckGA&#10;2OUDXGfSWHJsy/Y27d8zHsdJtIBWWpFDPLHfPM9743hzd+kUO4Pz0uhtUS2WBQMtTC31aVv8ejy8&#10;uymYD1zXXBkN2+IKvrjbvX2z6e0aVqY1qgbHkET7dW+3RRuCXZelFy103C+MBY2LjXEdD/jpTmXt&#10;eI/snSpXy+XHsjeuts4I8B5n92mx2BF/04AI35vGQ2BqW2Btgd6O3sf4Lncbvj45blsphjL4K6ro&#10;uNS46Ui154GzJyf/oOqkcMabJiyE6UrTNFIAaUA11fKZmoeWWyAtaI63o03+/9GKb+cH+8OhDb31&#10;a49hVHFpXBdHrI9dyKzraBZcAhM4+f6mWqKjAldSiBzllCqefPgChmj4+asPyek6R7zNkbjoHDrs&#10;V+yUok6FgmGnXMGwU8fUKctDzIu1xZD1eXPW5iiudeYMj4ZQYRIwL3NCKD1HDqqeicqYPFpinbB0&#10;jlB8Xs9jwqFL2b4XMPMKM4dQxkPyNkomk0cbkG9utDdK1gepVJTu3en4WTl25ujovrq/P9zSEeXK&#10;tjzNYgfxidYi0YBP8ZxI6ehztfqE0EisTdwiJSmN+OnoUBSuCiJO6Z/QMFnjYVlRIv3VMNbEhQAd&#10;qrTU8hpSUR/mNcV7IGZQVUQYmRvcf+QeCDIykWTuVOWAj6lAl8KYnBT9o7CUPGbQzkaHMbmT2ri/&#10;KVOoatg54bNJyZro0tHUV/rvyD38u0nhcBPF62P+TenTfbn7DQAA//8DAFBLAwQUAAYACAAAACEA&#10;17Ocld8AAAAJAQAADwAAAGRycy9kb3ducmV2LnhtbEyPQU/DMAyF70j8h8hI3FgyJkpXmk4TggMH&#10;kBgIjVvWmrZa4lRNurb/Hu8Ex2c/P38v30zOihP2ofWkYblQIJBKX7VUa/j8eL5JQYRoqDLWE2qY&#10;McCmuLzITVb5kd7xtIu14BAKmdHQxNhlUoayQWfCwndIvPvxvTORZV/Lqjcjhzsrb5VKpDMt8YfG&#10;dPjYYHncDY4x9vvZ23n8+lYvd/flcTuMr09vWl9fTdsHEBGn+GeGMz7fQMFMBz9QFYRlrdLVkr0a&#10;VgmIs0Glax4cNKwTkEUu/zcofgEAAP//AwBQSwECLQAUAAYACAAAACEAtoM4kv4AAADhAQAAEwAA&#10;AAAAAAAAAAAAAAAAAAAAW0NvbnRlbnRfVHlwZXNdLnhtbFBLAQItABQABgAIAAAAIQA4/SH/1gAA&#10;AJQBAAALAAAAAAAAAAAAAAAAAC8BAABfcmVscy8ucmVsc1BLAQItABQABgAIAAAAIQCDXpPvRQIA&#10;AHcFAAAOAAAAAAAAAAAAAAAAAC4CAABkcnMvZTJvRG9jLnhtbFBLAQItABQABgAIAAAAIQDXs5yV&#10;3wAAAAkBAAAPAAAAAAAAAAAAAAAAAJ8EAABkcnMvZG93bnJldi54bWxQSwUGAAAAAAQABADzAAAA&#10;qwUAAAAA&#10;" path="m,38100r38100,l38100,,,,,38100xe" fillcolor="#d1eef9" stroked="f" strokeweight="1pt">
                <v:path arrowok="t"/>
                <w10:wrap anchorx="page" anchory="line"/>
              </v:shape>
            </w:pict>
          </mc:Fallback>
        </mc:AlternateContent>
      </w:r>
      <w:r>
        <w:rPr>
          <w:noProof/>
        </w:rPr>
        <mc:AlternateContent>
          <mc:Choice Requires="wps">
            <w:drawing>
              <wp:anchor distT="0" distB="0" distL="114300" distR="114300" simplePos="0" relativeHeight="251645440" behindDoc="0" locked="0" layoutInCell="1" allowOverlap="1" wp14:anchorId="25E249EC" wp14:editId="753ABBD2">
                <wp:simplePos x="0" y="0"/>
                <wp:positionH relativeFrom="page">
                  <wp:posOffset>6877811</wp:posOffset>
                </wp:positionH>
                <wp:positionV relativeFrom="line">
                  <wp:posOffset>22602</wp:posOffset>
                </wp:positionV>
                <wp:extent cx="38100" cy="38100"/>
                <wp:effectExtent l="0" t="0" r="0" b="0"/>
                <wp:wrapNone/>
                <wp:docPr id="574" name="Freeform 574"/>
                <wp:cNvGraphicFramePr/>
                <a:graphic xmlns:a="http://schemas.openxmlformats.org/drawingml/2006/main">
                  <a:graphicData uri="http://schemas.microsoft.com/office/word/2010/wordprocessingShape">
                    <wps:wsp>
                      <wps:cNvSpPr/>
                      <wps:spPr>
                        <a:xfrm>
                          <a:off x="0" y="0"/>
                          <a:ext cx="38100" cy="38100"/>
                        </a:xfrm>
                        <a:custGeom>
                          <a:avLst/>
                          <a:gdLst/>
                          <a:ahLst/>
                          <a:cxnLst/>
                          <a:rect l="l" t="t" r="r" b="b"/>
                          <a:pathLst>
                            <a:path w="38100" h="38100">
                              <a:moveTo>
                                <a:pt x="0" y="38100"/>
                              </a:moveTo>
                              <a:lnTo>
                                <a:pt x="38100" y="38100"/>
                              </a:lnTo>
                              <a:lnTo>
                                <a:pt x="38100" y="0"/>
                              </a:lnTo>
                              <a:lnTo>
                                <a:pt x="0" y="0"/>
                              </a:lnTo>
                              <a:lnTo>
                                <a:pt x="0" y="38100"/>
                              </a:lnTo>
                              <a:close/>
                            </a:path>
                          </a:pathLst>
                        </a:custGeom>
                        <a:solidFill>
                          <a:srgbClr val="D1EEF9">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B89E4F1" id="Freeform 574" o:spid="_x0000_s1026" style="position:absolute;margin-left:541.55pt;margin-top:1.8pt;width:3pt;height:3pt;z-index:251645440;visibility:visible;mso-wrap-style:square;mso-wrap-distance-left:9pt;mso-wrap-distance-top:0;mso-wrap-distance-right:9pt;mso-wrap-distance-bottom:0;mso-position-horizontal:absolute;mso-position-horizontal-relative:page;mso-position-vertical:absolute;mso-position-vertical-relative:line;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pPvRQIAAHcFAAAOAAAAZHJzL2Uyb0RvYy54bWysVMGO0zAQvSPxD1buNE0RsFu13QPdckGA&#10;2OUDXGfSWHJsy/Y27d8zHsdJtIBWWpFDPLHfPM9743hzd+kUO4Pz0uhtUS2WBQMtTC31aVv8ejy8&#10;uymYD1zXXBkN2+IKvrjbvX2z6e0aVqY1qgbHkET7dW+3RRuCXZelFy103C+MBY2LjXEdD/jpTmXt&#10;eI/snSpXy+XHsjeuts4I8B5n92mx2BF/04AI35vGQ2BqW2Btgd6O3sf4Lncbvj45blsphjL4K6ro&#10;uNS46Ui154GzJyf/oOqkcMabJiyE6UrTNFIAaUA11fKZmoeWWyAtaI63o03+/9GKb+cH+8OhDb31&#10;a49hVHFpXBdHrI9dyKzraBZcAhM4+f6mWqKjAldSiBzllCqefPgChmj4+asPyek6R7zNkbjoHDrs&#10;V+yUok6FgmGnXMGwU8fUKctDzIu1xZD1eXPW5iiudeYMj4ZQYRIwL3NCKD1HDqqeicqYPFpinbB0&#10;jlB8Xs9jwqFL2b4XMPMKM4dQxkPyNkomk0cbkG9utDdK1gepVJTu3en4WTl25ujovrq/P9zSEeXK&#10;tjzNYgfxidYi0YBP8ZxI6ehztfqE0EisTdwiJSmN+OnoUBSuCiJO6Z/QMFnjYVlRIv3VMNbEhQAd&#10;qrTU8hpSUR/mNcV7IGZQVUQYmRvcf+QeCDIykWTuVOWAj6lAl8KYnBT9o7CUPGbQzkaHMbmT2ri/&#10;KVOoatg54bNJyZro0tHUV/rvyD38u0nhcBPF62P+TenTfbn7DQAA//8DAFBLAwQUAAYACAAAACEA&#10;17Ocld8AAAAJAQAADwAAAGRycy9kb3ducmV2LnhtbEyPQU/DMAyF70j8h8hI3FgyJkpXmk4TggMH&#10;kBgIjVvWmrZa4lRNurb/Hu8Ex2c/P38v30zOihP2ofWkYblQIJBKX7VUa/j8eL5JQYRoqDLWE2qY&#10;McCmuLzITVb5kd7xtIu14BAKmdHQxNhlUoayQWfCwndIvPvxvTORZV/Lqjcjhzsrb5VKpDMt8YfG&#10;dPjYYHncDY4x9vvZ23n8+lYvd/flcTuMr09vWl9fTdsHEBGn+GeGMz7fQMFMBz9QFYRlrdLVkr0a&#10;VgmIs0Glax4cNKwTkEUu/zcofgEAAP//AwBQSwECLQAUAAYACAAAACEAtoM4kv4AAADhAQAAEwAA&#10;AAAAAAAAAAAAAAAAAAAAW0NvbnRlbnRfVHlwZXNdLnhtbFBLAQItABQABgAIAAAAIQA4/SH/1gAA&#10;AJQBAAALAAAAAAAAAAAAAAAAAC8BAABfcmVscy8ucmVsc1BLAQItABQABgAIAAAAIQCDXpPvRQIA&#10;AHcFAAAOAAAAAAAAAAAAAAAAAC4CAABkcnMvZTJvRG9jLnhtbFBLAQItABQABgAIAAAAIQDXs5yV&#10;3wAAAAkBAAAPAAAAAAAAAAAAAAAAAJ8EAABkcnMvZG93bnJldi54bWxQSwUGAAAAAAQABADzAAAA&#10;qwUAAAAA&#10;" path="m,38100r38100,l38100,,,,,38100xe" fillcolor="#d1eef9" stroked="f" strokeweight="1pt">
                <v:path arrowok="t"/>
                <w10:wrap anchorx="page" anchory="line"/>
              </v:shape>
            </w:pict>
          </mc:Fallback>
        </mc:AlternateContent>
      </w:r>
      <w:r>
        <w:t>The primary objective of this Plan is to establish and implement actionable measures that enhance the reliability and safety of TDPUD’s electric distribution system while reducing the likelihood that TDPUD’s infrastructure may serve as an origin or contributing factor in the ignition of wildfire. TDPUD has conducted a thorough evaluation of prudent and cost-effective enhancements to its physical assets, operational procedures, and workforce training to support this objective. In addition, TDPUD is updating its operational practices to reflect a continued commitment to responsible system management and will actively pursue additional opportunities to improve the effectiveness of this Plan. The Plan encompasses programs focused on safety, prevention, mitigation, and recovery, in alignment with applicable California State</w:t>
      </w:r>
      <w:r w:rsidR="00012CC0">
        <w:t> </w:t>
      </w:r>
      <w:r>
        <w:t xml:space="preserve">laws. </w:t>
      </w:r>
    </w:p>
    <w:p w14:paraId="3E031117" w14:textId="47927371" w:rsidR="009C5991" w:rsidRPr="006C4D02" w:rsidRDefault="00D07962" w:rsidP="00D07962">
      <w:pPr>
        <w:pStyle w:val="Heading2"/>
      </w:pPr>
      <w:bookmarkStart w:id="35" w:name="_Toc135748527"/>
      <w:bookmarkStart w:id="36" w:name="_Toc236903458"/>
      <w:r>
        <w:t>B.</w:t>
      </w:r>
      <w:r>
        <w:tab/>
      </w:r>
      <w:r w:rsidR="00F95C94">
        <w:t>Resiliency of the Electric Grid</w:t>
      </w:r>
      <w:bookmarkEnd w:id="35"/>
      <w:bookmarkEnd w:id="36"/>
    </w:p>
    <w:p w14:paraId="687F744E" w14:textId="60020649" w:rsidR="00F95C94" w:rsidRPr="003D1BE2" w:rsidRDefault="00F95C94" w:rsidP="00804066">
      <w:pPr>
        <w:pStyle w:val="BodyText"/>
      </w:pPr>
      <w:r w:rsidRPr="003D1BE2">
        <w:t xml:space="preserve">The secondary objective of this Plan is to ensure and improve, where practicable, system resiliency. System resiliency is defined by the National Infrastructure Advisory Council as the ability to reduce the magnitude and/or duration of disruptive events. As part of the development of this Plan, </w:t>
      </w:r>
      <w:r w:rsidR="00A97307" w:rsidRPr="003D1BE2">
        <w:t>TDPUD</w:t>
      </w:r>
      <w:r w:rsidRPr="003D1BE2">
        <w:t xml:space="preserve"> assesses new industry practices and technologies that will reduce the likelihood of a disruption in service and improve the timeline for restoration of service. </w:t>
      </w:r>
    </w:p>
    <w:p w14:paraId="1A4BB3A0" w14:textId="2FEA2437" w:rsidR="00F95C94" w:rsidRDefault="00D07962" w:rsidP="000B0A45">
      <w:pPr>
        <w:pStyle w:val="Heading2"/>
        <w:keepLines/>
      </w:pPr>
      <w:bookmarkStart w:id="37" w:name="_Toc135748528"/>
      <w:bookmarkStart w:id="38" w:name="_Toc236903459"/>
      <w:r>
        <w:t>C.</w:t>
      </w:r>
      <w:r>
        <w:tab/>
      </w:r>
      <w:r w:rsidR="00F95C94">
        <w:t>Minimizing Unnecessary or Ineffective Actions</w:t>
      </w:r>
      <w:bookmarkEnd w:id="37"/>
      <w:bookmarkEnd w:id="38"/>
    </w:p>
    <w:p w14:paraId="433DE4AB" w14:textId="50FA11EC" w:rsidR="005F44C7" w:rsidRDefault="00322717" w:rsidP="000B0A45">
      <w:pPr>
        <w:pStyle w:val="BodyText"/>
        <w:rPr>
          <w:rFonts w:ascii="Times New Roman" w:hAnsi="Times New Roman" w:cs="Times New Roman"/>
          <w:color w:val="010302"/>
        </w:rPr>
      </w:pPr>
      <w:r>
        <w:t>The final objective of this Plan is to evaluate the effectiveness of specific mitigation strategies as they pertain to TDPUD’s operations. In instances where an action, program component, or protocol</w:t>
      </w:r>
      <w:r>
        <w:rPr>
          <w:spacing w:val="-1"/>
        </w:rPr>
        <w:t xml:space="preserve"> is determined to be unnecessary or ineffective, TDPUD will assess the appropriateness of</w:t>
      </w:r>
      <w:r>
        <w:rPr>
          <w:rFonts w:ascii="Times New Roman" w:hAnsi="Times New Roman" w:cs="Times New Roman"/>
        </w:rPr>
        <w:t xml:space="preserve"> </w:t>
      </w:r>
      <w:r>
        <w:t xml:space="preserve">modifying or replacing the measure in question. This evaluative approach will also support the identification of more cost-effective alternatives that may yield equal or superior outcomes. This </w:t>
      </w:r>
      <w:r w:rsidR="005F44C7">
        <w:t xml:space="preserve">is especially relevant in the adoption of new technologies and operational practices, where a phased approach—from prototype development to pilot deployment to full-scale implementation—is often warranted to optimize performance and minimize the risk of unintended consequences. </w:t>
      </w:r>
    </w:p>
    <w:p w14:paraId="5B9CBCD9" w14:textId="7A4171D6" w:rsidR="00EA4612" w:rsidRDefault="00322717" w:rsidP="008238A1">
      <w:pPr>
        <w:pStyle w:val="Heading1"/>
      </w:pPr>
      <w:r>
        <w:rPr>
          <w:rFonts w:cs="Century Gothic"/>
          <w:color w:val="000000"/>
          <w:sz w:val="20"/>
          <w:szCs w:val="20"/>
        </w:rPr>
        <w:lastRenderedPageBreak/>
        <w:t xml:space="preserve"> </w:t>
      </w:r>
      <w:bookmarkStart w:id="39" w:name="_Toc135748529"/>
      <w:bookmarkStart w:id="40" w:name="_Toc236903460"/>
      <w:r w:rsidR="00D07962">
        <w:t>III.</w:t>
      </w:r>
      <w:r w:rsidR="00D07962">
        <w:tab/>
      </w:r>
      <w:r w:rsidR="00F95C94">
        <w:t>Roles and Responsibilities</w:t>
      </w:r>
      <w:bookmarkEnd w:id="39"/>
      <w:bookmarkEnd w:id="40"/>
    </w:p>
    <w:p w14:paraId="42916715" w14:textId="19F9DAE4" w:rsidR="00EA4612" w:rsidRDefault="00A97307" w:rsidP="00A2100A">
      <w:pPr>
        <w:pStyle w:val="Heading2"/>
        <w:numPr>
          <w:ilvl w:val="0"/>
          <w:numId w:val="18"/>
        </w:numPr>
      </w:pPr>
      <w:bookmarkStart w:id="41" w:name="_Toc135748530"/>
      <w:bookmarkStart w:id="42" w:name="_Toc236903461"/>
      <w:r>
        <w:t>TDPUD</w:t>
      </w:r>
      <w:r w:rsidR="00EA4612">
        <w:t xml:space="preserve"> Roles and Responsibilities</w:t>
      </w:r>
      <w:bookmarkEnd w:id="41"/>
      <w:bookmarkEnd w:id="42"/>
      <w:r w:rsidR="0071162C" w:rsidRPr="00B7066A">
        <w:t xml:space="preserve"> </w:t>
      </w:r>
    </w:p>
    <w:p w14:paraId="58D73CF3" w14:textId="77777777" w:rsidR="00EA4612" w:rsidRDefault="00EA4612" w:rsidP="00DC7BC8">
      <w:pPr>
        <w:pStyle w:val="graphic"/>
      </w:pPr>
      <w:r>
        <w:rPr>
          <w:noProof/>
        </w:rPr>
        <w:drawing>
          <wp:inline distT="0" distB="0" distL="0" distR="0" wp14:anchorId="7FBA1BF7" wp14:editId="6900361D">
            <wp:extent cx="6403975" cy="3343054"/>
            <wp:effectExtent l="0" t="19050" r="0" b="10160"/>
            <wp:docPr id="3" name="Diagram 3"/>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38171E95" w14:textId="0E5202AC" w:rsidR="005465EB" w:rsidRPr="000C013F" w:rsidRDefault="00A97307" w:rsidP="00DC7BC8">
      <w:pPr>
        <w:pStyle w:val="BodyText"/>
        <w:rPr>
          <w:rFonts w:eastAsia="Times New Roman"/>
        </w:rPr>
      </w:pPr>
      <w:r w:rsidRPr="000C013F">
        <w:rPr>
          <w:rFonts w:eastAsia="Times New Roman"/>
        </w:rPr>
        <w:t>TDPUD</w:t>
      </w:r>
      <w:r w:rsidR="005465EB" w:rsidRPr="000C013F">
        <w:rPr>
          <w:rFonts w:eastAsia="Times New Roman"/>
        </w:rPr>
        <w:t xml:space="preserve"> utilizes a Public-Owned Utility Board/General Manager reporting hierarchy.</w:t>
      </w:r>
      <w:r w:rsidR="00212C06">
        <w:rPr>
          <w:rFonts w:eastAsia="Times New Roman"/>
        </w:rPr>
        <w:t xml:space="preserve"> </w:t>
      </w:r>
    </w:p>
    <w:p w14:paraId="69FD1A8F" w14:textId="410D1F90" w:rsidR="005465EB" w:rsidRPr="000C013F" w:rsidRDefault="005465EB" w:rsidP="00DC7BC8">
      <w:pPr>
        <w:pStyle w:val="BodyText"/>
        <w:rPr>
          <w:rFonts w:eastAsia="Times New Roman"/>
        </w:rPr>
      </w:pPr>
      <w:r w:rsidRPr="000C013F">
        <w:rPr>
          <w:rFonts w:eastAsia="Times New Roman"/>
        </w:rPr>
        <w:t xml:space="preserve">Board members are elected at large by </w:t>
      </w:r>
      <w:r w:rsidR="0061578B">
        <w:rPr>
          <w:rFonts w:eastAsia="Times New Roman"/>
        </w:rPr>
        <w:t xml:space="preserve">registered voters </w:t>
      </w:r>
      <w:r w:rsidR="007726A6" w:rsidRPr="000C013F">
        <w:rPr>
          <w:rFonts w:eastAsia="Times New Roman"/>
        </w:rPr>
        <w:t>to</w:t>
      </w:r>
      <w:r w:rsidRPr="000C013F">
        <w:rPr>
          <w:rFonts w:eastAsia="Times New Roman"/>
        </w:rPr>
        <w:t xml:space="preserve"> staggered </w:t>
      </w:r>
      <w:r w:rsidR="008C5773">
        <w:rPr>
          <w:rFonts w:eastAsia="Times New Roman"/>
        </w:rPr>
        <w:t>4</w:t>
      </w:r>
      <w:r w:rsidRPr="000C013F">
        <w:rPr>
          <w:rFonts w:eastAsia="Times New Roman"/>
        </w:rPr>
        <w:t xml:space="preserve">-year terms, representing constituents across </w:t>
      </w:r>
      <w:r w:rsidR="00A97307" w:rsidRPr="000C013F">
        <w:rPr>
          <w:rFonts w:eastAsia="Times New Roman"/>
        </w:rPr>
        <w:t>TDPUD</w:t>
      </w:r>
      <w:r w:rsidRPr="000C013F">
        <w:rPr>
          <w:rFonts w:eastAsia="Times New Roman"/>
        </w:rPr>
        <w:t>’s service territory. The Board President and Vice President positions are nominated and appointed by the Board annually. The Board is responsible for adoption and oversight of all polic</w:t>
      </w:r>
      <w:r w:rsidR="00C14AE1">
        <w:rPr>
          <w:rFonts w:eastAsia="Times New Roman"/>
        </w:rPr>
        <w:t>ies</w:t>
      </w:r>
      <w:r w:rsidRPr="000C013F">
        <w:rPr>
          <w:rFonts w:eastAsia="Times New Roman"/>
        </w:rPr>
        <w:t xml:space="preserve"> and delegates the operational implementation of polic</w:t>
      </w:r>
      <w:r w:rsidR="00C14AE1">
        <w:rPr>
          <w:rFonts w:eastAsia="Times New Roman"/>
        </w:rPr>
        <w:t>ies</w:t>
      </w:r>
      <w:r w:rsidRPr="000C013F">
        <w:rPr>
          <w:rFonts w:eastAsia="Times New Roman"/>
        </w:rPr>
        <w:t xml:space="preserve"> to the General Manager.</w:t>
      </w:r>
      <w:r w:rsidR="00212C06">
        <w:rPr>
          <w:rFonts w:eastAsia="Times New Roman"/>
        </w:rPr>
        <w:t xml:space="preserve"> </w:t>
      </w:r>
    </w:p>
    <w:p w14:paraId="2DF0D763" w14:textId="537AE544" w:rsidR="005465EB" w:rsidRPr="000C013F" w:rsidRDefault="005465EB" w:rsidP="00DC7BC8">
      <w:pPr>
        <w:pStyle w:val="BodyText"/>
        <w:rPr>
          <w:rFonts w:eastAsia="Times New Roman"/>
        </w:rPr>
      </w:pPr>
      <w:r w:rsidRPr="0058296B">
        <w:t>The</w:t>
      </w:r>
      <w:r w:rsidRPr="000C013F">
        <w:rPr>
          <w:rFonts w:eastAsia="Times New Roman"/>
        </w:rPr>
        <w:t xml:space="preserve"> General Manager has full operational authority of </w:t>
      </w:r>
      <w:r w:rsidR="00A97307" w:rsidRPr="000C013F">
        <w:rPr>
          <w:rFonts w:eastAsia="Times New Roman"/>
        </w:rPr>
        <w:t>TDPUD</w:t>
      </w:r>
      <w:r w:rsidRPr="000C013F">
        <w:rPr>
          <w:rFonts w:eastAsia="Times New Roman"/>
        </w:rPr>
        <w:t xml:space="preserve"> and operates as the Chief Executive, reporting directly to the Board. The General Manager provides direction and management to all </w:t>
      </w:r>
      <w:r w:rsidR="00A97307" w:rsidRPr="000C013F">
        <w:rPr>
          <w:rFonts w:eastAsia="Times New Roman"/>
        </w:rPr>
        <w:t>TDPUD</w:t>
      </w:r>
      <w:r w:rsidRPr="000C013F">
        <w:rPr>
          <w:rFonts w:eastAsia="Times New Roman"/>
        </w:rPr>
        <w:t xml:space="preserve"> staff while implementing Board</w:t>
      </w:r>
      <w:r w:rsidR="005F1B3C">
        <w:rPr>
          <w:rFonts w:eastAsia="Times New Roman"/>
        </w:rPr>
        <w:t>-</w:t>
      </w:r>
      <w:r w:rsidRPr="000C013F">
        <w:rPr>
          <w:rFonts w:eastAsia="Times New Roman"/>
        </w:rPr>
        <w:t>adopted policy.</w:t>
      </w:r>
      <w:r w:rsidR="00212C06">
        <w:rPr>
          <w:rFonts w:eastAsia="Times New Roman"/>
        </w:rPr>
        <w:t xml:space="preserve"> </w:t>
      </w:r>
    </w:p>
    <w:p w14:paraId="0B83B8F9" w14:textId="547AE0ED" w:rsidR="005465EB" w:rsidRPr="000C013F" w:rsidRDefault="005465EB" w:rsidP="000B0A45">
      <w:pPr>
        <w:pStyle w:val="BodyText"/>
        <w:rPr>
          <w:rFonts w:eastAsia="Times New Roman"/>
        </w:rPr>
      </w:pPr>
      <w:r w:rsidRPr="000C013F">
        <w:rPr>
          <w:rFonts w:eastAsia="Times New Roman"/>
        </w:rPr>
        <w:t xml:space="preserve">The Public Information Officer (PIO)/Strategic Affairs Director serves as </w:t>
      </w:r>
      <w:r w:rsidR="00A97307" w:rsidRPr="000C013F">
        <w:rPr>
          <w:rFonts w:eastAsia="Times New Roman"/>
        </w:rPr>
        <w:t>TDPUD</w:t>
      </w:r>
      <w:r w:rsidRPr="000C013F">
        <w:rPr>
          <w:rFonts w:eastAsia="Times New Roman"/>
        </w:rPr>
        <w:t>’s public liaison to customers and outside agencies</w:t>
      </w:r>
      <w:r w:rsidR="005F1B3C">
        <w:rPr>
          <w:rFonts w:eastAsia="Times New Roman"/>
        </w:rPr>
        <w:t>,</w:t>
      </w:r>
      <w:r w:rsidRPr="000C013F">
        <w:rPr>
          <w:rFonts w:eastAsia="Times New Roman"/>
        </w:rPr>
        <w:t xml:space="preserve"> respond</w:t>
      </w:r>
      <w:r w:rsidR="005F1B3C">
        <w:rPr>
          <w:rFonts w:eastAsia="Times New Roman"/>
        </w:rPr>
        <w:t>s</w:t>
      </w:r>
      <w:r w:rsidRPr="000C013F">
        <w:rPr>
          <w:rFonts w:eastAsia="Times New Roman"/>
        </w:rPr>
        <w:t xml:space="preserve"> to requests for information, </w:t>
      </w:r>
      <w:r w:rsidR="003356FD">
        <w:rPr>
          <w:rFonts w:eastAsia="Times New Roman"/>
        </w:rPr>
        <w:t>and</w:t>
      </w:r>
      <w:r w:rsidRPr="000C013F">
        <w:rPr>
          <w:rFonts w:eastAsia="Times New Roman"/>
        </w:rPr>
        <w:t xml:space="preserve"> promulgat</w:t>
      </w:r>
      <w:r w:rsidR="005F1B3C">
        <w:rPr>
          <w:rFonts w:eastAsia="Times New Roman"/>
        </w:rPr>
        <w:t>es</w:t>
      </w:r>
      <w:r w:rsidRPr="000C013F">
        <w:rPr>
          <w:rFonts w:eastAsia="Times New Roman"/>
        </w:rPr>
        <w:t xml:space="preserve"> public awareness outreach or emergency information.</w:t>
      </w:r>
      <w:r w:rsidR="00212C06">
        <w:rPr>
          <w:rFonts w:eastAsia="Times New Roman"/>
        </w:rPr>
        <w:t xml:space="preserve"> </w:t>
      </w:r>
    </w:p>
    <w:p w14:paraId="575BF149" w14:textId="0913D50E" w:rsidR="005465EB" w:rsidRPr="000C013F" w:rsidRDefault="005465EB" w:rsidP="000B0A45">
      <w:pPr>
        <w:pStyle w:val="BodyText"/>
        <w:rPr>
          <w:rFonts w:eastAsia="Times New Roman"/>
        </w:rPr>
      </w:pPr>
      <w:r w:rsidRPr="000C013F">
        <w:rPr>
          <w:rFonts w:eastAsia="Times New Roman"/>
        </w:rPr>
        <w:t xml:space="preserve">The </w:t>
      </w:r>
      <w:r w:rsidR="00870910">
        <w:rPr>
          <w:rFonts w:eastAsia="Times New Roman"/>
        </w:rPr>
        <w:t xml:space="preserve">Director of </w:t>
      </w:r>
      <w:r w:rsidRPr="000C013F">
        <w:rPr>
          <w:rFonts w:eastAsia="Times New Roman"/>
        </w:rPr>
        <w:t xml:space="preserve">Electric </w:t>
      </w:r>
      <w:r w:rsidR="00870910">
        <w:rPr>
          <w:rFonts w:eastAsia="Times New Roman"/>
        </w:rPr>
        <w:t xml:space="preserve">Engineering and Operations </w:t>
      </w:r>
      <w:r w:rsidRPr="000C013F">
        <w:rPr>
          <w:rFonts w:eastAsia="Times New Roman"/>
        </w:rPr>
        <w:t xml:space="preserve">has overall functional management of the </w:t>
      </w:r>
      <w:r w:rsidR="005F1B3C">
        <w:rPr>
          <w:rFonts w:eastAsia="Times New Roman"/>
        </w:rPr>
        <w:t>e</w:t>
      </w:r>
      <w:r w:rsidRPr="000C013F">
        <w:rPr>
          <w:rFonts w:eastAsia="Times New Roman"/>
        </w:rPr>
        <w:t xml:space="preserve">lectric </w:t>
      </w:r>
      <w:r w:rsidR="005F1B3C">
        <w:rPr>
          <w:rFonts w:eastAsia="Times New Roman"/>
        </w:rPr>
        <w:t>u</w:t>
      </w:r>
      <w:r w:rsidRPr="000C013F">
        <w:rPr>
          <w:rFonts w:eastAsia="Times New Roman"/>
        </w:rPr>
        <w:t xml:space="preserve">tility and provides day-to-day oversight of the </w:t>
      </w:r>
      <w:r w:rsidR="005F1B3C">
        <w:rPr>
          <w:rFonts w:eastAsia="Times New Roman"/>
        </w:rPr>
        <w:t>e</w:t>
      </w:r>
      <w:r w:rsidRPr="000C013F">
        <w:rPr>
          <w:rFonts w:eastAsia="Times New Roman"/>
        </w:rPr>
        <w:t xml:space="preserve">lectric </w:t>
      </w:r>
      <w:r w:rsidR="005F1B3C">
        <w:rPr>
          <w:rFonts w:eastAsia="Times New Roman"/>
        </w:rPr>
        <w:t>u</w:t>
      </w:r>
      <w:r w:rsidRPr="000C013F">
        <w:rPr>
          <w:rFonts w:eastAsia="Times New Roman"/>
        </w:rPr>
        <w:t xml:space="preserve">tility. The </w:t>
      </w:r>
      <w:r w:rsidR="00870910">
        <w:rPr>
          <w:rFonts w:eastAsia="Times New Roman"/>
        </w:rPr>
        <w:t xml:space="preserve">Director of </w:t>
      </w:r>
      <w:r w:rsidRPr="000C013F">
        <w:rPr>
          <w:rFonts w:eastAsia="Times New Roman"/>
        </w:rPr>
        <w:t xml:space="preserve">Electric </w:t>
      </w:r>
      <w:r w:rsidR="00870910">
        <w:rPr>
          <w:rFonts w:eastAsia="Times New Roman"/>
        </w:rPr>
        <w:t xml:space="preserve">Engineering and </w:t>
      </w:r>
      <w:r w:rsidR="003356FD">
        <w:rPr>
          <w:rFonts w:eastAsia="Times New Roman"/>
        </w:rPr>
        <w:t>Operations</w:t>
      </w:r>
      <w:r w:rsidR="00870910" w:rsidRPr="000C013F">
        <w:rPr>
          <w:rFonts w:eastAsia="Times New Roman"/>
        </w:rPr>
        <w:t xml:space="preserve"> </w:t>
      </w:r>
      <w:r w:rsidRPr="000C013F">
        <w:rPr>
          <w:rFonts w:eastAsia="Times New Roman"/>
        </w:rPr>
        <w:t xml:space="preserve">utilizes the Electric Operations Manager and Electric Engineering Manager for division oversight. </w:t>
      </w:r>
    </w:p>
    <w:p w14:paraId="7D446CA3" w14:textId="2031465C" w:rsidR="005465EB" w:rsidRPr="000C013F" w:rsidRDefault="005465EB" w:rsidP="00DC7BC8">
      <w:pPr>
        <w:pStyle w:val="BodyText"/>
        <w:rPr>
          <w:rFonts w:eastAsia="Times New Roman"/>
        </w:rPr>
      </w:pPr>
      <w:r w:rsidRPr="000C013F">
        <w:rPr>
          <w:rFonts w:eastAsia="Times New Roman"/>
        </w:rPr>
        <w:lastRenderedPageBreak/>
        <w:t>The Electric Operations Manager oversees the electric utility operations, including construction</w:t>
      </w:r>
      <w:r w:rsidR="008B0789">
        <w:rPr>
          <w:rFonts w:eastAsia="Times New Roman"/>
        </w:rPr>
        <w:t>,</w:t>
      </w:r>
      <w:r w:rsidRPr="000C013F">
        <w:rPr>
          <w:rFonts w:eastAsia="Times New Roman"/>
        </w:rPr>
        <w:t xml:space="preserve"> maintenance</w:t>
      </w:r>
      <w:r w:rsidR="008B0789">
        <w:rPr>
          <w:rFonts w:eastAsia="Times New Roman"/>
        </w:rPr>
        <w:t>,</w:t>
      </w:r>
      <w:r w:rsidRPr="000C013F">
        <w:rPr>
          <w:rFonts w:eastAsia="Times New Roman"/>
        </w:rPr>
        <w:t xml:space="preserve"> and other ancillary daily duties. The Electric Operations Manager maintains functional management of assigned divisions within the </w:t>
      </w:r>
      <w:r w:rsidR="00973859">
        <w:rPr>
          <w:rFonts w:eastAsia="Times New Roman"/>
        </w:rPr>
        <w:t>e</w:t>
      </w:r>
      <w:r w:rsidRPr="000C013F">
        <w:rPr>
          <w:rFonts w:eastAsia="Times New Roman"/>
        </w:rPr>
        <w:t xml:space="preserve">lectric </w:t>
      </w:r>
      <w:r w:rsidR="00973859">
        <w:rPr>
          <w:rFonts w:eastAsia="Times New Roman"/>
        </w:rPr>
        <w:t>u</w:t>
      </w:r>
      <w:r w:rsidRPr="000C013F">
        <w:rPr>
          <w:rFonts w:eastAsia="Times New Roman"/>
        </w:rPr>
        <w:t>tility and reports to the Electric Utility Director.</w:t>
      </w:r>
    </w:p>
    <w:p w14:paraId="57BCAD40" w14:textId="2F809EDF" w:rsidR="005465EB" w:rsidRDefault="005465EB" w:rsidP="00DC7BC8">
      <w:pPr>
        <w:pStyle w:val="BodyText"/>
        <w:rPr>
          <w:rFonts w:eastAsia="Times New Roman"/>
        </w:rPr>
      </w:pPr>
      <w:r w:rsidRPr="000C013F">
        <w:rPr>
          <w:rFonts w:eastAsia="Times New Roman"/>
        </w:rPr>
        <w:t xml:space="preserve">The Electric Engineering Manager oversees the design/engineering tasks associated with distribution system modification and development/maintenance of material specifications. The Electric Engineering Manager maintains functional management </w:t>
      </w:r>
      <w:r w:rsidR="00315912">
        <w:rPr>
          <w:rFonts w:eastAsia="Times New Roman"/>
        </w:rPr>
        <w:t>of</w:t>
      </w:r>
      <w:r w:rsidR="00315912" w:rsidRPr="000C013F">
        <w:rPr>
          <w:rFonts w:eastAsia="Times New Roman"/>
        </w:rPr>
        <w:t xml:space="preserve"> </w:t>
      </w:r>
      <w:r w:rsidRPr="000C013F">
        <w:rPr>
          <w:rFonts w:eastAsia="Times New Roman"/>
        </w:rPr>
        <w:t>the electric engineering</w:t>
      </w:r>
      <w:r w:rsidR="002275FA">
        <w:rPr>
          <w:rFonts w:eastAsia="Times New Roman"/>
        </w:rPr>
        <w:t>, vegetation management,</w:t>
      </w:r>
      <w:r w:rsidR="00315912">
        <w:rPr>
          <w:rFonts w:eastAsia="Times New Roman"/>
        </w:rPr>
        <w:t xml:space="preserve"> and</w:t>
      </w:r>
      <w:r w:rsidRPr="000C013F">
        <w:rPr>
          <w:rFonts w:eastAsia="Times New Roman"/>
        </w:rPr>
        <w:t xml:space="preserve"> related tasks within the </w:t>
      </w:r>
      <w:r w:rsidR="00973859">
        <w:rPr>
          <w:rFonts w:eastAsia="Times New Roman"/>
        </w:rPr>
        <w:t>e</w:t>
      </w:r>
      <w:r w:rsidRPr="000C013F">
        <w:rPr>
          <w:rFonts w:eastAsia="Times New Roman"/>
        </w:rPr>
        <w:t xml:space="preserve">lectric </w:t>
      </w:r>
      <w:r w:rsidR="00973859">
        <w:rPr>
          <w:rFonts w:eastAsia="Times New Roman"/>
        </w:rPr>
        <w:t>u</w:t>
      </w:r>
      <w:r w:rsidRPr="000C013F">
        <w:rPr>
          <w:rFonts w:eastAsia="Times New Roman"/>
        </w:rPr>
        <w:t>tility and reports directly to the Electric Utility Director.</w:t>
      </w:r>
    </w:p>
    <w:p w14:paraId="3F01E495" w14:textId="745B9664" w:rsidR="00402638" w:rsidRDefault="00402638" w:rsidP="00DC7BC8">
      <w:pPr>
        <w:pStyle w:val="BodyText"/>
        <w:rPr>
          <w:rFonts w:eastAsia="Times New Roman"/>
        </w:rPr>
      </w:pPr>
      <w:r>
        <w:rPr>
          <w:rFonts w:eastAsia="Times New Roman"/>
        </w:rPr>
        <w:t>The Chief Financial Officer oversees the customer service, call center, and dispatch duties.</w:t>
      </w:r>
    </w:p>
    <w:p w14:paraId="6DC575A0" w14:textId="2E82A23F" w:rsidR="005465EB" w:rsidRPr="00212C06" w:rsidRDefault="00990FC7" w:rsidP="00DC7BC8">
      <w:pPr>
        <w:pStyle w:val="BodyText"/>
        <w:rPr>
          <w:rFonts w:eastAsia="Times New Roman"/>
          <w:spacing w:val="-4"/>
        </w:rPr>
      </w:pPr>
      <w:r>
        <w:rPr>
          <w:rFonts w:eastAsia="Times New Roman"/>
        </w:rPr>
        <w:t>The Director of Human Resources and Risk Management provides oversight for the development of the TDPUD’s Emergency Operations Plan (EOP)</w:t>
      </w:r>
      <w:r w:rsidR="00521483">
        <w:rPr>
          <w:rFonts w:eastAsia="Times New Roman"/>
        </w:rPr>
        <w:t xml:space="preserve">. </w:t>
      </w:r>
      <w:r w:rsidR="00A97307" w:rsidRPr="00212C06">
        <w:rPr>
          <w:rFonts w:eastAsia="Times New Roman"/>
          <w:spacing w:val="-4"/>
        </w:rPr>
        <w:t>TDPUD</w:t>
      </w:r>
      <w:r w:rsidR="005465EB" w:rsidRPr="00212C06">
        <w:rPr>
          <w:rFonts w:eastAsia="Times New Roman"/>
          <w:spacing w:val="-4"/>
        </w:rPr>
        <w:t xml:space="preserve"> staff have the following responsibilities regarding fire prevention, response</w:t>
      </w:r>
      <w:r w:rsidR="008B5A0C" w:rsidRPr="00212C06">
        <w:rPr>
          <w:rFonts w:eastAsia="Times New Roman"/>
          <w:spacing w:val="-4"/>
        </w:rPr>
        <w:t>,</w:t>
      </w:r>
      <w:r w:rsidR="005465EB" w:rsidRPr="00212C06">
        <w:rPr>
          <w:rFonts w:eastAsia="Times New Roman"/>
          <w:spacing w:val="-4"/>
        </w:rPr>
        <w:t xml:space="preserve"> and investigation:</w:t>
      </w:r>
    </w:p>
    <w:p w14:paraId="4B3E5BA2" w14:textId="46B04D25" w:rsidR="005465EB" w:rsidRPr="00DC7BC8" w:rsidRDefault="005465EB" w:rsidP="00DC7BC8">
      <w:pPr>
        <w:pStyle w:val="BulletList"/>
      </w:pPr>
      <w:r w:rsidRPr="00DC7BC8">
        <w:t>Conduct work in a manner that will minimize potential fire dangers</w:t>
      </w:r>
    </w:p>
    <w:p w14:paraId="324E2DE5" w14:textId="748C506A" w:rsidR="005465EB" w:rsidRPr="00DC7BC8" w:rsidRDefault="005465EB" w:rsidP="00DC7BC8">
      <w:pPr>
        <w:pStyle w:val="BulletList"/>
      </w:pPr>
      <w:r w:rsidRPr="00DC7BC8">
        <w:t xml:space="preserve">Take all reasonable and practicable actions to prevent and suppress fires resulting from </w:t>
      </w:r>
      <w:r w:rsidR="00A97307" w:rsidRPr="00DC7BC8">
        <w:t>TDPUD</w:t>
      </w:r>
      <w:r w:rsidRPr="00DC7BC8">
        <w:t xml:space="preserve"> electric facilities</w:t>
      </w:r>
    </w:p>
    <w:p w14:paraId="7C436E13" w14:textId="3A7F3F02" w:rsidR="005465EB" w:rsidRPr="00DC7BC8" w:rsidRDefault="005465EB" w:rsidP="00DC7BC8">
      <w:pPr>
        <w:pStyle w:val="BulletList"/>
      </w:pPr>
      <w:r w:rsidRPr="00DC7BC8">
        <w:t xml:space="preserve">Coordinate with </w:t>
      </w:r>
      <w:r w:rsidR="008B5A0C" w:rsidRPr="00DC7BC8">
        <w:t>f</w:t>
      </w:r>
      <w:r w:rsidRPr="00DC7BC8">
        <w:t xml:space="preserve">ederal, </w:t>
      </w:r>
      <w:r w:rsidR="008B5A0C" w:rsidRPr="00DC7BC8">
        <w:t>s</w:t>
      </w:r>
      <w:r w:rsidRPr="00DC7BC8">
        <w:t xml:space="preserve">tate, and </w:t>
      </w:r>
      <w:r w:rsidR="008B5A0C" w:rsidRPr="00DC7BC8">
        <w:t>l</w:t>
      </w:r>
      <w:r w:rsidRPr="00DC7BC8">
        <w:t>ocal fire management personnel to ensure that appropriate preventative measures are in place</w:t>
      </w:r>
    </w:p>
    <w:p w14:paraId="41E2BE79" w14:textId="2604D4F9" w:rsidR="005465EB" w:rsidRPr="00DC7BC8" w:rsidRDefault="005465EB" w:rsidP="00DC7BC8">
      <w:pPr>
        <w:pStyle w:val="BulletList"/>
      </w:pPr>
      <w:r w:rsidRPr="00DC7BC8">
        <w:t>Immediately report fires pursuant to specified procedures</w:t>
      </w:r>
    </w:p>
    <w:p w14:paraId="32B1ED44" w14:textId="4970B27D" w:rsidR="005465EB" w:rsidRPr="00DC7BC8" w:rsidRDefault="005465EB" w:rsidP="00DC7BC8">
      <w:pPr>
        <w:pStyle w:val="BulletList"/>
      </w:pPr>
      <w:r w:rsidRPr="00DC7BC8">
        <w:t>Take corrective action when observing or having been notified that fire protection measures have not been properly installed or maintained</w:t>
      </w:r>
    </w:p>
    <w:p w14:paraId="6EE82437" w14:textId="78A5822C" w:rsidR="005465EB" w:rsidRPr="00DC7BC8" w:rsidRDefault="005465EB" w:rsidP="00DC7BC8">
      <w:pPr>
        <w:pStyle w:val="BulletList"/>
      </w:pPr>
      <w:r w:rsidRPr="00DC7BC8">
        <w:t xml:space="preserve">Ensure compliance with relevant </w:t>
      </w:r>
      <w:r w:rsidR="008B5A0C" w:rsidRPr="00DC7BC8">
        <w:t>f</w:t>
      </w:r>
      <w:r w:rsidRPr="00DC7BC8">
        <w:t xml:space="preserve">ederal, </w:t>
      </w:r>
      <w:r w:rsidR="008B5A0C" w:rsidRPr="00DC7BC8">
        <w:t>s</w:t>
      </w:r>
      <w:r w:rsidRPr="00DC7BC8">
        <w:t>tate, and industry</w:t>
      </w:r>
      <w:r w:rsidR="004977A9" w:rsidRPr="00DC7BC8">
        <w:t>-</w:t>
      </w:r>
      <w:r w:rsidRPr="00DC7BC8">
        <w:t>standard requirements</w:t>
      </w:r>
    </w:p>
    <w:p w14:paraId="5AC23C01" w14:textId="6A4E1604" w:rsidR="005465EB" w:rsidRPr="00DC7BC8" w:rsidRDefault="005465EB" w:rsidP="00DC7BC8">
      <w:pPr>
        <w:pStyle w:val="BulletList"/>
      </w:pPr>
      <w:r w:rsidRPr="00DC7BC8">
        <w:t xml:space="preserve">Ensure that wildfire data </w:t>
      </w:r>
      <w:r w:rsidR="003A0978" w:rsidRPr="00DC7BC8">
        <w:t>are</w:t>
      </w:r>
      <w:r w:rsidRPr="00DC7BC8">
        <w:t xml:space="preserve"> appropriately collected</w:t>
      </w:r>
    </w:p>
    <w:p w14:paraId="6884CD19" w14:textId="6B74435B" w:rsidR="005465EB" w:rsidRPr="00DC7BC8" w:rsidRDefault="005465EB" w:rsidP="00DC7BC8">
      <w:pPr>
        <w:pStyle w:val="BulletList"/>
      </w:pPr>
      <w:r w:rsidRPr="00DC7BC8">
        <w:t xml:space="preserve">Practice adaptive management </w:t>
      </w:r>
      <w:r w:rsidR="007E219C" w:rsidRPr="00DC7BC8">
        <w:t xml:space="preserve">by </w:t>
      </w:r>
      <w:r w:rsidRPr="00DC7BC8">
        <w:t>reviewing past performance and data to inform and improve future plans</w:t>
      </w:r>
    </w:p>
    <w:p w14:paraId="49BD3703" w14:textId="6CE1806B" w:rsidR="005465EB" w:rsidRPr="00DC7BC8" w:rsidRDefault="005465EB" w:rsidP="00DC7BC8">
      <w:pPr>
        <w:pStyle w:val="BulletList"/>
      </w:pPr>
      <w:r w:rsidRPr="00DC7BC8">
        <w:t>Maintain adequate training programs for all relevant employees</w:t>
      </w:r>
    </w:p>
    <w:p w14:paraId="5A539228" w14:textId="4263135E" w:rsidR="00C42FF3" w:rsidRDefault="00C42FF3" w:rsidP="00A2100A">
      <w:pPr>
        <w:pStyle w:val="Heading2"/>
        <w:numPr>
          <w:ilvl w:val="0"/>
          <w:numId w:val="18"/>
        </w:numPr>
      </w:pPr>
      <w:bookmarkStart w:id="43" w:name="_Toc135748531"/>
      <w:bookmarkStart w:id="44" w:name="_Toc236903462"/>
      <w:r>
        <w:t>Coordination with Water Utilities/Department</w:t>
      </w:r>
      <w:bookmarkEnd w:id="43"/>
      <w:bookmarkEnd w:id="44"/>
    </w:p>
    <w:p w14:paraId="1E19EA3A" w14:textId="4BFF39BB" w:rsidR="00C42FF3" w:rsidRDefault="00317E2A" w:rsidP="000B0A45">
      <w:pPr>
        <w:pStyle w:val="BodyText"/>
      </w:pPr>
      <w:r w:rsidRPr="00212C06">
        <w:t>TDPUD</w:t>
      </w:r>
      <w:r w:rsidR="00C42FF3" w:rsidRPr="00212C06">
        <w:t xml:space="preserve"> owns and operates a </w:t>
      </w:r>
      <w:r w:rsidR="007E219C" w:rsidRPr="00212C06">
        <w:t>w</w:t>
      </w:r>
      <w:r w:rsidR="00C42FF3" w:rsidRPr="00212C06">
        <w:t xml:space="preserve">ater </w:t>
      </w:r>
      <w:r w:rsidR="007E219C" w:rsidRPr="00212C06">
        <w:t>u</w:t>
      </w:r>
      <w:r w:rsidR="00C42FF3" w:rsidRPr="00212C06">
        <w:t xml:space="preserve">tility within its service territory, providing retail service to approximately </w:t>
      </w:r>
      <w:r w:rsidR="00A406E7" w:rsidRPr="00212C06">
        <w:t>13,500</w:t>
      </w:r>
      <w:r w:rsidR="00C42FF3" w:rsidRPr="00212C06">
        <w:t xml:space="preserve"> customers. When electric operations could or are known to impact the water utility, </w:t>
      </w:r>
      <w:r w:rsidR="00A97307" w:rsidRPr="00212C06">
        <w:t>TDPUD</w:t>
      </w:r>
      <w:r w:rsidR="00C42FF3" w:rsidRPr="00212C06">
        <w:t xml:space="preserve"> electric and water staff will coordinate </w:t>
      </w:r>
      <w:r w:rsidR="003D1BE2" w:rsidRPr="00212C06">
        <w:t>to</w:t>
      </w:r>
      <w:r w:rsidR="00C42FF3" w:rsidRPr="00212C06">
        <w:t xml:space="preserve"> mitigate or</w:t>
      </w:r>
      <w:r w:rsidR="007E219C" w:rsidRPr="00212C06">
        <w:t>,</w:t>
      </w:r>
      <w:r w:rsidR="00C42FF3" w:rsidRPr="00212C06">
        <w:t xml:space="preserve"> where practicable, eliminate impact to electric and/or water service continuity. </w:t>
      </w:r>
      <w:r w:rsidR="00990FC7">
        <w:t xml:space="preserve">TDPUD </w:t>
      </w:r>
      <w:r w:rsidR="00992235">
        <w:t>electric and water operation</w:t>
      </w:r>
      <w:r w:rsidR="00990FC7">
        <w:t xml:space="preserve">s maintain direct coordination to ensure timely </w:t>
      </w:r>
      <w:r w:rsidR="00243802">
        <w:t xml:space="preserve">communication related to planned and unplanned </w:t>
      </w:r>
      <w:r w:rsidR="00C42FF3" w:rsidRPr="00212C06">
        <w:t xml:space="preserve">power outages that </w:t>
      </w:r>
      <w:r w:rsidR="00243802">
        <w:t xml:space="preserve">may </w:t>
      </w:r>
      <w:r w:rsidR="00C42FF3" w:rsidRPr="00212C06">
        <w:t xml:space="preserve">impact one or both enterprises. This emergency notification will be extended to the </w:t>
      </w:r>
      <w:r w:rsidR="00E478AC">
        <w:t xml:space="preserve">local public safety partners </w:t>
      </w:r>
      <w:r w:rsidR="00C42FF3" w:rsidRPr="00212C06">
        <w:t>as needed.</w:t>
      </w:r>
    </w:p>
    <w:p w14:paraId="63EE9719" w14:textId="2C577196" w:rsidR="00C42FF3" w:rsidRPr="00C42FF3" w:rsidRDefault="00C42FF3" w:rsidP="00A2100A">
      <w:pPr>
        <w:pStyle w:val="Heading2"/>
        <w:numPr>
          <w:ilvl w:val="0"/>
          <w:numId w:val="18"/>
        </w:numPr>
      </w:pPr>
      <w:bookmarkStart w:id="45" w:name="_Toc135748532"/>
      <w:bookmarkStart w:id="46" w:name="_Toc236903463"/>
      <w:r>
        <w:lastRenderedPageBreak/>
        <w:t>Coordination with Communication Infrastructure Providers</w:t>
      </w:r>
      <w:bookmarkEnd w:id="45"/>
      <w:bookmarkEnd w:id="46"/>
    </w:p>
    <w:p w14:paraId="56B9D2DA" w14:textId="287536C2" w:rsidR="005465EB" w:rsidRDefault="009B1EBE" w:rsidP="000B0A45">
      <w:pPr>
        <w:pStyle w:val="BodyText"/>
        <w:rPr>
          <w:rFonts w:eastAsia="Times New Roman"/>
        </w:rPr>
      </w:pPr>
      <w:r>
        <w:rPr>
          <w:rFonts w:eastAsia="Times New Roman"/>
        </w:rPr>
        <w:t>TDPUD</w:t>
      </w:r>
      <w:r w:rsidR="000C013F" w:rsidRPr="000C013F">
        <w:rPr>
          <w:rFonts w:eastAsia="Times New Roman"/>
        </w:rPr>
        <w:t xml:space="preserve"> has been a member of the Northern California Joint Pole Association (NCJPA) since 2014. Members of NCJPA participate voluntarily to share expenses for the installation and maintenance of new and existing utility pole structures, as well as relinquishment or removal of those structures based on interest. </w:t>
      </w:r>
      <w:r>
        <w:rPr>
          <w:rFonts w:eastAsia="Times New Roman"/>
        </w:rPr>
        <w:t>TDPUD</w:t>
      </w:r>
      <w:r w:rsidR="000C013F" w:rsidRPr="000C013F">
        <w:rPr>
          <w:rFonts w:eastAsia="Times New Roman"/>
        </w:rPr>
        <w:t xml:space="preserve"> typically acts as the coordinating agency within its service territory </w:t>
      </w:r>
      <w:r w:rsidR="00630900">
        <w:rPr>
          <w:rFonts w:eastAsia="Times New Roman"/>
        </w:rPr>
        <w:t>because</w:t>
      </w:r>
      <w:r w:rsidR="000C013F" w:rsidRPr="000C013F">
        <w:rPr>
          <w:rFonts w:eastAsia="Times New Roman"/>
        </w:rPr>
        <w:t xml:space="preserve"> </w:t>
      </w:r>
      <w:r w:rsidR="0078123F" w:rsidRPr="000C013F">
        <w:rPr>
          <w:rFonts w:eastAsia="Times New Roman"/>
        </w:rPr>
        <w:t>many of</w:t>
      </w:r>
      <w:r w:rsidR="000C013F" w:rsidRPr="000C013F">
        <w:rPr>
          <w:rFonts w:eastAsia="Times New Roman"/>
        </w:rPr>
        <w:t xml:space="preserve"> the structures were installed as solely owned </w:t>
      </w:r>
      <w:r>
        <w:rPr>
          <w:rFonts w:eastAsia="Times New Roman"/>
        </w:rPr>
        <w:t>TDPUD</w:t>
      </w:r>
      <w:r w:rsidR="000C013F" w:rsidRPr="000C013F">
        <w:rPr>
          <w:rFonts w:eastAsia="Times New Roman"/>
        </w:rPr>
        <w:t xml:space="preserve"> poles prior to joining NCJPA. The exception would be existing, solely owned communication poles within the service territory that </w:t>
      </w:r>
      <w:r>
        <w:rPr>
          <w:rFonts w:eastAsia="Times New Roman"/>
        </w:rPr>
        <w:t>TDPUD</w:t>
      </w:r>
      <w:r w:rsidR="000C013F" w:rsidRPr="000C013F">
        <w:rPr>
          <w:rFonts w:eastAsia="Times New Roman"/>
        </w:rPr>
        <w:t xml:space="preserve"> does not currently attach to. AT&amp;T is the only other NCJPA member within </w:t>
      </w:r>
      <w:r>
        <w:rPr>
          <w:rFonts w:eastAsia="Times New Roman"/>
        </w:rPr>
        <w:t>TDPUD</w:t>
      </w:r>
      <w:r w:rsidR="000C013F" w:rsidRPr="000C013F">
        <w:rPr>
          <w:rFonts w:eastAsia="Times New Roman"/>
        </w:rPr>
        <w:t xml:space="preserve">’s service territory and </w:t>
      </w:r>
      <w:r w:rsidR="00630900">
        <w:rPr>
          <w:rFonts w:eastAsia="Times New Roman"/>
        </w:rPr>
        <w:t>is</w:t>
      </w:r>
      <w:r w:rsidR="000C013F" w:rsidRPr="000C013F">
        <w:rPr>
          <w:rFonts w:eastAsia="Times New Roman"/>
        </w:rPr>
        <w:t xml:space="preserve"> responsible for the reserved communication space on utility poles. AT&amp;T manages the attachment of other communication providers within the communication space on joint poles</w:t>
      </w:r>
      <w:r w:rsidR="000C013F">
        <w:rPr>
          <w:rFonts w:eastAsia="Times New Roman"/>
        </w:rPr>
        <w:t>.</w:t>
      </w:r>
    </w:p>
    <w:p w14:paraId="3B449D73" w14:textId="1E62A4ED" w:rsidR="007A4604" w:rsidRPr="000C013F" w:rsidRDefault="007A4604" w:rsidP="000B0A45">
      <w:pPr>
        <w:pStyle w:val="BodyText"/>
      </w:pPr>
      <w:r w:rsidRPr="007A4604">
        <w:t xml:space="preserve">TDPUD has </w:t>
      </w:r>
      <w:r w:rsidR="00D26097">
        <w:t xml:space="preserve">also </w:t>
      </w:r>
      <w:r w:rsidRPr="007A4604">
        <w:t xml:space="preserve">created a list of local agencies and key </w:t>
      </w:r>
      <w:r w:rsidR="00D26097">
        <w:t xml:space="preserve">safety </w:t>
      </w:r>
      <w:r w:rsidRPr="007A4604">
        <w:t xml:space="preserve">partners </w:t>
      </w:r>
      <w:r w:rsidR="00315912">
        <w:t>that</w:t>
      </w:r>
      <w:r w:rsidR="00315912" w:rsidRPr="007A4604">
        <w:t xml:space="preserve"> </w:t>
      </w:r>
      <w:r w:rsidRPr="007A4604">
        <w:t>does include key operationa</w:t>
      </w:r>
      <w:r>
        <w:t>l</w:t>
      </w:r>
      <w:r w:rsidRPr="007A4604">
        <w:t xml:space="preserve"> and management contacts from the communication providers, Truckee Fire Protection District, and the Town of Truckee. TDPUD also has regular communication protocols through our customer account notification, </w:t>
      </w:r>
      <w:r w:rsidR="00792E5F">
        <w:t>O</w:t>
      </w:r>
      <w:r w:rsidRPr="007A4604">
        <w:t xml:space="preserve">utage </w:t>
      </w:r>
      <w:r w:rsidR="00792E5F">
        <w:t>M</w:t>
      </w:r>
      <w:r w:rsidRPr="007A4604">
        <w:t xml:space="preserve">anagement </w:t>
      </w:r>
      <w:r w:rsidR="00792E5F">
        <w:t>S</w:t>
      </w:r>
      <w:r w:rsidRPr="007A4604">
        <w:t>ystem, and our website.</w:t>
      </w:r>
    </w:p>
    <w:p w14:paraId="52466514" w14:textId="3FCA8437" w:rsidR="00547CE6" w:rsidRDefault="00547CE6" w:rsidP="00A2100A">
      <w:pPr>
        <w:pStyle w:val="Heading2"/>
        <w:numPr>
          <w:ilvl w:val="0"/>
          <w:numId w:val="18"/>
        </w:numPr>
      </w:pPr>
      <w:bookmarkStart w:id="47" w:name="_Toc135748533"/>
      <w:bookmarkStart w:id="48" w:name="_Toc236903464"/>
      <w:r>
        <w:t>Standardized Emergency Management System</w:t>
      </w:r>
      <w:bookmarkEnd w:id="47"/>
      <w:bookmarkEnd w:id="48"/>
    </w:p>
    <w:p w14:paraId="4920EA9A" w14:textId="06C05768" w:rsidR="00547CE6" w:rsidRPr="00212C06" w:rsidRDefault="00A97307" w:rsidP="000B0A45">
      <w:pPr>
        <w:pStyle w:val="BodyText"/>
        <w:rPr>
          <w:rFonts w:eastAsia="Times New Roman"/>
        </w:rPr>
      </w:pPr>
      <w:r w:rsidRPr="00212C06">
        <w:rPr>
          <w:rFonts w:eastAsia="Times New Roman"/>
        </w:rPr>
        <w:t>TDPUD</w:t>
      </w:r>
      <w:r w:rsidR="00547CE6" w:rsidRPr="00212C06">
        <w:rPr>
          <w:rFonts w:eastAsia="Times New Roman"/>
        </w:rPr>
        <w:t xml:space="preserve"> has planning, communication, and coordination obligations pursuant to the California </w:t>
      </w:r>
      <w:r w:rsidR="00FE5682" w:rsidRPr="00212C06">
        <w:rPr>
          <w:rFonts w:eastAsia="Times New Roman"/>
        </w:rPr>
        <w:t xml:space="preserve">Governor’s </w:t>
      </w:r>
      <w:r w:rsidR="00547CE6" w:rsidRPr="00212C06">
        <w:rPr>
          <w:rFonts w:eastAsia="Times New Roman"/>
        </w:rPr>
        <w:t>Office of Emergency Services’ Standardized Emergency Management System (SEMS) Regulations,</w:t>
      </w:r>
      <w:r w:rsidR="00547CE6" w:rsidRPr="00212C06">
        <w:rPr>
          <w:rStyle w:val="FootnoteReference"/>
          <w:spacing w:val="-2"/>
        </w:rPr>
        <w:footnoteReference w:id="2"/>
      </w:r>
      <w:r w:rsidR="00547CE6" w:rsidRPr="00212C06">
        <w:rPr>
          <w:rFonts w:eastAsia="Times New Roman"/>
        </w:rPr>
        <w:t xml:space="preserve"> adopted in accordance with Government Code </w:t>
      </w:r>
      <w:r w:rsidR="0060456E" w:rsidRPr="00212C06">
        <w:rPr>
          <w:rFonts w:eastAsia="Times New Roman"/>
        </w:rPr>
        <w:t>S</w:t>
      </w:r>
      <w:r w:rsidR="00547CE6" w:rsidRPr="00212C06">
        <w:rPr>
          <w:rFonts w:eastAsia="Times New Roman"/>
        </w:rPr>
        <w:t>ection 8607. The SEMS Regulations specify roles, responsibilities, and structures of communications at five different levels: field response, local government, operational area, regional, and state.</w:t>
      </w:r>
      <w:r w:rsidR="00547CE6" w:rsidRPr="00212C06">
        <w:rPr>
          <w:rStyle w:val="FootnoteReference"/>
          <w:spacing w:val="-2"/>
        </w:rPr>
        <w:footnoteReference w:id="3"/>
      </w:r>
      <w:r w:rsidR="00547CE6" w:rsidRPr="00212C06">
        <w:rPr>
          <w:rFonts w:eastAsia="Times New Roman"/>
        </w:rPr>
        <w:t xml:space="preserve"> Pursuant to this </w:t>
      </w:r>
      <w:r w:rsidR="00547CE6" w:rsidRPr="00212C06">
        <w:rPr>
          <w:rFonts w:eastAsia="Times New Roman"/>
        </w:rPr>
        <w:lastRenderedPageBreak/>
        <w:t xml:space="preserve">structure, </w:t>
      </w:r>
      <w:r w:rsidRPr="00212C06">
        <w:rPr>
          <w:rFonts w:eastAsia="Times New Roman"/>
        </w:rPr>
        <w:t>TDPUD</w:t>
      </w:r>
      <w:r w:rsidR="00547CE6" w:rsidRPr="00212C06">
        <w:rPr>
          <w:rFonts w:eastAsia="Times New Roman"/>
        </w:rPr>
        <w:t xml:space="preserve"> regularly coordinates and communicates with the relevant safety agencies </w:t>
      </w:r>
      <w:r w:rsidR="0060456E" w:rsidRPr="00212C06">
        <w:rPr>
          <w:rFonts w:eastAsia="Times New Roman"/>
        </w:rPr>
        <w:t>and</w:t>
      </w:r>
      <w:r w:rsidR="00547CE6" w:rsidRPr="00212C06">
        <w:rPr>
          <w:rFonts w:eastAsia="Times New Roman"/>
        </w:rPr>
        <w:t xml:space="preserve"> other relevant local and </w:t>
      </w:r>
      <w:r w:rsidR="0060456E" w:rsidRPr="00212C06">
        <w:rPr>
          <w:rFonts w:eastAsia="Times New Roman"/>
        </w:rPr>
        <w:t>s</w:t>
      </w:r>
      <w:r w:rsidR="00547CE6" w:rsidRPr="00212C06">
        <w:rPr>
          <w:rFonts w:eastAsia="Times New Roman"/>
        </w:rPr>
        <w:t>tate agencies.</w:t>
      </w:r>
      <w:r w:rsidR="00212C06" w:rsidRPr="00212C06">
        <w:rPr>
          <w:rFonts w:eastAsia="Times New Roman"/>
        </w:rPr>
        <w:t xml:space="preserve"> </w:t>
      </w:r>
    </w:p>
    <w:p w14:paraId="3A017E04" w14:textId="495DE127" w:rsidR="0011696D" w:rsidRPr="0011696D" w:rsidRDefault="0011696D" w:rsidP="000B0A45">
      <w:pPr>
        <w:pStyle w:val="BodyText"/>
      </w:pPr>
      <w:r w:rsidRPr="0011696D">
        <w:t>TDPUD understand</w:t>
      </w:r>
      <w:r w:rsidR="00D26097">
        <w:t>s</w:t>
      </w:r>
      <w:r w:rsidRPr="0011696D">
        <w:t xml:space="preserve"> the role of SEMS in emergency communications and follows the Town of Truckee, Nevada County, and Placer County</w:t>
      </w:r>
      <w:r w:rsidR="0060456E">
        <w:t xml:space="preserve">, which </w:t>
      </w:r>
      <w:r w:rsidRPr="0011696D">
        <w:t xml:space="preserve">are </w:t>
      </w:r>
      <w:r w:rsidR="0060456E">
        <w:t>the</w:t>
      </w:r>
      <w:r w:rsidRPr="0011696D">
        <w:t xml:space="preserve"> local leads </w:t>
      </w:r>
      <w:r w:rsidR="0060456E">
        <w:t>for</w:t>
      </w:r>
      <w:r w:rsidRPr="0011696D">
        <w:t xml:space="preserve"> emergency operations and disaster response. </w:t>
      </w:r>
      <w:r w:rsidR="00243802">
        <w:t xml:space="preserve">Due </w:t>
      </w:r>
      <w:r w:rsidRPr="0011696D">
        <w:t xml:space="preserve">to emerging </w:t>
      </w:r>
      <w:r w:rsidR="00BD1444" w:rsidRPr="0011696D">
        <w:t>needs,</w:t>
      </w:r>
      <w:r w:rsidR="00243802">
        <w:t xml:space="preserve"> the TDPUD</w:t>
      </w:r>
      <w:r w:rsidRPr="0011696D">
        <w:t xml:space="preserve"> added a </w:t>
      </w:r>
      <w:r w:rsidR="00FE42BC">
        <w:t>r</w:t>
      </w:r>
      <w:r w:rsidRPr="0011696D">
        <w:t xml:space="preserve">isk </w:t>
      </w:r>
      <w:r w:rsidR="00FE42BC">
        <w:t>and</w:t>
      </w:r>
      <w:r w:rsidRPr="0011696D">
        <w:t xml:space="preserve"> </w:t>
      </w:r>
      <w:r w:rsidR="00FE42BC">
        <w:t>c</w:t>
      </w:r>
      <w:r w:rsidRPr="0011696D">
        <w:t xml:space="preserve">ompliance position. More formally implementing SEMS </w:t>
      </w:r>
      <w:r w:rsidR="00D26097">
        <w:t>was</w:t>
      </w:r>
      <w:r w:rsidR="00D26097" w:rsidRPr="0011696D">
        <w:t xml:space="preserve"> </w:t>
      </w:r>
      <w:r w:rsidRPr="0011696D">
        <w:t>a priority for 202</w:t>
      </w:r>
      <w:r w:rsidR="00591BF3">
        <w:t xml:space="preserve">4 through the </w:t>
      </w:r>
      <w:r w:rsidR="00243802">
        <w:t>development</w:t>
      </w:r>
      <w:r w:rsidR="00591BF3">
        <w:t xml:space="preserve">, adoption, and </w:t>
      </w:r>
      <w:r w:rsidR="008D4FC7">
        <w:t>implementation</w:t>
      </w:r>
      <w:r w:rsidR="00591BF3">
        <w:t xml:space="preserve"> of TDPUD’s Emergency Operations Plan (EOP)</w:t>
      </w:r>
      <w:r w:rsidR="0078123F">
        <w:t>.</w:t>
      </w:r>
    </w:p>
    <w:p w14:paraId="1D0500E8" w14:textId="568671F9" w:rsidR="00547CE6" w:rsidRPr="0011696D" w:rsidRDefault="00547CE6" w:rsidP="000B0A45">
      <w:pPr>
        <w:pStyle w:val="BodyText"/>
        <w:rPr>
          <w:rFonts w:eastAsia="Times New Roman"/>
        </w:rPr>
      </w:pPr>
      <w:r w:rsidRPr="0011696D">
        <w:rPr>
          <w:rFonts w:eastAsia="Times New Roman"/>
        </w:rPr>
        <w:t xml:space="preserve">Under the SEMS structure, a significant amount of preparation is done through advanced planning at the county level, including the coordination of effort of public, private, and nonprofit organizations. Generally, the majority of </w:t>
      </w:r>
      <w:r w:rsidR="00A97307" w:rsidRPr="0011696D">
        <w:rPr>
          <w:rFonts w:eastAsia="Times New Roman"/>
        </w:rPr>
        <w:t>TDPUD</w:t>
      </w:r>
      <w:r w:rsidRPr="0011696D">
        <w:rPr>
          <w:rFonts w:eastAsia="Times New Roman"/>
        </w:rPr>
        <w:t xml:space="preserve">’s service territory resides in Nevada County. Nevada County serves as the </w:t>
      </w:r>
      <w:r w:rsidR="003C1DC7">
        <w:rPr>
          <w:rFonts w:eastAsia="Times New Roman"/>
        </w:rPr>
        <w:t>o</w:t>
      </w:r>
      <w:r w:rsidRPr="0011696D">
        <w:rPr>
          <w:rFonts w:eastAsia="Times New Roman"/>
        </w:rPr>
        <w:t xml:space="preserve">perational </w:t>
      </w:r>
      <w:r w:rsidR="003C1DC7">
        <w:rPr>
          <w:rFonts w:eastAsia="Times New Roman"/>
        </w:rPr>
        <w:t>a</w:t>
      </w:r>
      <w:r w:rsidRPr="0011696D">
        <w:rPr>
          <w:rFonts w:eastAsia="Times New Roman"/>
        </w:rPr>
        <w:t xml:space="preserve">rea, which is guided by the Operational Area Emergency Service Council (Nevada County) and is headed by the Chairman of the Board of Supervisors (or designee). The </w:t>
      </w:r>
      <w:r w:rsidR="003C1DC7">
        <w:rPr>
          <w:rFonts w:eastAsia="Times New Roman"/>
        </w:rPr>
        <w:t>o</w:t>
      </w:r>
      <w:r w:rsidRPr="0011696D">
        <w:rPr>
          <w:rFonts w:eastAsia="Times New Roman"/>
        </w:rPr>
        <w:t xml:space="preserve">perational </w:t>
      </w:r>
      <w:r w:rsidR="003C1DC7">
        <w:rPr>
          <w:rFonts w:eastAsia="Times New Roman"/>
        </w:rPr>
        <w:t>a</w:t>
      </w:r>
      <w:r w:rsidRPr="0011696D">
        <w:rPr>
          <w:rFonts w:eastAsia="Times New Roman"/>
        </w:rPr>
        <w:t>rea includes local and regional organizations that bring relevant expertise to the wildfire prevention and recovery planning process. These participants include:</w:t>
      </w:r>
    </w:p>
    <w:p w14:paraId="72D26BEB" w14:textId="153DA938" w:rsidR="003C1DC7" w:rsidRPr="00DC7BC8" w:rsidRDefault="003C1DC7" w:rsidP="00DC7BC8">
      <w:pPr>
        <w:pStyle w:val="BulletList"/>
      </w:pPr>
      <w:r w:rsidRPr="00DC7BC8">
        <w:t>Office of Emergency Services</w:t>
      </w:r>
      <w:r w:rsidR="00547CE6" w:rsidRPr="00DC7BC8">
        <w:t xml:space="preserve"> Program Manager</w:t>
      </w:r>
      <w:r w:rsidRPr="00DC7BC8">
        <w:t>,</w:t>
      </w:r>
      <w:r w:rsidR="00547CE6" w:rsidRPr="00DC7BC8">
        <w:t xml:space="preserve"> Nevada County</w:t>
      </w:r>
      <w:r w:rsidR="00614EAB" w:rsidRPr="00DC7BC8">
        <w:t>,</w:t>
      </w:r>
      <w:r w:rsidR="00547CE6" w:rsidRPr="00DC7BC8">
        <w:t xml:space="preserve"> Paul Cummings (</w:t>
      </w:r>
      <w:r w:rsidR="00044A72" w:rsidRPr="00DC7BC8">
        <w:t>p</w:t>
      </w:r>
      <w:r w:rsidR="00547CE6" w:rsidRPr="00DC7BC8">
        <w:t>aul.</w:t>
      </w:r>
      <w:r w:rsidR="00044A72" w:rsidRPr="00DC7BC8">
        <w:t>c</w:t>
      </w:r>
      <w:r w:rsidR="00547CE6" w:rsidRPr="00DC7BC8">
        <w:t>ummings@co.nevada.ca.us, 530</w:t>
      </w:r>
      <w:r w:rsidR="00044A72" w:rsidRPr="00DC7BC8">
        <w:t>.</w:t>
      </w:r>
      <w:r w:rsidR="00547CE6" w:rsidRPr="00DC7BC8">
        <w:t>265</w:t>
      </w:r>
      <w:r w:rsidR="00044A72" w:rsidRPr="00DC7BC8">
        <w:t>.</w:t>
      </w:r>
      <w:r w:rsidR="00547CE6" w:rsidRPr="00DC7BC8">
        <w:t xml:space="preserve">1515) </w:t>
      </w:r>
    </w:p>
    <w:p w14:paraId="64007B47" w14:textId="070AC179" w:rsidR="00547CE6" w:rsidRPr="00DC7BC8" w:rsidRDefault="00547CE6" w:rsidP="00DC7BC8">
      <w:pPr>
        <w:pStyle w:val="BulletList"/>
      </w:pPr>
      <w:r w:rsidRPr="00DC7BC8">
        <w:t>City of Nevada City (or designee)</w:t>
      </w:r>
    </w:p>
    <w:p w14:paraId="01863913" w14:textId="1BEB3297" w:rsidR="00547CE6" w:rsidRPr="00DC7BC8" w:rsidRDefault="00547CE6" w:rsidP="00DC7BC8">
      <w:pPr>
        <w:pStyle w:val="BulletList"/>
      </w:pPr>
      <w:r w:rsidRPr="00DC7BC8">
        <w:t>City of Grass Valley (or designee)</w:t>
      </w:r>
    </w:p>
    <w:p w14:paraId="15483F0F" w14:textId="7D1CD3C4" w:rsidR="00547CE6" w:rsidRPr="00DC7BC8" w:rsidRDefault="00547CE6" w:rsidP="00DC7BC8">
      <w:pPr>
        <w:pStyle w:val="BulletList"/>
      </w:pPr>
      <w:r w:rsidRPr="00DC7BC8">
        <w:t>Town of Truckee (or designee)</w:t>
      </w:r>
    </w:p>
    <w:p w14:paraId="0FA7DBEC" w14:textId="017BCAA2" w:rsidR="00547CE6" w:rsidRPr="00DC7BC8" w:rsidRDefault="00547CE6" w:rsidP="00DC7BC8">
      <w:pPr>
        <w:pStyle w:val="BulletList"/>
      </w:pPr>
      <w:r w:rsidRPr="00DC7BC8">
        <w:t xml:space="preserve">Nevada Irrigation </w:t>
      </w:r>
      <w:r w:rsidR="00B97395" w:rsidRPr="00DC7BC8">
        <w:t xml:space="preserve">District </w:t>
      </w:r>
      <w:r w:rsidRPr="00DC7BC8">
        <w:t>(or designee)</w:t>
      </w:r>
    </w:p>
    <w:p w14:paraId="35ACB7ED" w14:textId="2D137CD3" w:rsidR="00547CE6" w:rsidRPr="00DC7BC8" w:rsidRDefault="00547CE6" w:rsidP="00DC7BC8">
      <w:pPr>
        <w:pStyle w:val="BulletList"/>
      </w:pPr>
      <w:r w:rsidRPr="00DC7BC8">
        <w:t>Nevada County Fire Chief’s Association (or designee)</w:t>
      </w:r>
    </w:p>
    <w:p w14:paraId="3E18D05C" w14:textId="397495D2" w:rsidR="00547CE6" w:rsidRPr="00DC7BC8" w:rsidRDefault="00547CE6" w:rsidP="00DC7BC8">
      <w:pPr>
        <w:pStyle w:val="BulletList"/>
      </w:pPr>
      <w:r w:rsidRPr="00DC7BC8">
        <w:t>Nevada County Sheriff (or designee)</w:t>
      </w:r>
    </w:p>
    <w:p w14:paraId="58FE1FB4" w14:textId="0BE97C5A" w:rsidR="00547CE6" w:rsidRPr="00DC7BC8" w:rsidRDefault="00547CE6" w:rsidP="00DC7BC8">
      <w:pPr>
        <w:pStyle w:val="BulletList"/>
      </w:pPr>
      <w:r w:rsidRPr="00DC7BC8">
        <w:t>American Red Cross (or designee)</w:t>
      </w:r>
    </w:p>
    <w:p w14:paraId="281324C4" w14:textId="15292F15" w:rsidR="00547CE6" w:rsidRPr="00DC7BC8" w:rsidRDefault="00547CE6" w:rsidP="00DC7BC8">
      <w:pPr>
        <w:pStyle w:val="BulletList"/>
      </w:pPr>
      <w:r w:rsidRPr="00DC7BC8">
        <w:t>Tahoe National Forest (or designee)</w:t>
      </w:r>
    </w:p>
    <w:p w14:paraId="01764E05" w14:textId="29D3EC5A" w:rsidR="00547CE6" w:rsidRPr="00DC7BC8" w:rsidRDefault="00547CE6" w:rsidP="00DC7BC8">
      <w:pPr>
        <w:pStyle w:val="BulletList"/>
      </w:pPr>
      <w:r w:rsidRPr="00DC7BC8">
        <w:t xml:space="preserve">California Department of Forestry </w:t>
      </w:r>
      <w:r w:rsidR="000C1C48" w:rsidRPr="00DC7BC8">
        <w:t>and</w:t>
      </w:r>
      <w:r w:rsidRPr="00DC7BC8">
        <w:t xml:space="preserve"> Fire Protection (</w:t>
      </w:r>
      <w:r w:rsidR="00C00BD4" w:rsidRPr="00DC7BC8">
        <w:t xml:space="preserve">CAL FIRE; </w:t>
      </w:r>
      <w:r w:rsidRPr="00DC7BC8">
        <w:t>or designee)</w:t>
      </w:r>
    </w:p>
    <w:p w14:paraId="329BCEFD" w14:textId="72F87F2E" w:rsidR="00547CE6" w:rsidRPr="00DC7BC8" w:rsidRDefault="007A4604" w:rsidP="00DC7BC8">
      <w:pPr>
        <w:pStyle w:val="BulletList"/>
      </w:pPr>
      <w:r w:rsidRPr="00DC7BC8">
        <w:t>Tahoe Forest</w:t>
      </w:r>
      <w:r w:rsidR="00547CE6" w:rsidRPr="00DC7BC8">
        <w:t xml:space="preserve"> Hospital</w:t>
      </w:r>
      <w:r w:rsidRPr="00DC7BC8">
        <w:t xml:space="preserve"> </w:t>
      </w:r>
      <w:r w:rsidR="007A5686" w:rsidRPr="00DC7BC8">
        <w:t>District</w:t>
      </w:r>
      <w:r w:rsidR="00547CE6" w:rsidRPr="00DC7BC8">
        <w:t xml:space="preserve"> (or designee)</w:t>
      </w:r>
    </w:p>
    <w:p w14:paraId="1E608A18" w14:textId="308C30FB" w:rsidR="00547CE6" w:rsidRPr="00DC7BC8" w:rsidRDefault="00547CE6" w:rsidP="00DC7BC8">
      <w:pPr>
        <w:pStyle w:val="BulletList"/>
      </w:pPr>
      <w:r w:rsidRPr="00DC7BC8">
        <w:t xml:space="preserve">Pacific Gas </w:t>
      </w:r>
      <w:r w:rsidR="000C1C48" w:rsidRPr="00DC7BC8">
        <w:t>and</w:t>
      </w:r>
      <w:r w:rsidRPr="00DC7BC8">
        <w:t xml:space="preserve"> Electric</w:t>
      </w:r>
      <w:r w:rsidR="000C1C48" w:rsidRPr="00DC7BC8">
        <w:t xml:space="preserve"> Company</w:t>
      </w:r>
      <w:r w:rsidRPr="00DC7BC8">
        <w:t xml:space="preserve"> (or designee)</w:t>
      </w:r>
    </w:p>
    <w:p w14:paraId="789E72F3" w14:textId="77777777" w:rsidR="00547CE6" w:rsidRPr="00DC7BC8" w:rsidRDefault="00547CE6" w:rsidP="00DC7BC8">
      <w:pPr>
        <w:pStyle w:val="BulletList"/>
      </w:pPr>
      <w:r w:rsidRPr="00DC7BC8">
        <w:t>Nevada County Public Health Administrator (or designee)</w:t>
      </w:r>
    </w:p>
    <w:p w14:paraId="71ACCD9F" w14:textId="0D3FCB3A" w:rsidR="00547CE6" w:rsidRPr="00DC7BC8" w:rsidRDefault="00547CE6" w:rsidP="00DC7BC8">
      <w:pPr>
        <w:pStyle w:val="BulletList"/>
      </w:pPr>
      <w:r w:rsidRPr="00DC7BC8">
        <w:t>Placer County Public Health Administrator (or designee)</w:t>
      </w:r>
    </w:p>
    <w:p w14:paraId="0D59403B" w14:textId="7DD763AC" w:rsidR="00547CE6" w:rsidRPr="0011696D" w:rsidRDefault="000C1C48" w:rsidP="00212C06">
      <w:pPr>
        <w:pStyle w:val="BulletList"/>
      </w:pPr>
      <w:r>
        <w:t>O</w:t>
      </w:r>
      <w:r w:rsidR="00547CE6" w:rsidRPr="0011696D">
        <w:t xml:space="preserve">thers </w:t>
      </w:r>
      <w:r>
        <w:t xml:space="preserve">that </w:t>
      </w:r>
      <w:r w:rsidR="00547CE6" w:rsidRPr="0011696D">
        <w:t xml:space="preserve">the </w:t>
      </w:r>
      <w:r w:rsidRPr="0011696D">
        <w:rPr>
          <w:rFonts w:eastAsia="Times New Roman"/>
          <w:szCs w:val="21"/>
        </w:rPr>
        <w:t xml:space="preserve">Operational Area Emergency Service </w:t>
      </w:r>
      <w:r w:rsidR="00547CE6" w:rsidRPr="0011696D">
        <w:t>Council requests be in attendance</w:t>
      </w:r>
    </w:p>
    <w:p w14:paraId="746077C0" w14:textId="701047DE" w:rsidR="0011696D" w:rsidRPr="0058296B" w:rsidRDefault="00547CE6" w:rsidP="000B0A45">
      <w:pPr>
        <w:pStyle w:val="BodyText"/>
      </w:pPr>
      <w:r w:rsidRPr="0011696D">
        <w:rPr>
          <w:rFonts w:eastAsia="Times New Roman"/>
        </w:rPr>
        <w:t xml:space="preserve">Additionally, a small portion of </w:t>
      </w:r>
      <w:r w:rsidR="00A97307" w:rsidRPr="0011696D">
        <w:rPr>
          <w:rFonts w:eastAsia="Times New Roman"/>
        </w:rPr>
        <w:t>TDPUD</w:t>
      </w:r>
      <w:r w:rsidRPr="0011696D">
        <w:rPr>
          <w:rFonts w:eastAsia="Times New Roman"/>
        </w:rPr>
        <w:t xml:space="preserve">’s service territory resides in Placer County, overseen by the Placer County Office of Emergency Services Council. The </w:t>
      </w:r>
      <w:r w:rsidR="000C1C48" w:rsidRPr="0011696D">
        <w:rPr>
          <w:rFonts w:eastAsia="Times New Roman"/>
        </w:rPr>
        <w:t>Placer County Office of Emergency Services</w:t>
      </w:r>
      <w:r w:rsidR="000C1C48">
        <w:rPr>
          <w:rFonts w:eastAsia="Times New Roman"/>
        </w:rPr>
        <w:t>’</w:t>
      </w:r>
      <w:r w:rsidRPr="0011696D">
        <w:rPr>
          <w:rFonts w:eastAsia="Times New Roman"/>
        </w:rPr>
        <w:t xml:space="preserve"> </w:t>
      </w:r>
      <w:r w:rsidR="000C1C48">
        <w:rPr>
          <w:rFonts w:eastAsia="Times New Roman"/>
        </w:rPr>
        <w:t>o</w:t>
      </w:r>
      <w:r w:rsidRPr="0011696D">
        <w:rPr>
          <w:rFonts w:eastAsia="Times New Roman"/>
        </w:rPr>
        <w:t xml:space="preserve">perational </w:t>
      </w:r>
      <w:r w:rsidR="000C1C48">
        <w:rPr>
          <w:rFonts w:eastAsia="Times New Roman"/>
        </w:rPr>
        <w:t>a</w:t>
      </w:r>
      <w:r w:rsidRPr="0011696D">
        <w:rPr>
          <w:rFonts w:eastAsia="Times New Roman"/>
        </w:rPr>
        <w:t xml:space="preserve">rea includes local and regional organizations that bring relevant expertise to the wildfire prevention and recovery planning process. </w:t>
      </w:r>
      <w:r w:rsidR="0011696D" w:rsidRPr="0011696D">
        <w:t xml:space="preserve">TDPUD staff play a formal role in emergency response through the local lead agency (either Town of Truckee, Nevada County, or Placer County). </w:t>
      </w:r>
      <w:r w:rsidR="0026225C">
        <w:t xml:space="preserve">Dependent upon the severity and scope of the incident, </w:t>
      </w:r>
      <w:r w:rsidR="0011696D" w:rsidRPr="0011696D">
        <w:t xml:space="preserve">TDPUD </w:t>
      </w:r>
      <w:r w:rsidR="0026225C">
        <w:t>may</w:t>
      </w:r>
      <w:r w:rsidR="00391141">
        <w:t xml:space="preserve"> activate its own Emergency Operations Center </w:t>
      </w:r>
      <w:r w:rsidR="0026225C">
        <w:t xml:space="preserve">(EOC) and/or participate in </w:t>
      </w:r>
      <w:r w:rsidR="0078123F">
        <w:t>an operational</w:t>
      </w:r>
      <w:r w:rsidR="0026225C">
        <w:t xml:space="preserve"> </w:t>
      </w:r>
      <w:r w:rsidR="00D80FF5">
        <w:t>area</w:t>
      </w:r>
      <w:r w:rsidR="00D80FF5" w:rsidRPr="0011696D">
        <w:t xml:space="preserve"> </w:t>
      </w:r>
      <w:r w:rsidR="00D80FF5">
        <w:t>EOC</w:t>
      </w:r>
      <w:r w:rsidR="0011696D" w:rsidRPr="0011696D">
        <w:t xml:space="preserve"> upon request</w:t>
      </w:r>
      <w:r w:rsidR="0026225C">
        <w:t>, representing the</w:t>
      </w:r>
      <w:r w:rsidR="0078123F">
        <w:t xml:space="preserve"> </w:t>
      </w:r>
      <w:r w:rsidR="0011696D" w:rsidRPr="0011696D">
        <w:t xml:space="preserve">Utilities Unit of the </w:t>
      </w:r>
      <w:r w:rsidR="0026225C">
        <w:t>EOC</w:t>
      </w:r>
      <w:r w:rsidR="0011696D" w:rsidRPr="0011696D">
        <w:t xml:space="preserve"> (note: </w:t>
      </w:r>
      <w:r w:rsidR="00D26097">
        <w:t xml:space="preserve">the </w:t>
      </w:r>
      <w:r w:rsidR="0011696D" w:rsidRPr="0011696D">
        <w:t xml:space="preserve">Truckee </w:t>
      </w:r>
      <w:r w:rsidR="006014FA">
        <w:t>area</w:t>
      </w:r>
      <w:r w:rsidR="006014FA" w:rsidRPr="0011696D">
        <w:t xml:space="preserve"> is</w:t>
      </w:r>
      <w:r w:rsidR="0011696D" w:rsidRPr="0011696D">
        <w:t xml:space="preserve"> serviced by multiple electric utilities). TDPUD also works directly with </w:t>
      </w:r>
      <w:r w:rsidR="00D52F3B">
        <w:t>its</w:t>
      </w:r>
      <w:r w:rsidR="0011696D" w:rsidRPr="0011696D">
        <w:t xml:space="preserve"> public safety partners </w:t>
      </w:r>
      <w:r w:rsidR="0078123F" w:rsidRPr="0011696D">
        <w:t>daily</w:t>
      </w:r>
      <w:r w:rsidR="0011696D" w:rsidRPr="0011696D">
        <w:t xml:space="preserve"> in </w:t>
      </w:r>
      <w:r w:rsidR="0011696D" w:rsidRPr="0011696D">
        <w:lastRenderedPageBreak/>
        <w:t xml:space="preserve">responding to outages, fire, accidents, and a </w:t>
      </w:r>
      <w:r w:rsidR="0078123F" w:rsidRPr="0011696D">
        <w:t>wide variety</w:t>
      </w:r>
      <w:r w:rsidR="0011696D" w:rsidRPr="0011696D">
        <w:t xml:space="preserve"> of emergencies. The Town of Truckee has an adopted Emergency Operations Plan </w:t>
      </w:r>
      <w:r w:rsidR="000C1C48">
        <w:t>that</w:t>
      </w:r>
      <w:r w:rsidR="0011696D" w:rsidRPr="0011696D">
        <w:t xml:space="preserve"> is periodically updated and can be found at this link</w:t>
      </w:r>
      <w:r w:rsidR="000C1C48">
        <w:t>:</w:t>
      </w:r>
      <w:r w:rsidR="0011696D" w:rsidRPr="0011696D">
        <w:t xml:space="preserve"> </w:t>
      </w:r>
      <w:hyperlink r:id="rId29" w:history="1">
        <w:r w:rsidR="0011696D">
          <w:rPr>
            <w:rStyle w:val="Hyperlink"/>
          </w:rPr>
          <w:t>https://bof.fire.ca.gov/media/420iskxo/rpc-2-b-iv-town-of-truckee-emergency-operations-plan-supplemental.pdf</w:t>
        </w:r>
      </w:hyperlink>
      <w:r w:rsidR="0011696D" w:rsidRPr="0058296B">
        <w:t xml:space="preserve">. </w:t>
      </w:r>
    </w:p>
    <w:p w14:paraId="434DE444" w14:textId="792FB239" w:rsidR="00547CE6" w:rsidRPr="0011696D" w:rsidRDefault="00A97307" w:rsidP="000B0A45">
      <w:pPr>
        <w:pStyle w:val="BodyText"/>
        <w:rPr>
          <w:rFonts w:eastAsia="Times New Roman"/>
        </w:rPr>
      </w:pPr>
      <w:bookmarkStart w:id="49" w:name="_Hlk195709259"/>
      <w:r w:rsidRPr="0011696D">
        <w:rPr>
          <w:rFonts w:eastAsia="Times New Roman"/>
        </w:rPr>
        <w:t>TDPUD</w:t>
      </w:r>
      <w:r w:rsidR="00547CE6" w:rsidRPr="0011696D">
        <w:rPr>
          <w:rFonts w:eastAsia="Times New Roman"/>
        </w:rPr>
        <w:t xml:space="preserve"> is a member of the California </w:t>
      </w:r>
      <w:r w:rsidR="000C1C48">
        <w:rPr>
          <w:rFonts w:eastAsia="Times New Roman"/>
        </w:rPr>
        <w:t>Utilities</w:t>
      </w:r>
      <w:r w:rsidR="00547CE6" w:rsidRPr="0011696D">
        <w:rPr>
          <w:rFonts w:eastAsia="Times New Roman"/>
        </w:rPr>
        <w:t xml:space="preserve"> Emergency Association</w:t>
      </w:r>
      <w:r w:rsidR="00CD06FC">
        <w:rPr>
          <w:rFonts w:eastAsia="Times New Roman"/>
        </w:rPr>
        <w:t xml:space="preserve"> (CUEA)</w:t>
      </w:r>
      <w:r w:rsidR="00547CE6" w:rsidRPr="0011696D">
        <w:rPr>
          <w:rFonts w:eastAsia="Times New Roman"/>
        </w:rPr>
        <w:t xml:space="preserve">, which plays a key role </w:t>
      </w:r>
      <w:r w:rsidR="0026225C">
        <w:rPr>
          <w:rFonts w:eastAsia="Times New Roman"/>
        </w:rPr>
        <w:t>as a statewide Incident Management Team (IMT), ensuring critical communications between utilities and</w:t>
      </w:r>
      <w:r w:rsidR="00BD1444">
        <w:rPr>
          <w:rFonts w:eastAsia="Times New Roman"/>
        </w:rPr>
        <w:t xml:space="preserve"> county or s</w:t>
      </w:r>
      <w:r w:rsidR="0026225C">
        <w:rPr>
          <w:rFonts w:eastAsia="Times New Roman"/>
        </w:rPr>
        <w:t>tate OES</w:t>
      </w:r>
      <w:r w:rsidR="00547CE6" w:rsidRPr="0011696D">
        <w:rPr>
          <w:rFonts w:eastAsia="Times New Roman"/>
        </w:rPr>
        <w:t xml:space="preserve">. </w:t>
      </w:r>
      <w:r w:rsidRPr="0011696D">
        <w:rPr>
          <w:rFonts w:eastAsia="Times New Roman"/>
        </w:rPr>
        <w:t>TDPUD</w:t>
      </w:r>
      <w:r w:rsidR="00547CE6" w:rsidRPr="0011696D">
        <w:rPr>
          <w:rFonts w:eastAsia="Times New Roman"/>
        </w:rPr>
        <w:t xml:space="preserve"> also participate</w:t>
      </w:r>
      <w:r w:rsidR="000C1C48">
        <w:rPr>
          <w:rFonts w:eastAsia="Times New Roman"/>
        </w:rPr>
        <w:t>s</w:t>
      </w:r>
      <w:r w:rsidR="00547CE6" w:rsidRPr="0011696D">
        <w:rPr>
          <w:rFonts w:eastAsia="Times New Roman"/>
        </w:rPr>
        <w:t xml:space="preserve"> in the Western Energy Institute’s Western Region Mutual Assistance Agreement, which is a mutual assistance agreement covering utilities across a number of western states. In addition to those agreements, </w:t>
      </w:r>
      <w:r w:rsidRPr="0011696D">
        <w:rPr>
          <w:rFonts w:eastAsia="Times New Roman"/>
        </w:rPr>
        <w:t>TDPUD</w:t>
      </w:r>
      <w:r w:rsidR="00547CE6" w:rsidRPr="0011696D">
        <w:rPr>
          <w:rFonts w:eastAsia="Times New Roman"/>
        </w:rPr>
        <w:t xml:space="preserve"> is also signatory to the American Public Power Association mutual aid agreement, providing nationwide access to resources for system restoration and support after a major event that exhausts </w:t>
      </w:r>
      <w:r w:rsidRPr="0011696D">
        <w:rPr>
          <w:rFonts w:eastAsia="Times New Roman"/>
        </w:rPr>
        <w:t>TDPUD</w:t>
      </w:r>
      <w:r w:rsidR="00547CE6" w:rsidRPr="0011696D">
        <w:rPr>
          <w:rFonts w:eastAsia="Times New Roman"/>
        </w:rPr>
        <w:t xml:space="preserve"> resources.</w:t>
      </w:r>
    </w:p>
    <w:bookmarkEnd w:id="49"/>
    <w:p w14:paraId="369442D8" w14:textId="3C19C5E2" w:rsidR="00547CE6" w:rsidRPr="0011696D" w:rsidRDefault="00547CE6" w:rsidP="000B0A45">
      <w:pPr>
        <w:pStyle w:val="BodyText"/>
        <w:rPr>
          <w:rFonts w:eastAsia="Times New Roman"/>
        </w:rPr>
      </w:pPr>
      <w:r w:rsidRPr="0011696D">
        <w:rPr>
          <w:rFonts w:eastAsia="Times New Roman"/>
        </w:rPr>
        <w:t xml:space="preserve">It should be noted that </w:t>
      </w:r>
      <w:r w:rsidR="00A97307" w:rsidRPr="0011696D">
        <w:rPr>
          <w:rFonts w:eastAsia="Times New Roman"/>
        </w:rPr>
        <w:t>TDPUD</w:t>
      </w:r>
      <w:r w:rsidRPr="0011696D">
        <w:rPr>
          <w:rFonts w:eastAsia="Times New Roman"/>
        </w:rPr>
        <w:t xml:space="preserve">’s service territory is largely within the Town of Truckee boundaries but does include unincorporated areas of Placer and Nevada </w:t>
      </w:r>
      <w:r w:rsidR="000C1C48">
        <w:rPr>
          <w:rFonts w:eastAsia="Times New Roman"/>
        </w:rPr>
        <w:t>Counties</w:t>
      </w:r>
      <w:r w:rsidRPr="0011696D">
        <w:rPr>
          <w:rFonts w:eastAsia="Times New Roman"/>
        </w:rPr>
        <w:t xml:space="preserve">. The Town of Truckee did not formally incorporate </w:t>
      </w:r>
      <w:r w:rsidR="000C1C48">
        <w:rPr>
          <w:rFonts w:eastAsia="Times New Roman"/>
        </w:rPr>
        <w:t>until</w:t>
      </w:r>
      <w:r w:rsidRPr="0011696D">
        <w:rPr>
          <w:rFonts w:eastAsia="Times New Roman"/>
        </w:rPr>
        <w:t xml:space="preserve"> the 1990s, leaving </w:t>
      </w:r>
      <w:r w:rsidR="000C1C48">
        <w:rPr>
          <w:rFonts w:eastAsia="Times New Roman"/>
        </w:rPr>
        <w:t>more than</w:t>
      </w:r>
      <w:r w:rsidRPr="0011696D">
        <w:rPr>
          <w:rFonts w:eastAsia="Times New Roman"/>
        </w:rPr>
        <w:t xml:space="preserve"> a dozen local governmental agencies covering utilities, fire, and other critical local functions. Each local agency, when it comes to emergency response, is aware of their role and responsibility</w:t>
      </w:r>
      <w:r w:rsidR="00BD1444">
        <w:rPr>
          <w:rFonts w:eastAsia="Times New Roman"/>
        </w:rPr>
        <w:t>,</w:t>
      </w:r>
      <w:r w:rsidRPr="0011696D">
        <w:rPr>
          <w:rFonts w:eastAsia="Times New Roman"/>
        </w:rPr>
        <w:t xml:space="preserve"> with overall management and communication strictly controlled by the appropriate </w:t>
      </w:r>
      <w:r w:rsidR="000C1C48">
        <w:rPr>
          <w:rFonts w:eastAsia="Times New Roman"/>
        </w:rPr>
        <w:t>t</w:t>
      </w:r>
      <w:r w:rsidRPr="0011696D">
        <w:rPr>
          <w:rFonts w:eastAsia="Times New Roman"/>
        </w:rPr>
        <w:t>own/</w:t>
      </w:r>
      <w:r w:rsidR="000C1C48">
        <w:rPr>
          <w:rFonts w:eastAsia="Times New Roman"/>
        </w:rPr>
        <w:t>c</w:t>
      </w:r>
      <w:r w:rsidRPr="0011696D">
        <w:rPr>
          <w:rFonts w:eastAsia="Times New Roman"/>
        </w:rPr>
        <w:t>ounty/</w:t>
      </w:r>
      <w:r w:rsidR="000C1C48">
        <w:rPr>
          <w:rFonts w:eastAsia="Times New Roman"/>
        </w:rPr>
        <w:t>s</w:t>
      </w:r>
      <w:r w:rsidRPr="0011696D">
        <w:rPr>
          <w:rFonts w:eastAsia="Times New Roman"/>
        </w:rPr>
        <w:t>tate/</w:t>
      </w:r>
      <w:r w:rsidR="000C1C48">
        <w:rPr>
          <w:rFonts w:eastAsia="Times New Roman"/>
        </w:rPr>
        <w:t>f</w:t>
      </w:r>
      <w:r w:rsidRPr="0011696D">
        <w:rPr>
          <w:rFonts w:eastAsia="Times New Roman"/>
        </w:rPr>
        <w:t xml:space="preserve">ederal emergency response agency through the </w:t>
      </w:r>
      <w:r w:rsidR="000C1C48" w:rsidRPr="0011696D">
        <w:t>Emergency Operations</w:t>
      </w:r>
      <w:r w:rsidR="00D71601">
        <w:t> </w:t>
      </w:r>
      <w:r w:rsidR="000C1C48" w:rsidRPr="0011696D">
        <w:t>Center</w:t>
      </w:r>
      <w:r w:rsidR="00E012D6" w:rsidRPr="0011696D">
        <w:rPr>
          <w:rFonts w:eastAsia="Times New Roman"/>
        </w:rPr>
        <w:t>.</w:t>
      </w:r>
    </w:p>
    <w:p w14:paraId="1D958AD3" w14:textId="2BB513A5" w:rsidR="00E012D6" w:rsidRDefault="001653F8" w:rsidP="00DC7BC8">
      <w:pPr>
        <w:pStyle w:val="Heading1"/>
        <w:keepLines/>
      </w:pPr>
      <w:bookmarkStart w:id="50" w:name="_Toc135748534"/>
      <w:bookmarkStart w:id="51" w:name="_Toc236903465"/>
      <w:r>
        <w:t>IV.</w:t>
      </w:r>
      <w:r>
        <w:tab/>
      </w:r>
      <w:r w:rsidR="00E012D6">
        <w:t>Wildfire Risks and Drivers</w:t>
      </w:r>
      <w:bookmarkEnd w:id="50"/>
      <w:bookmarkEnd w:id="51"/>
    </w:p>
    <w:p w14:paraId="0CF1BEB3" w14:textId="11AA0CC6" w:rsidR="00A647BD" w:rsidRDefault="00A647BD" w:rsidP="00A2100A">
      <w:pPr>
        <w:pStyle w:val="Heading2"/>
        <w:keepLines/>
        <w:numPr>
          <w:ilvl w:val="0"/>
          <w:numId w:val="19"/>
        </w:numPr>
      </w:pPr>
      <w:bookmarkStart w:id="52" w:name="_Toc135748535"/>
      <w:bookmarkStart w:id="53" w:name="_Toc236903466"/>
      <w:r>
        <w:t>Particular Risks and Drivers Associated with Design, Construction, Operation, and Maintenance</w:t>
      </w:r>
      <w:bookmarkEnd w:id="52"/>
      <w:bookmarkEnd w:id="53"/>
    </w:p>
    <w:p w14:paraId="62CAACF2" w14:textId="3BA1F0FB" w:rsidR="008E58CE" w:rsidRDefault="008E58CE" w:rsidP="000B0A45">
      <w:pPr>
        <w:pStyle w:val="BodyText"/>
      </w:pPr>
      <w:r>
        <w:t xml:space="preserve">TDPUD designs and constructs its electric facilities to meet the relevant federal, state, or industry </w:t>
      </w:r>
      <w:r w:rsidR="00BD1444">
        <w:t>standards</w:t>
      </w:r>
      <w:r>
        <w:t xml:space="preserve">. </w:t>
      </w:r>
      <w:r w:rsidR="0080343D">
        <w:t xml:space="preserve">TDPUD </w:t>
      </w:r>
      <w:r>
        <w:t xml:space="preserve">treats </w:t>
      </w:r>
      <w:r w:rsidR="00171FA9" w:rsidRPr="00171FA9">
        <w:t xml:space="preserve">California Public Utilities Commission </w:t>
      </w:r>
      <w:r w:rsidR="00171FA9">
        <w:t>(</w:t>
      </w:r>
      <w:r>
        <w:t>CPUC</w:t>
      </w:r>
      <w:r w:rsidR="00171FA9">
        <w:t>)</w:t>
      </w:r>
      <w:r>
        <w:t xml:space="preserve"> General Order (GO) 95 as a key industry standard for design and construction standards for overhead electrical facilities and, as such, meets all applicable standards in GO 95. Additionally, </w:t>
      </w:r>
      <w:r w:rsidR="0080343D">
        <w:t xml:space="preserve">TDPUD </w:t>
      </w:r>
      <w:r>
        <w:t>monitors and follows</w:t>
      </w:r>
      <w:r w:rsidR="00BD1444">
        <w:t>,</w:t>
      </w:r>
      <w:r>
        <w:t xml:space="preserve"> as appropriate</w:t>
      </w:r>
      <w:r w:rsidR="00BD1444">
        <w:t>,</w:t>
      </w:r>
      <w:r>
        <w:t xml:space="preserve"> the National Electric Safety Code</w:t>
      </w:r>
      <w:r w:rsidR="0054377A">
        <w:t xml:space="preserve"> </w:t>
      </w:r>
      <w:r w:rsidR="0054377A">
        <w:rPr>
          <w:rFonts w:cs="Century Gothic"/>
          <w:color w:val="000000"/>
        </w:rPr>
        <w:t xml:space="preserve">to support the safety and reliability of its electric system. </w:t>
      </w:r>
    </w:p>
    <w:p w14:paraId="3D8F5986" w14:textId="121ACAEC" w:rsidR="008E58CE" w:rsidRDefault="008E58CE" w:rsidP="000B0A45">
      <w:pPr>
        <w:pStyle w:val="BodyText"/>
      </w:pPr>
      <w:r>
        <w:t xml:space="preserve">Risk drivers associated with design, construction, operations, and maintenance within </w:t>
      </w:r>
      <w:r w:rsidR="0080343D">
        <w:t xml:space="preserve">TDPUD’s </w:t>
      </w:r>
      <w:r>
        <w:t>45</w:t>
      </w:r>
      <w:r w:rsidR="0047090D">
        <w:t>-</w:t>
      </w:r>
      <w:r>
        <w:t>square</w:t>
      </w:r>
      <w:r w:rsidR="0047090D">
        <w:t>-</w:t>
      </w:r>
      <w:r>
        <w:t>mile service territory include:</w:t>
      </w:r>
    </w:p>
    <w:p w14:paraId="6EB65CB8" w14:textId="378DD14F" w:rsidR="00291850" w:rsidRPr="00967889" w:rsidRDefault="00291850" w:rsidP="00CD4A13">
      <w:pPr>
        <w:pStyle w:val="BulletList"/>
      </w:pPr>
      <w:r>
        <w:t>TDPUD has replaced the expulsion fuses on the entire 12</w:t>
      </w:r>
      <w:r w:rsidR="00ED610D">
        <w:t xml:space="preserve"> </w:t>
      </w:r>
      <w:r>
        <w:t>kV system.</w:t>
      </w:r>
      <w:r w:rsidRPr="00967889">
        <w:t xml:space="preserve"> </w:t>
      </w:r>
      <w:r w:rsidR="007418AF" w:rsidRPr="00CD4A13">
        <w:t>However, TDPUD currently continues to utilize expulsion fuses in portions of its 14.4</w:t>
      </w:r>
      <w:r w:rsidR="00ED610D">
        <w:t xml:space="preserve"> </w:t>
      </w:r>
      <w:r w:rsidR="007418AF" w:rsidRPr="00CD4A13">
        <w:t>kV distribution</w:t>
      </w:r>
      <w:r w:rsidR="007418AF" w:rsidRPr="00967889">
        <w:t xml:space="preserve"> system due to the lack of a suitable replacement. While these devices remain </w:t>
      </w:r>
      <w:r w:rsidR="007418AF" w:rsidRPr="00CD4A13">
        <w:t>in use within certain areas of the service territory, TDPUD continues to evaluate alternatives that align with safety and operational objectives</w:t>
      </w:r>
      <w:r w:rsidR="00CD4A13">
        <w:t>.</w:t>
      </w:r>
    </w:p>
    <w:p w14:paraId="2DE9CCE0" w14:textId="0839101C" w:rsidR="00291850" w:rsidRDefault="00291850" w:rsidP="00291850">
      <w:pPr>
        <w:pStyle w:val="BulletList"/>
        <w:rPr>
          <w:rFonts w:ascii="Times New Roman" w:hAnsi="Times New Roman" w:cs="Times New Roman"/>
          <w:color w:val="010302"/>
        </w:rPr>
      </w:pPr>
      <w:r>
        <w:t xml:space="preserve">Combustible poles in the High Fire Threat District (HFTD) </w:t>
      </w:r>
    </w:p>
    <w:p w14:paraId="7D65705C" w14:textId="102BB2CE" w:rsidR="00291850" w:rsidRDefault="00291850" w:rsidP="00291850">
      <w:pPr>
        <w:pStyle w:val="BulletList"/>
        <w:rPr>
          <w:rFonts w:ascii="Times New Roman" w:hAnsi="Times New Roman" w:cs="Times New Roman"/>
          <w:color w:val="010302"/>
        </w:rPr>
      </w:pPr>
      <w:r>
        <w:lastRenderedPageBreak/>
        <w:t xml:space="preserve">Limited staff and equipment </w:t>
      </w:r>
    </w:p>
    <w:p w14:paraId="37946219" w14:textId="2AD60EBD" w:rsidR="00291850" w:rsidRDefault="00291850" w:rsidP="00291850">
      <w:pPr>
        <w:pStyle w:val="BulletList"/>
        <w:rPr>
          <w:rFonts w:ascii="Times New Roman" w:hAnsi="Times New Roman" w:cs="Times New Roman"/>
          <w:color w:val="010302"/>
        </w:rPr>
      </w:pPr>
      <w:r>
        <w:t>13</w:t>
      </w:r>
      <w:r w:rsidR="00CD4A13">
        <w:t xml:space="preserve">2.5 </w:t>
      </w:r>
      <w:r>
        <w:t>miles of bare overhead distribution wires; 64% of overhead wires are in a</w:t>
      </w:r>
      <w:r w:rsidR="00BD1444">
        <w:t>n</w:t>
      </w:r>
      <w:r>
        <w:t xml:space="preserve"> HFTD </w:t>
      </w:r>
      <w:r w:rsidR="00967889">
        <w:t>(~2.5 mile</w:t>
      </w:r>
      <w:r w:rsidR="00BD1444">
        <w:t>s</w:t>
      </w:r>
      <w:r w:rsidR="00967889">
        <w:t xml:space="preserve"> of overhead conductor)</w:t>
      </w:r>
    </w:p>
    <w:p w14:paraId="5284297B" w14:textId="33A8025E" w:rsidR="00291850" w:rsidRDefault="00291850" w:rsidP="00291850">
      <w:pPr>
        <w:pStyle w:val="BulletList"/>
        <w:rPr>
          <w:rFonts w:ascii="Times New Roman" w:hAnsi="Times New Roman" w:cs="Times New Roman"/>
          <w:color w:val="010302"/>
        </w:rPr>
      </w:pPr>
      <w:r>
        <w:t xml:space="preserve">Overhead circuits in areas with poor road access </w:t>
      </w:r>
    </w:p>
    <w:p w14:paraId="143B8257" w14:textId="303A0818" w:rsidR="00E012D6" w:rsidRDefault="00EB6E8D" w:rsidP="00A2100A">
      <w:pPr>
        <w:pStyle w:val="Heading2"/>
        <w:numPr>
          <w:ilvl w:val="0"/>
          <w:numId w:val="19"/>
        </w:numPr>
      </w:pPr>
      <w:bookmarkStart w:id="54" w:name="_Toc135748536"/>
      <w:bookmarkStart w:id="55" w:name="_Toc236903467"/>
      <w:r>
        <w:t>Particular Risks and Risk Drivers Associated with Topographic</w:t>
      </w:r>
      <w:r w:rsidR="000D6660">
        <w:t>al</w:t>
      </w:r>
      <w:r>
        <w:t xml:space="preserve"> and Climatological Risk Factors</w:t>
      </w:r>
      <w:bookmarkEnd w:id="54"/>
      <w:bookmarkEnd w:id="55"/>
    </w:p>
    <w:p w14:paraId="0DD27B5A" w14:textId="309DE927" w:rsidR="0011696D" w:rsidRDefault="00E54B9C" w:rsidP="000B0A45">
      <w:pPr>
        <w:pStyle w:val="BodyText"/>
      </w:pPr>
      <w:r>
        <w:t xml:space="preserve">The </w:t>
      </w:r>
      <w:r w:rsidR="0011696D" w:rsidRPr="0011696D">
        <w:t xml:space="preserve">TDPUD service territory is located </w:t>
      </w:r>
      <w:r w:rsidR="00992235">
        <w:t xml:space="preserve">at elevations </w:t>
      </w:r>
      <w:r w:rsidR="0011696D" w:rsidRPr="0011696D">
        <w:t xml:space="preserve">between 6,000 </w:t>
      </w:r>
      <w:r w:rsidR="00940504">
        <w:t>and</w:t>
      </w:r>
      <w:r w:rsidR="0011696D" w:rsidRPr="0011696D">
        <w:t xml:space="preserve"> 8,000 feet on the eastern slope of the Sierra Nevada </w:t>
      </w:r>
      <w:r w:rsidR="00BD1444" w:rsidRPr="0011696D">
        <w:t xml:space="preserve">mountain chain </w:t>
      </w:r>
      <w:r w:rsidR="0011696D" w:rsidRPr="0011696D">
        <w:t xml:space="preserve">near Lake Tahoe. </w:t>
      </w:r>
      <w:r w:rsidR="00371453">
        <w:t>The TDPUD service territory experiences the most severe weather during the</w:t>
      </w:r>
      <w:r w:rsidR="0011696D" w:rsidRPr="0011696D">
        <w:t xml:space="preserve"> winter</w:t>
      </w:r>
      <w:r w:rsidR="00BD1444">
        <w:t>,</w:t>
      </w:r>
      <w:r w:rsidR="0011696D" w:rsidRPr="0011696D">
        <w:t xml:space="preserve"> </w:t>
      </w:r>
      <w:r w:rsidR="00BD1444">
        <w:t>when</w:t>
      </w:r>
      <w:r w:rsidR="00BD1444" w:rsidRPr="0011696D">
        <w:t xml:space="preserve"> </w:t>
      </w:r>
      <w:r w:rsidR="0011696D" w:rsidRPr="0011696D">
        <w:t xml:space="preserve">severe storms </w:t>
      </w:r>
      <w:r w:rsidR="00371453">
        <w:t xml:space="preserve">can </w:t>
      </w:r>
      <w:r w:rsidR="003F202B">
        <w:t>bring</w:t>
      </w:r>
      <w:r w:rsidR="00371453">
        <w:t xml:space="preserve"> damaging levels of </w:t>
      </w:r>
      <w:r w:rsidR="0011696D" w:rsidRPr="0011696D">
        <w:t>snow and/or rain and extreme winds (80++</w:t>
      </w:r>
      <w:r w:rsidR="000D6660">
        <w:t xml:space="preserve"> mph</w:t>
      </w:r>
      <w:r w:rsidR="0011696D" w:rsidRPr="0011696D">
        <w:t>).</w:t>
      </w:r>
      <w:r w:rsidR="00371453">
        <w:t xml:space="preserve"> During the fire season</w:t>
      </w:r>
      <w:r w:rsidR="006319A4">
        <w:t>,</w:t>
      </w:r>
      <w:r w:rsidR="00371453">
        <w:t xml:space="preserve"> the Truckee area experiences </w:t>
      </w:r>
      <w:r w:rsidR="001B4735">
        <w:t>fast-moving low-pressure</w:t>
      </w:r>
      <w:r w:rsidR="00371453">
        <w:t xml:space="preserve"> systems that bring high winds and dry lightning to the TDPUD service territory.</w:t>
      </w:r>
    </w:p>
    <w:p w14:paraId="7E41FC4C" w14:textId="53C21C1D" w:rsidR="007C1690" w:rsidRDefault="007C1690" w:rsidP="000B0A45">
      <w:pPr>
        <w:pStyle w:val="BodyText"/>
      </w:pPr>
      <w:r>
        <w:t xml:space="preserve">Within </w:t>
      </w:r>
      <w:r w:rsidR="006319A4">
        <w:t xml:space="preserve">the </w:t>
      </w:r>
      <w:r>
        <w:t xml:space="preserve">TDPUD service territory and the surrounding areas, the primary </w:t>
      </w:r>
      <w:r w:rsidR="00992235">
        <w:t xml:space="preserve">topographical and climatological </w:t>
      </w:r>
      <w:r>
        <w:t>risk drivers for wildfires include:</w:t>
      </w:r>
    </w:p>
    <w:p w14:paraId="48484EB3" w14:textId="4AD1138B" w:rsidR="004E6763" w:rsidRPr="00212C06" w:rsidRDefault="007C1690" w:rsidP="0058296B">
      <w:pPr>
        <w:pStyle w:val="BulletList"/>
        <w:rPr>
          <w:spacing w:val="-6"/>
        </w:rPr>
      </w:pPr>
      <w:r w:rsidRPr="00212C06">
        <w:rPr>
          <w:spacing w:val="-6"/>
        </w:rPr>
        <w:t>Overhead circuits traverse</w:t>
      </w:r>
      <w:r w:rsidR="001305B2" w:rsidRPr="00212C06">
        <w:rPr>
          <w:spacing w:val="-6"/>
        </w:rPr>
        <w:t xml:space="preserve"> mountainous</w:t>
      </w:r>
      <w:r w:rsidRPr="00212C06">
        <w:rPr>
          <w:spacing w:val="-6"/>
        </w:rPr>
        <w:t xml:space="preserve"> areas of mixed conifer forests with continuous surface fuels</w:t>
      </w:r>
      <w:r w:rsidR="00626D77" w:rsidRPr="00212C06">
        <w:rPr>
          <w:spacing w:val="-6"/>
        </w:rPr>
        <w:t>,</w:t>
      </w:r>
      <w:r w:rsidRPr="00212C06">
        <w:rPr>
          <w:spacing w:val="-6"/>
        </w:rPr>
        <w:t xml:space="preserve"> including annual grasses</w:t>
      </w:r>
      <w:r w:rsidR="00626D77" w:rsidRPr="00212C06">
        <w:rPr>
          <w:spacing w:val="-6"/>
        </w:rPr>
        <w:t>,</w:t>
      </w:r>
      <w:r w:rsidRPr="00212C06">
        <w:rPr>
          <w:spacing w:val="-6"/>
        </w:rPr>
        <w:t xml:space="preserve"> herbaceous vegetation</w:t>
      </w:r>
      <w:r w:rsidR="00626D77" w:rsidRPr="00212C06">
        <w:rPr>
          <w:spacing w:val="-6"/>
        </w:rPr>
        <w:t>,</w:t>
      </w:r>
      <w:r w:rsidRPr="00212C06">
        <w:rPr>
          <w:spacing w:val="-6"/>
        </w:rPr>
        <w:t xml:space="preserve"> </w:t>
      </w:r>
      <w:r w:rsidR="00626D77" w:rsidRPr="00212C06">
        <w:rPr>
          <w:spacing w:val="-6"/>
        </w:rPr>
        <w:t>and</w:t>
      </w:r>
      <w:r w:rsidRPr="00212C06">
        <w:rPr>
          <w:spacing w:val="-6"/>
        </w:rPr>
        <w:t xml:space="preserve"> patches of woody shrubs.</w:t>
      </w:r>
    </w:p>
    <w:p w14:paraId="74FD5C81" w14:textId="51E795A2" w:rsidR="007C1690" w:rsidRDefault="007C1690" w:rsidP="0058296B">
      <w:pPr>
        <w:pStyle w:val="BulletList"/>
      </w:pPr>
      <w:r>
        <w:t xml:space="preserve">Overhead circuits traverse areas of steep slopes. Several </w:t>
      </w:r>
      <w:r w:rsidR="001305B2">
        <w:t>circuits</w:t>
      </w:r>
      <w:r>
        <w:t xml:space="preserve"> are on slopes or in canyons aligned with the prevailing winds (I</w:t>
      </w:r>
      <w:r w:rsidR="00626D77">
        <w:t xml:space="preserve">nterstate </w:t>
      </w:r>
      <w:r>
        <w:t xml:space="preserve">80 corridor). </w:t>
      </w:r>
    </w:p>
    <w:p w14:paraId="42E38709" w14:textId="353A41CB" w:rsidR="001305B2" w:rsidRDefault="001305B2" w:rsidP="00212C06">
      <w:pPr>
        <w:pStyle w:val="BulletList"/>
      </w:pPr>
      <w:r>
        <w:t xml:space="preserve">Summertime precipitation in the area occurs in the form of afternoon thunderstorms; along with these storms </w:t>
      </w:r>
      <w:r w:rsidR="00671841">
        <w:t>may come</w:t>
      </w:r>
      <w:r>
        <w:t xml:space="preserve"> dry lightning with very little precipitation.</w:t>
      </w:r>
    </w:p>
    <w:p w14:paraId="27264FA9" w14:textId="56336B09" w:rsidR="00C811A1" w:rsidRDefault="00C811A1" w:rsidP="00212C06">
      <w:pPr>
        <w:pStyle w:val="BulletList"/>
      </w:pPr>
      <w:r>
        <w:t xml:space="preserve">Prevailing winds align with the </w:t>
      </w:r>
      <w:r w:rsidR="00626D77">
        <w:t xml:space="preserve">Interstate </w:t>
      </w:r>
      <w:r>
        <w:t>80 corridor</w:t>
      </w:r>
      <w:r w:rsidR="00BD1444">
        <w:t>,</w:t>
      </w:r>
      <w:r>
        <w:t xml:space="preserve"> resulting in strong winds through the center of the TDPUD service territory.</w:t>
      </w:r>
    </w:p>
    <w:p w14:paraId="58ABA7F0" w14:textId="5A18339F" w:rsidR="00875EA3" w:rsidRDefault="00875EA3" w:rsidP="00A01221">
      <w:pPr>
        <w:pStyle w:val="Heading3"/>
      </w:pPr>
      <w:bookmarkStart w:id="56" w:name="_Toc135748537"/>
      <w:bookmarkStart w:id="57" w:name="_Toc236903468"/>
      <w:r>
        <w:t>Climate Change</w:t>
      </w:r>
      <w:bookmarkEnd w:id="56"/>
      <w:bookmarkEnd w:id="57"/>
    </w:p>
    <w:p w14:paraId="6626B345" w14:textId="744D3701" w:rsidR="007C1690" w:rsidRDefault="00875EA3" w:rsidP="000B0A45">
      <w:pPr>
        <w:pStyle w:val="BodyText"/>
      </w:pPr>
      <w:r>
        <w:t>Truckee has warmed an average of 2.0°F over the last 80 years</w:t>
      </w:r>
      <w:r w:rsidR="00BD1444">
        <w:t>,</w:t>
      </w:r>
      <w:r>
        <w:t xml:space="preserve"> when</w:t>
      </w:r>
      <w:r w:rsidR="00DC28C9">
        <w:t xml:space="preserve"> comparing </w:t>
      </w:r>
      <w:r>
        <w:t>the historical 30-year period (1937</w:t>
      </w:r>
      <w:r w:rsidR="003A0978">
        <w:t>–</w:t>
      </w:r>
      <w:r>
        <w:t>1966) and the recent 30-year period (1987</w:t>
      </w:r>
      <w:r w:rsidR="003A0978">
        <w:t>–</w:t>
      </w:r>
      <w:r>
        <w:t xml:space="preserve">2016). There are now eight fewer days per year below freezing, and the number of days above 90°F has increased by 10 days per year. Average snowfall has declined by 15%. All </w:t>
      </w:r>
      <w:r w:rsidR="00C73DE7">
        <w:t>these changes have occurred</w:t>
      </w:r>
      <w:r>
        <w:t xml:space="preserve"> from a 2.0°F temperature increase. If greenhouse gas emissions continue at current levels globally, </w:t>
      </w:r>
      <w:r w:rsidR="00C73DE7">
        <w:t xml:space="preserve">then </w:t>
      </w:r>
      <w:r>
        <w:t>Truckee’s average temperatures are expected to warm by 5</w:t>
      </w:r>
      <w:r w:rsidR="003A0978">
        <w:t>–</w:t>
      </w:r>
      <w:r>
        <w:t>7°F by the 2050s and 8</w:t>
      </w:r>
      <w:r w:rsidR="003A0978">
        <w:t>–</w:t>
      </w:r>
      <w:r>
        <w:t xml:space="preserve">11°F by the 2080s. By the 2080s, April snowpack could be reduced by 84% to 96%. However, if emissions are significantly reduced in the near term, </w:t>
      </w:r>
      <w:r w:rsidR="00C73DE7">
        <w:t xml:space="preserve">then </w:t>
      </w:r>
      <w:r>
        <w:t>warming could level off in the 2050s</w:t>
      </w:r>
      <w:r w:rsidR="00D112C8">
        <w:rPr>
          <w:noProof/>
        </w:rPr>
        <w:t xml:space="preserve"> (Town of Truckee Planning Division 2020)</w:t>
      </w:r>
      <w:r>
        <w:t>.</w:t>
      </w:r>
      <w:r w:rsidR="00212C06">
        <w:t xml:space="preserve"> </w:t>
      </w:r>
    </w:p>
    <w:p w14:paraId="32557A23" w14:textId="74BA5074" w:rsidR="00875EA3" w:rsidRDefault="00875EA3" w:rsidP="000B0A45">
      <w:pPr>
        <w:pStyle w:val="BodyText"/>
      </w:pPr>
      <w:r>
        <w:t>It is expected that by mid-century the TDPUD service territory will experience:</w:t>
      </w:r>
    </w:p>
    <w:p w14:paraId="5B65E4E9" w14:textId="3872A90A" w:rsidR="00875EA3" w:rsidRPr="00DC7BC8" w:rsidRDefault="00875EA3" w:rsidP="00DC7BC8">
      <w:pPr>
        <w:pStyle w:val="BulletList"/>
      </w:pPr>
      <w:r w:rsidRPr="00DC7BC8">
        <w:t>A 55</w:t>
      </w:r>
      <w:r w:rsidR="003A0978" w:rsidRPr="00DC7BC8">
        <w:t>%–</w:t>
      </w:r>
      <w:r w:rsidRPr="00DC7BC8">
        <w:t>68</w:t>
      </w:r>
      <w:r w:rsidR="003A0978" w:rsidRPr="00DC7BC8">
        <w:t>%</w:t>
      </w:r>
      <w:r w:rsidRPr="00DC7BC8">
        <w:t xml:space="preserve"> reduction </w:t>
      </w:r>
      <w:r w:rsidR="001305B2" w:rsidRPr="00DC7BC8">
        <w:t>of</w:t>
      </w:r>
      <w:r w:rsidRPr="00DC7BC8">
        <w:t xml:space="preserve"> days below freezing per year</w:t>
      </w:r>
    </w:p>
    <w:p w14:paraId="1227F70B" w14:textId="5295F499" w:rsidR="00875EA3" w:rsidRPr="00DC7BC8" w:rsidRDefault="00875EA3" w:rsidP="00DC7BC8">
      <w:pPr>
        <w:pStyle w:val="BulletList"/>
      </w:pPr>
      <w:r w:rsidRPr="00DC7BC8">
        <w:t>A 68</w:t>
      </w:r>
      <w:r w:rsidR="003A0978" w:rsidRPr="00DC7BC8">
        <w:t>%–</w:t>
      </w:r>
      <w:r w:rsidRPr="00DC7BC8">
        <w:t>71% reduction of April snowpack</w:t>
      </w:r>
    </w:p>
    <w:p w14:paraId="0B2966E7" w14:textId="03300A6B" w:rsidR="00875EA3" w:rsidRPr="00DC7BC8" w:rsidRDefault="00875EA3" w:rsidP="00DC7BC8">
      <w:pPr>
        <w:pStyle w:val="BulletList"/>
      </w:pPr>
      <w:r w:rsidRPr="00DC7BC8">
        <w:t>A 31</w:t>
      </w:r>
      <w:r w:rsidR="003A0978" w:rsidRPr="00DC7BC8">
        <w:t>%–</w:t>
      </w:r>
      <w:r w:rsidRPr="00DC7BC8">
        <w:t>51% increase in drought stress</w:t>
      </w:r>
    </w:p>
    <w:p w14:paraId="2CD642A0" w14:textId="4D6D4132" w:rsidR="00875EA3" w:rsidRPr="00DC7BC8" w:rsidRDefault="00875EA3" w:rsidP="00DC7BC8">
      <w:pPr>
        <w:pStyle w:val="BulletList"/>
      </w:pPr>
      <w:r w:rsidRPr="00DC7BC8">
        <w:lastRenderedPageBreak/>
        <w:t>Up to 31 more days above 90°F</w:t>
      </w:r>
      <w:r w:rsidR="00992235" w:rsidRPr="00DC7BC8">
        <w:t xml:space="preserve"> per year</w:t>
      </w:r>
    </w:p>
    <w:p w14:paraId="166A4C85" w14:textId="58BD6245" w:rsidR="001305B2" w:rsidRPr="00DC7BC8" w:rsidRDefault="00875EA3" w:rsidP="00804066">
      <w:pPr>
        <w:pStyle w:val="BulletList"/>
        <w:spacing w:after="200"/>
      </w:pPr>
      <w:r w:rsidRPr="00DC7BC8">
        <w:t xml:space="preserve">Up to 61% more acres burned </w:t>
      </w:r>
      <w:r w:rsidR="00F72181" w:rsidRPr="00DC7BC8">
        <w:t xml:space="preserve">by wildfire </w:t>
      </w:r>
      <w:r w:rsidRPr="00DC7BC8">
        <w:t xml:space="preserve">per year </w:t>
      </w:r>
    </w:p>
    <w:p w14:paraId="157C0E6E" w14:textId="3DF78C8F" w:rsidR="001305B2" w:rsidRDefault="001305B2" w:rsidP="00A2100A">
      <w:pPr>
        <w:pStyle w:val="Heading2"/>
        <w:numPr>
          <w:ilvl w:val="0"/>
          <w:numId w:val="19"/>
        </w:numPr>
        <w:spacing w:before="180"/>
      </w:pPr>
      <w:bookmarkStart w:id="58" w:name="_Toc135748538"/>
      <w:bookmarkStart w:id="59" w:name="_Toc236903469"/>
      <w:r>
        <w:t>Enterprise-Wide Safety Risks</w:t>
      </w:r>
      <w:bookmarkEnd w:id="58"/>
      <w:bookmarkEnd w:id="59"/>
    </w:p>
    <w:p w14:paraId="4CE6D646" w14:textId="4F6F9036" w:rsidR="006A3721" w:rsidRPr="004D70B5" w:rsidRDefault="006A3721" w:rsidP="00DC7BC8">
      <w:pPr>
        <w:pStyle w:val="BodyText"/>
      </w:pPr>
      <w:r w:rsidRPr="004D70B5">
        <w:t xml:space="preserve">TDPUD employs a methodical approach to identify, assess, and mitigate enterprise safety risks. This approach integrates formal risk assessment methodologies with comprehensive knowledge of the District’s operational practices. Risk assessment serves as a critical tool in identifying potential threats that may disrupt core business functions, compromise business continuity, or hinder recovery efforts. It is used to evaluate a range of safety-related risks, including but not limited to: </w:t>
      </w:r>
    </w:p>
    <w:p w14:paraId="4EB722C1" w14:textId="05FC4D13" w:rsidR="006A3721" w:rsidRPr="00DC7BC8" w:rsidRDefault="006A3721" w:rsidP="00DC7BC8">
      <w:pPr>
        <w:pStyle w:val="BulletList"/>
      </w:pPr>
      <w:r w:rsidRPr="00DC7BC8">
        <w:t xml:space="preserve">Wildfire risk and threat to TDPUD’s electric infrastructure and service territory </w:t>
      </w:r>
    </w:p>
    <w:p w14:paraId="62BD3275" w14:textId="77777777" w:rsidR="006A3721" w:rsidRPr="00DC7BC8" w:rsidRDefault="006A3721" w:rsidP="00DC7BC8">
      <w:pPr>
        <w:pStyle w:val="BulletList"/>
      </w:pPr>
      <w:r w:rsidRPr="00DC7BC8">
        <w:t xml:space="preserve">Unavailability of NV Energy transmission due to outages or planned Public Safety Outage </w:t>
      </w:r>
    </w:p>
    <w:p w14:paraId="0F45A55F" w14:textId="3B258321" w:rsidR="006A3721" w:rsidRPr="00DC7BC8" w:rsidRDefault="006A3721" w:rsidP="00DC7BC8">
      <w:pPr>
        <w:pStyle w:val="BulletList"/>
      </w:pPr>
      <w:r w:rsidRPr="00DC7BC8">
        <w:t xml:space="preserve">Management (PSOM) de-energization events related to wildfire risk </w:t>
      </w:r>
    </w:p>
    <w:p w14:paraId="7DE5F271" w14:textId="29246FCB" w:rsidR="006A3721" w:rsidRPr="00DC7BC8" w:rsidRDefault="006A3721" w:rsidP="00DC7BC8">
      <w:pPr>
        <w:pStyle w:val="BulletList"/>
      </w:pPr>
      <w:r w:rsidRPr="00DC7BC8">
        <w:t xml:space="preserve">Interconnection and distribution system vulnerabilities, particularly in the Glenshire area </w:t>
      </w:r>
    </w:p>
    <w:p w14:paraId="12465D1F" w14:textId="78A10ABC" w:rsidR="006A3721" w:rsidRPr="00DC7BC8" w:rsidRDefault="006A3721" w:rsidP="00DC7BC8">
      <w:pPr>
        <w:pStyle w:val="BulletList"/>
      </w:pPr>
      <w:r w:rsidRPr="00DC7BC8">
        <w:t xml:space="preserve">Unavailability of the California Pacific Electric Company/Liberty Utilities alternate distribution feed (Glenshire) </w:t>
      </w:r>
    </w:p>
    <w:p w14:paraId="306F27BC" w14:textId="3066FCF8" w:rsidR="006A3721" w:rsidRPr="00DC7BC8" w:rsidRDefault="006A3721" w:rsidP="00DC7BC8">
      <w:pPr>
        <w:pStyle w:val="BulletList"/>
      </w:pPr>
      <w:r w:rsidRPr="00DC7BC8">
        <w:t xml:space="preserve">Loss of internet connectivity </w:t>
      </w:r>
    </w:p>
    <w:p w14:paraId="335416FD" w14:textId="7A03945A" w:rsidR="006A3721" w:rsidRPr="00DC7BC8" w:rsidRDefault="006A3721" w:rsidP="00DC7BC8">
      <w:pPr>
        <w:pStyle w:val="BulletList"/>
      </w:pPr>
      <w:r w:rsidRPr="00DC7BC8">
        <w:t xml:space="preserve">Loss of radio communications </w:t>
      </w:r>
    </w:p>
    <w:p w14:paraId="3C02AA86" w14:textId="765F2DDD" w:rsidR="006A3721" w:rsidRPr="00DC7BC8" w:rsidRDefault="006A3721" w:rsidP="00DC7BC8">
      <w:pPr>
        <w:pStyle w:val="BulletList"/>
      </w:pPr>
      <w:r w:rsidRPr="00DC7BC8">
        <w:t xml:space="preserve">Loss of cellular communications </w:t>
      </w:r>
    </w:p>
    <w:p w14:paraId="4D549C83" w14:textId="3C6F6A27" w:rsidR="006A3721" w:rsidRPr="00DC7BC8" w:rsidRDefault="006A3721" w:rsidP="00DC7BC8">
      <w:pPr>
        <w:pStyle w:val="BulletList"/>
      </w:pPr>
      <w:r w:rsidRPr="00DC7BC8">
        <w:t xml:space="preserve">Impacts associated with system de-energization </w:t>
      </w:r>
    </w:p>
    <w:p w14:paraId="42053285" w14:textId="19481F2E" w:rsidR="006A3721" w:rsidRPr="00DC7BC8" w:rsidRDefault="006A3721" w:rsidP="00DC7BC8">
      <w:pPr>
        <w:pStyle w:val="BulletList"/>
      </w:pPr>
      <w:r w:rsidRPr="00DC7BC8">
        <w:t xml:space="preserve">Roadway disruptions that could restrict the movement of personnel and equipment </w:t>
      </w:r>
    </w:p>
    <w:p w14:paraId="5C6FE57E" w14:textId="7EE0E659" w:rsidR="006A3721" w:rsidRDefault="006A3721" w:rsidP="00804066">
      <w:pPr>
        <w:pStyle w:val="BodyText"/>
      </w:pPr>
      <w:r>
        <w:t xml:space="preserve">To support this effort, TDPUD has retained the services of an experienced electric utility consultant to assist in evaluating system risks, identifying infrastructure vulnerabilities, </w:t>
      </w:r>
      <w:r w:rsidR="004D70B5">
        <w:t>and informing</w:t>
      </w:r>
      <w:r>
        <w:t xml:space="preserve"> the development of effective risk mitigation </w:t>
      </w:r>
      <w:commentRangeStart w:id="60"/>
      <w:commentRangeStart w:id="61"/>
      <w:commentRangeStart w:id="62"/>
      <w:r>
        <w:t>strategies</w:t>
      </w:r>
      <w:commentRangeEnd w:id="60"/>
      <w:r w:rsidR="003C1688">
        <w:rPr>
          <w:rStyle w:val="CommentReference"/>
          <w:sz w:val="20"/>
          <w:szCs w:val="20"/>
        </w:rPr>
        <w:commentReference w:id="60"/>
      </w:r>
      <w:commentRangeEnd w:id="61"/>
      <w:r w:rsidR="0021383A">
        <w:rPr>
          <w:rStyle w:val="CommentReference"/>
          <w:sz w:val="20"/>
          <w:szCs w:val="20"/>
        </w:rPr>
        <w:commentReference w:id="61"/>
      </w:r>
      <w:commentRangeEnd w:id="62"/>
      <w:r w:rsidR="00AB36F1">
        <w:rPr>
          <w:rStyle w:val="CommentReference"/>
          <w:sz w:val="20"/>
          <w:szCs w:val="20"/>
        </w:rPr>
        <w:commentReference w:id="62"/>
      </w:r>
      <w:r>
        <w:t xml:space="preserve">. </w:t>
      </w:r>
    </w:p>
    <w:p w14:paraId="12F1A9A9" w14:textId="3E7C1AE5" w:rsidR="005D47C5" w:rsidRDefault="005D47C5" w:rsidP="00A2100A">
      <w:pPr>
        <w:pStyle w:val="Heading2"/>
        <w:numPr>
          <w:ilvl w:val="0"/>
          <w:numId w:val="19"/>
        </w:numPr>
      </w:pPr>
      <w:bookmarkStart w:id="63" w:name="_Toc135748539"/>
      <w:bookmarkStart w:id="64" w:name="_Toc236903470"/>
      <w:r>
        <w:t>Changes to the CPUC Fire Threat Map</w:t>
      </w:r>
      <w:bookmarkEnd w:id="63"/>
      <w:bookmarkEnd w:id="64"/>
    </w:p>
    <w:p w14:paraId="5D5D78AA" w14:textId="3E46E072" w:rsidR="00B53EA9" w:rsidRPr="00B53EA9" w:rsidRDefault="00426204" w:rsidP="00804066">
      <w:pPr>
        <w:pStyle w:val="BodyText"/>
        <w:rPr>
          <w:rFonts w:ascii="Times New Roman" w:hAnsi="Times New Roman" w:cs="Times New Roman"/>
          <w:color w:val="010302"/>
        </w:rPr>
      </w:pPr>
      <w:r>
        <w:t>In preparation for the development of the 2026 Wildfire Mitigation Plan (WMP), TDPUD conducted a review of conditions</w:t>
      </w:r>
      <w:r w:rsidR="00655B8D">
        <w:t xml:space="preserve"> within its service territory, including the current </w:t>
      </w:r>
      <w:r w:rsidR="003015C0">
        <w:t xml:space="preserve">boundaries </w:t>
      </w:r>
      <w:r w:rsidR="00B53EA9" w:rsidRPr="003015C0">
        <w:t>of the High Fire</w:t>
      </w:r>
      <w:r w:rsidR="00FC70B4">
        <w:t xml:space="preserve"> </w:t>
      </w:r>
      <w:r w:rsidR="00B53EA9" w:rsidRPr="003015C0">
        <w:t>Threat Districts (HFTD</w:t>
      </w:r>
      <w:r w:rsidR="00FB18FB">
        <w:t>s</w:t>
      </w:r>
      <w:r w:rsidR="00B53EA9" w:rsidRPr="003015C0">
        <w:t xml:space="preserve">) as defined by the California Public Utilities Commission (CPUC). Based on this review, TDPUD does not propose any modifications to the CPUC statewide Fire Threat Map at this time. Additionally, TDPUD has conducted a preliminary assessment of the updated CAL FIRE Fire Hazard Severity Zone maps, released in early 2025, and is continuing to evaluate their potential implications for this Plan. </w:t>
      </w:r>
    </w:p>
    <w:p w14:paraId="49EF42E0" w14:textId="427F2431" w:rsidR="005D47C5" w:rsidRDefault="001653F8" w:rsidP="003B5CDE">
      <w:pPr>
        <w:pStyle w:val="Heading1"/>
      </w:pPr>
      <w:bookmarkStart w:id="65" w:name="_Toc135748540"/>
      <w:bookmarkStart w:id="66" w:name="_Toc236903471"/>
      <w:r>
        <w:lastRenderedPageBreak/>
        <w:t>V.</w:t>
      </w:r>
      <w:r>
        <w:tab/>
      </w:r>
      <w:r w:rsidR="005D47C5">
        <w:t>Wildfire Preventative Strategies</w:t>
      </w:r>
      <w:bookmarkEnd w:id="65"/>
      <w:bookmarkEnd w:id="66"/>
    </w:p>
    <w:p w14:paraId="4BCA279B" w14:textId="2EA15DC1" w:rsidR="005D47C5" w:rsidRDefault="001653F8" w:rsidP="00D07962">
      <w:pPr>
        <w:pStyle w:val="Heading2"/>
      </w:pPr>
      <w:bookmarkStart w:id="67" w:name="_Toc135748541"/>
      <w:bookmarkStart w:id="68" w:name="_Toc236903472"/>
      <w:r>
        <w:t>A.</w:t>
      </w:r>
      <w:r>
        <w:tab/>
      </w:r>
      <w:r w:rsidR="005D47C5">
        <w:t>High Fire Threat</w:t>
      </w:r>
      <w:r w:rsidR="00CF4B44">
        <w:t xml:space="preserve"> Map</w:t>
      </w:r>
      <w:r w:rsidR="005D47C5">
        <w:t xml:space="preserve"> </w:t>
      </w:r>
      <w:r w:rsidR="000D6660">
        <w:t xml:space="preserve">for </w:t>
      </w:r>
      <w:r w:rsidR="00A97307">
        <w:t>TDPUD</w:t>
      </w:r>
      <w:bookmarkEnd w:id="67"/>
      <w:bookmarkEnd w:id="68"/>
    </w:p>
    <w:p w14:paraId="44C1B2B2" w14:textId="401D43F0" w:rsidR="00864B9B" w:rsidRDefault="00864B9B" w:rsidP="00804066">
      <w:pPr>
        <w:pStyle w:val="BodyText"/>
      </w:pPr>
      <w:r w:rsidRPr="00864B9B">
        <w:t>TDPUD participated in the development of the CPUC</w:t>
      </w:r>
      <w:r>
        <w:t xml:space="preserve"> </w:t>
      </w:r>
      <w:r w:rsidRPr="00864B9B">
        <w:t>Fire</w:t>
      </w:r>
      <w:r w:rsidR="00411E7E">
        <w:t xml:space="preserve"> </w:t>
      </w:r>
      <w:r w:rsidRPr="00864B9B">
        <w:t>Threat Map</w:t>
      </w:r>
      <w:r w:rsidR="00717B8C">
        <w:t>,</w:t>
      </w:r>
      <w:r w:rsidRPr="00864B9B">
        <w:rPr>
          <w:rStyle w:val="FootnoteReference"/>
          <w:color w:val="000000"/>
          <w:szCs w:val="21"/>
        </w:rPr>
        <w:footnoteReference w:id="4"/>
      </w:r>
      <w:r w:rsidRPr="00864B9B">
        <w:t xml:space="preserve"> which designates the HFTD</w:t>
      </w:r>
      <w:r w:rsidR="00622855">
        <w:t>s</w:t>
      </w:r>
      <w:r w:rsidRPr="00864B9B">
        <w:t xml:space="preserve"> across California.</w:t>
      </w:r>
      <w:r>
        <w:t xml:space="preserve"> </w:t>
      </w:r>
      <w:r w:rsidRPr="00864B9B">
        <w:t>In the</w:t>
      </w:r>
      <w:r>
        <w:t xml:space="preserve"> </w:t>
      </w:r>
      <w:r w:rsidRPr="00864B9B">
        <w:t xml:space="preserve">map development process, TDPUD served as a territory lead and worked with </w:t>
      </w:r>
      <w:r w:rsidR="00C00BD4">
        <w:t>CAL FIRE</w:t>
      </w:r>
      <w:r w:rsidRPr="00864B9B">
        <w:t>,</w:t>
      </w:r>
      <w:r>
        <w:t xml:space="preserve"> </w:t>
      </w:r>
      <w:r w:rsidRPr="00864B9B">
        <w:t>CPUC staff</w:t>
      </w:r>
      <w:r>
        <w:t>,</w:t>
      </w:r>
      <w:r w:rsidRPr="00864B9B">
        <w:t xml:space="preserve"> and local fire officials to identify</w:t>
      </w:r>
      <w:r>
        <w:t xml:space="preserve"> </w:t>
      </w:r>
      <w:r w:rsidRPr="00864B9B">
        <w:t xml:space="preserve">areas of the TDPUD service territory </w:t>
      </w:r>
      <w:r w:rsidR="00C00BD4">
        <w:t>that</w:t>
      </w:r>
      <w:r w:rsidRPr="00864B9B">
        <w:t xml:space="preserve"> are at an</w:t>
      </w:r>
      <w:r>
        <w:t xml:space="preserve"> </w:t>
      </w:r>
      <w:r w:rsidRPr="00864B9B">
        <w:t>elevated or extreme risk of power</w:t>
      </w:r>
      <w:r w:rsidR="00FB18FB">
        <w:t>-</w:t>
      </w:r>
      <w:r w:rsidRPr="00864B9B">
        <w:t>line</w:t>
      </w:r>
      <w:r w:rsidR="00FE5AB9">
        <w:t>-</w:t>
      </w:r>
      <w:r w:rsidRPr="00864B9B">
        <w:t>ignited wildfire.</w:t>
      </w:r>
      <w:r>
        <w:t xml:space="preserve"> </w:t>
      </w:r>
    </w:p>
    <w:p w14:paraId="3CF05F8D" w14:textId="393C79E9" w:rsidR="00864B9B" w:rsidRDefault="00864B9B" w:rsidP="00804066">
      <w:pPr>
        <w:pStyle w:val="BodyText"/>
      </w:pPr>
      <w:r w:rsidRPr="0058296B">
        <w:t>TDPUD incorporated the HFTD mapping into its construction, inspection, operation, maintenance, repair, and</w:t>
      </w:r>
      <w:r w:rsidRPr="00864B9B">
        <w:t xml:space="preserve"> vegetation</w:t>
      </w:r>
      <w:r>
        <w:t xml:space="preserve"> </w:t>
      </w:r>
      <w:r w:rsidRPr="00864B9B">
        <w:t xml:space="preserve">management practices. The </w:t>
      </w:r>
      <w:r w:rsidR="00717B8C">
        <w:t>f</w:t>
      </w:r>
      <w:r w:rsidRPr="00864B9B">
        <w:t xml:space="preserve">ire </w:t>
      </w:r>
      <w:r w:rsidR="00717B8C">
        <w:t>t</w:t>
      </w:r>
      <w:r w:rsidRPr="00864B9B">
        <w:t xml:space="preserve">hreat </w:t>
      </w:r>
      <w:r w:rsidR="00717B8C">
        <w:t>a</w:t>
      </w:r>
      <w:r w:rsidRPr="00864B9B">
        <w:t>reas</w:t>
      </w:r>
      <w:r w:rsidR="00717B8C">
        <w:t>,</w:t>
      </w:r>
      <w:r w:rsidRPr="00864B9B">
        <w:t xml:space="preserve"> as designated by both </w:t>
      </w:r>
      <w:r w:rsidR="00C00BD4">
        <w:t>CAL FIRE</w:t>
      </w:r>
      <w:r w:rsidRPr="00864B9B">
        <w:t xml:space="preserve"> and CPUC</w:t>
      </w:r>
      <w:r w:rsidR="00717B8C">
        <w:t>,</w:t>
      </w:r>
      <w:r w:rsidRPr="00864B9B">
        <w:t xml:space="preserve"> have been incorporated into the TDPUD </w:t>
      </w:r>
      <w:r w:rsidR="00717B8C">
        <w:t>g</w:t>
      </w:r>
      <w:r w:rsidRPr="00864B9B">
        <w:t xml:space="preserve">eographic </w:t>
      </w:r>
      <w:r w:rsidR="00717B8C">
        <w:t>i</w:t>
      </w:r>
      <w:r w:rsidRPr="00864B9B">
        <w:t xml:space="preserve">nformation </w:t>
      </w:r>
      <w:r w:rsidR="00717B8C">
        <w:t>s</w:t>
      </w:r>
      <w:r w:rsidRPr="00864B9B">
        <w:t xml:space="preserve">ystem (GIS) to overlay with TDPUD </w:t>
      </w:r>
      <w:r w:rsidR="008A6DE0">
        <w:t>w</w:t>
      </w:r>
      <w:r w:rsidRPr="00864B9B">
        <w:t xml:space="preserve">ater and </w:t>
      </w:r>
      <w:r w:rsidR="008A6DE0">
        <w:t>e</w:t>
      </w:r>
      <w:r w:rsidRPr="00864B9B">
        <w:t xml:space="preserve">lectric facilities and identify any infrastructure within areas of high fire threat. </w:t>
      </w:r>
    </w:p>
    <w:p w14:paraId="28F01FB4" w14:textId="3DC435D0" w:rsidR="0078123F" w:rsidRDefault="0078123F" w:rsidP="00804066">
      <w:pPr>
        <w:pStyle w:val="BodyText"/>
      </w:pPr>
      <w:r>
        <w:t>For the purpose of the WMP and to retain consistency, TDPDU ha</w:t>
      </w:r>
      <w:r w:rsidR="00FB18FB">
        <w:t>s</w:t>
      </w:r>
      <w:r>
        <w:t xml:space="preserve"> treated its entire service territory as tier 3 high fire threat. </w:t>
      </w:r>
    </w:p>
    <w:p w14:paraId="308977DC" w14:textId="7EEA8E64" w:rsidR="006F4266" w:rsidRDefault="001653F8" w:rsidP="00D07962">
      <w:pPr>
        <w:pStyle w:val="Heading2"/>
      </w:pPr>
      <w:bookmarkStart w:id="69" w:name="_Toc135748542"/>
      <w:bookmarkStart w:id="70" w:name="_Toc236903473"/>
      <w:r>
        <w:t>B</w:t>
      </w:r>
      <w:r w:rsidR="00742874">
        <w:t>.</w:t>
      </w:r>
      <w:r>
        <w:tab/>
      </w:r>
      <w:r w:rsidR="006F4266">
        <w:t>Weather Monitoring</w:t>
      </w:r>
      <w:bookmarkEnd w:id="69"/>
      <w:bookmarkEnd w:id="70"/>
    </w:p>
    <w:p w14:paraId="70E4C42D" w14:textId="091C3CC6" w:rsidR="006F4266" w:rsidRPr="001B4735" w:rsidRDefault="006F4266" w:rsidP="00DC7BC8">
      <w:pPr>
        <w:pStyle w:val="BodyText"/>
      </w:pPr>
      <w:r w:rsidRPr="001B4735">
        <w:t>The TDPUD service territory covers a relatively small section</w:t>
      </w:r>
      <w:r w:rsidR="00BE7650">
        <w:t xml:space="preserve"> (~4 miles by ~10 miles)</w:t>
      </w:r>
      <w:r w:rsidRPr="001B4735">
        <w:t xml:space="preserve"> of the Truckee watershed. </w:t>
      </w:r>
      <w:r w:rsidR="008A6DE0">
        <w:t>L</w:t>
      </w:r>
      <w:r w:rsidRPr="001B4735">
        <w:t>ocal, state, and national sources provide accurate and comprehensive weather information for the TDPUD service territory.</w:t>
      </w:r>
      <w:r w:rsidR="00C811A1" w:rsidRPr="001B4735">
        <w:t xml:space="preserve"> Variations in weather due to terrain or microclimates are often well known by TDPUD staff.</w:t>
      </w:r>
      <w:r w:rsidRPr="001B4735">
        <w:t xml:space="preserve"> TDPUD monitors current and forecasted weather data from a variety of sources including:</w:t>
      </w:r>
    </w:p>
    <w:p w14:paraId="36A042D6" w14:textId="1A5C6A1B" w:rsidR="0037497E" w:rsidRPr="00DC7BC8" w:rsidRDefault="0037497E" w:rsidP="00DC7BC8">
      <w:pPr>
        <w:pStyle w:val="BulletList"/>
      </w:pPr>
      <w:r w:rsidRPr="00DC7BC8">
        <w:t>U.S. National Weather Service–Truckee Donner Remote Automatic Weather Station (TADC1) and the Truckee Airport in addition to other on</w:t>
      </w:r>
      <w:r w:rsidR="004977A9" w:rsidRPr="00DC7BC8">
        <w:t>line</w:t>
      </w:r>
      <w:r w:rsidRPr="00DC7BC8">
        <w:t xml:space="preserve"> weather stations and</w:t>
      </w:r>
      <w:r w:rsidR="00D71601">
        <w:t> </w:t>
      </w:r>
      <w:r w:rsidRPr="00DC7BC8">
        <w:t xml:space="preserve">resources </w:t>
      </w:r>
    </w:p>
    <w:p w14:paraId="3D30EC07" w14:textId="1F3B9DA5" w:rsidR="0037497E" w:rsidRPr="00DC7BC8" w:rsidRDefault="0037497E" w:rsidP="00DC7BC8">
      <w:pPr>
        <w:pStyle w:val="BulletList"/>
      </w:pPr>
      <w:r w:rsidRPr="00DC7BC8">
        <w:t xml:space="preserve">U.S. Forest Service Wildland Fire Assessment System </w:t>
      </w:r>
    </w:p>
    <w:p w14:paraId="398A6276" w14:textId="4D1B8ADF" w:rsidR="0037497E" w:rsidRPr="00DC7BC8" w:rsidRDefault="0037497E" w:rsidP="00DC7BC8">
      <w:pPr>
        <w:pStyle w:val="BulletList"/>
      </w:pPr>
      <w:r w:rsidRPr="00DC7BC8">
        <w:t xml:space="preserve">Northern California Geographic Area Coordination Center–Predictive Services Fire Weather/Fire Danger Outlooks for Region NC07 (Northern Sierras) </w:t>
      </w:r>
    </w:p>
    <w:p w14:paraId="1EDA65E7" w14:textId="698E994E" w:rsidR="0037497E" w:rsidRPr="00DC7BC8" w:rsidRDefault="0037497E" w:rsidP="00DC7BC8">
      <w:pPr>
        <w:pStyle w:val="BulletList"/>
      </w:pPr>
      <w:r w:rsidRPr="00DC7BC8">
        <w:t>Internal knowledge of local conditions</w:t>
      </w:r>
      <w:r w:rsidR="00FB18FB" w:rsidRPr="00DC7BC8">
        <w:t>;</w:t>
      </w:r>
      <w:r w:rsidRPr="00DC7BC8">
        <w:t xml:space="preserve"> </w:t>
      </w:r>
      <w:r w:rsidR="00FB18FB" w:rsidRPr="00DC7BC8">
        <w:t>l</w:t>
      </w:r>
      <w:r w:rsidRPr="00DC7BC8">
        <w:t>ocal weather data from NV Energy and Liberty Utilities</w:t>
      </w:r>
      <w:r w:rsidR="00FB18FB" w:rsidRPr="00DC7BC8">
        <w:t>–</w:t>
      </w:r>
      <w:r w:rsidRPr="00DC7BC8">
        <w:t>owned automated weather</w:t>
      </w:r>
      <w:r w:rsidR="003F7159" w:rsidRPr="00DC7BC8">
        <w:t xml:space="preserve"> </w:t>
      </w:r>
      <w:r w:rsidRPr="00DC7BC8">
        <w:t xml:space="preserve">stations </w:t>
      </w:r>
    </w:p>
    <w:p w14:paraId="3B841115" w14:textId="523AB2B9" w:rsidR="0037497E" w:rsidRPr="00DC7BC8" w:rsidRDefault="0037497E" w:rsidP="00DC7BC8">
      <w:pPr>
        <w:pStyle w:val="BulletList"/>
      </w:pPr>
      <w:r w:rsidRPr="00DC7BC8">
        <w:t>Gridware weather stations provide</w:t>
      </w:r>
      <w:r w:rsidR="00FD28DC">
        <w:t xml:space="preserve"> near</w:t>
      </w:r>
      <w:r w:rsidRPr="00DC7BC8">
        <w:t xml:space="preserve"> real-time, location-specific monitoring of wind, temperature, and humidity conditions, supporting more precise operational decision-making and enhancing situational awareness during elevated wildfire risk events</w:t>
      </w:r>
    </w:p>
    <w:p w14:paraId="54901504" w14:textId="77777777" w:rsidR="0037497E" w:rsidRPr="00DC7BC8" w:rsidRDefault="0037497E" w:rsidP="00DC7BC8">
      <w:pPr>
        <w:pStyle w:val="BulletList"/>
      </w:pPr>
      <w:r w:rsidRPr="00DC7BC8">
        <w:t>TDPUD has engaged CloudFire as its weather and risk intelligence consultant to enhance wildfire risk forecasting and operational decision-making.</w:t>
      </w:r>
    </w:p>
    <w:p w14:paraId="368311BF" w14:textId="77777777" w:rsidR="0037497E" w:rsidRPr="00DC7BC8" w:rsidRDefault="0037497E" w:rsidP="00A2100A">
      <w:pPr>
        <w:pStyle w:val="BulletList"/>
        <w:numPr>
          <w:ilvl w:val="1"/>
          <w:numId w:val="27"/>
        </w:numPr>
        <w:ind w:left="1440"/>
      </w:pPr>
      <w:r w:rsidRPr="00DC7BC8">
        <w:t>Provides advanced weather modeling and fire risk analytics</w:t>
      </w:r>
    </w:p>
    <w:p w14:paraId="5D4C9750" w14:textId="77777777" w:rsidR="0037497E" w:rsidRPr="00DC7BC8" w:rsidRDefault="0037497E" w:rsidP="00A2100A">
      <w:pPr>
        <w:pStyle w:val="BulletList"/>
        <w:numPr>
          <w:ilvl w:val="1"/>
          <w:numId w:val="27"/>
        </w:numPr>
        <w:ind w:left="1440"/>
      </w:pPr>
      <w:r w:rsidRPr="00DC7BC8">
        <w:lastRenderedPageBreak/>
        <w:t>Supports development of operational thresholds and triggers for PPS and APSS</w:t>
      </w:r>
    </w:p>
    <w:p w14:paraId="5E55CA7A" w14:textId="77777777" w:rsidR="0037497E" w:rsidRPr="00DC7BC8" w:rsidRDefault="0037497E" w:rsidP="00A2100A">
      <w:pPr>
        <w:pStyle w:val="BulletList"/>
        <w:numPr>
          <w:ilvl w:val="1"/>
          <w:numId w:val="27"/>
        </w:numPr>
        <w:ind w:left="1440"/>
      </w:pPr>
      <w:r w:rsidRPr="00DC7BC8">
        <w:t>Delivers a Composite Risk Index (CRI) to inform system operations during elevated fire risk conditions</w:t>
      </w:r>
    </w:p>
    <w:p w14:paraId="7E0BDD00" w14:textId="4F3D034A" w:rsidR="006A623F" w:rsidRPr="005F4962" w:rsidRDefault="00DA1D60" w:rsidP="00DC7BC8">
      <w:pPr>
        <w:pStyle w:val="BulletList"/>
        <w:rPr>
          <w:rFonts w:cs="Century Gothic"/>
          <w:color w:val="000000"/>
        </w:rPr>
      </w:pPr>
      <w:r>
        <w:t>In addition to the Gridware weather stations</w:t>
      </w:r>
      <w:r w:rsidR="00B00A22">
        <w:t xml:space="preserve">, </w:t>
      </w:r>
      <w:r w:rsidR="006A623F">
        <w:t>TDPUD added one weather station in 2024</w:t>
      </w:r>
      <w:r w:rsidR="00FB18FB">
        <w:t>,</w:t>
      </w:r>
      <w:r w:rsidR="006A623F">
        <w:t xml:space="preserve"> located centrally in our service territory</w:t>
      </w:r>
      <w:r w:rsidR="00FB18FB">
        <w:t>,</w:t>
      </w:r>
      <w:r w:rsidR="006A623F">
        <w:t xml:space="preserve"> and continue</w:t>
      </w:r>
      <w:r w:rsidR="00FB18FB">
        <w:t>s</w:t>
      </w:r>
      <w:r w:rsidR="006A623F">
        <w:t xml:space="preserve"> to explore additional fire modeling/risk tools</w:t>
      </w:r>
      <w:r w:rsidR="00FB18FB">
        <w:t>,</w:t>
      </w:r>
      <w:r w:rsidR="006A623F">
        <w:t xml:space="preserve"> including California’s Wildfire </w:t>
      </w:r>
      <w:r w:rsidR="006A623F" w:rsidRPr="005F4962">
        <w:rPr>
          <w:rFonts w:cs="Century Gothic"/>
          <w:color w:val="000000"/>
        </w:rPr>
        <w:t xml:space="preserve">Forecast and Threat Intelligence Integration Center (WFTIIC). </w:t>
      </w:r>
    </w:p>
    <w:p w14:paraId="6E002C68" w14:textId="003D3C79" w:rsidR="00C811A1" w:rsidRPr="001B4735" w:rsidRDefault="00C811A1" w:rsidP="00DC7BC8">
      <w:pPr>
        <w:pStyle w:val="BodyText"/>
        <w:rPr>
          <w:rFonts w:eastAsia="Times New Roman"/>
        </w:rPr>
      </w:pPr>
      <w:r w:rsidRPr="001B4735">
        <w:rPr>
          <w:rFonts w:eastAsia="Times New Roman"/>
        </w:rPr>
        <w:t xml:space="preserve">Each day, </w:t>
      </w:r>
      <w:r w:rsidR="009B1EBE" w:rsidRPr="001B4735">
        <w:rPr>
          <w:rFonts w:eastAsia="Times New Roman"/>
        </w:rPr>
        <w:t>TDPUD</w:t>
      </w:r>
      <w:r w:rsidRPr="001B4735">
        <w:rPr>
          <w:rFonts w:eastAsia="Times New Roman"/>
        </w:rPr>
        <w:t xml:space="preserve"> will assign one of four operating conditions based on the relevant weather data and knowledge of local conditions:</w:t>
      </w:r>
    </w:p>
    <w:p w14:paraId="17B47151" w14:textId="0F3274BD" w:rsidR="00C811A1" w:rsidRPr="0054550A" w:rsidRDefault="00C811A1" w:rsidP="00DC7BC8">
      <w:pPr>
        <w:pStyle w:val="NumberList"/>
        <w:rPr>
          <w:spacing w:val="0"/>
        </w:rPr>
      </w:pPr>
      <w:r w:rsidRPr="0054550A">
        <w:rPr>
          <w:b/>
          <w:bCs/>
          <w:spacing w:val="0"/>
        </w:rPr>
        <w:t>Normal:</w:t>
      </w:r>
      <w:r w:rsidRPr="0054550A">
        <w:rPr>
          <w:spacing w:val="0"/>
        </w:rPr>
        <w:t xml:space="preserve"> During normal conditions, no changes are made to operations or work</w:t>
      </w:r>
      <w:r w:rsidR="0054550A">
        <w:rPr>
          <w:spacing w:val="0"/>
        </w:rPr>
        <w:t> </w:t>
      </w:r>
      <w:r w:rsidRPr="0054550A">
        <w:rPr>
          <w:spacing w:val="0"/>
        </w:rPr>
        <w:t>procedures.</w:t>
      </w:r>
    </w:p>
    <w:p w14:paraId="497CBF46" w14:textId="0915A9A4" w:rsidR="00C811A1" w:rsidRPr="0054550A" w:rsidRDefault="00C811A1" w:rsidP="00DC7BC8">
      <w:pPr>
        <w:pStyle w:val="NumberList"/>
        <w:rPr>
          <w:spacing w:val="0"/>
        </w:rPr>
      </w:pPr>
      <w:r w:rsidRPr="0054550A">
        <w:rPr>
          <w:b/>
          <w:bCs/>
          <w:spacing w:val="0"/>
        </w:rPr>
        <w:t>Elevated:</w:t>
      </w:r>
      <w:r w:rsidRPr="0054550A">
        <w:rPr>
          <w:spacing w:val="0"/>
        </w:rPr>
        <w:t xml:space="preserve"> During elevated fire-risk conditions, </w:t>
      </w:r>
      <w:r w:rsidR="009B1EBE" w:rsidRPr="0054550A">
        <w:rPr>
          <w:spacing w:val="0"/>
        </w:rPr>
        <w:t>TDPUD</w:t>
      </w:r>
      <w:r w:rsidRPr="0054550A">
        <w:rPr>
          <w:spacing w:val="0"/>
        </w:rPr>
        <w:t xml:space="preserve"> staff will perform normal work with an elevated level of observation for environmental factors that could lead to an ignition.</w:t>
      </w:r>
    </w:p>
    <w:p w14:paraId="72DAC008" w14:textId="3DDF1A7D" w:rsidR="00C811A1" w:rsidRPr="0054550A" w:rsidRDefault="00C811A1" w:rsidP="00DC7BC8">
      <w:pPr>
        <w:pStyle w:val="NumberList"/>
        <w:rPr>
          <w:spacing w:val="0"/>
        </w:rPr>
      </w:pPr>
      <w:r w:rsidRPr="0054550A">
        <w:rPr>
          <w:b/>
          <w:bCs/>
          <w:spacing w:val="0"/>
        </w:rPr>
        <w:t>Extreme:</w:t>
      </w:r>
      <w:r w:rsidRPr="0054550A">
        <w:rPr>
          <w:spacing w:val="0"/>
        </w:rPr>
        <w:t xml:space="preserve"> During extreme fire-risk conditions, </w:t>
      </w:r>
      <w:r w:rsidR="009B1EBE" w:rsidRPr="0054550A">
        <w:rPr>
          <w:spacing w:val="0"/>
        </w:rPr>
        <w:t>TDPUD</w:t>
      </w:r>
      <w:r w:rsidRPr="0054550A">
        <w:rPr>
          <w:spacing w:val="0"/>
        </w:rPr>
        <w:t xml:space="preserve"> may delay routine work on energized primary lines (12.47</w:t>
      </w:r>
      <w:r w:rsidR="00684463" w:rsidRPr="0054550A">
        <w:rPr>
          <w:spacing w:val="0"/>
        </w:rPr>
        <w:t xml:space="preserve"> </w:t>
      </w:r>
      <w:r w:rsidRPr="0054550A">
        <w:rPr>
          <w:spacing w:val="0"/>
        </w:rPr>
        <w:t xml:space="preserve">kV </w:t>
      </w:r>
      <w:r w:rsidR="00684463" w:rsidRPr="0054550A">
        <w:rPr>
          <w:spacing w:val="0"/>
        </w:rPr>
        <w:t>and</w:t>
      </w:r>
      <w:r w:rsidRPr="0054550A">
        <w:rPr>
          <w:spacing w:val="0"/>
        </w:rPr>
        <w:t xml:space="preserve"> 14.4</w:t>
      </w:r>
      <w:r w:rsidR="00684463" w:rsidRPr="0054550A">
        <w:rPr>
          <w:spacing w:val="0"/>
        </w:rPr>
        <w:t xml:space="preserve"> </w:t>
      </w:r>
      <w:r w:rsidRPr="0054550A">
        <w:rPr>
          <w:spacing w:val="0"/>
        </w:rPr>
        <w:t xml:space="preserve">kV). </w:t>
      </w:r>
      <w:r w:rsidR="009B1EBE" w:rsidRPr="0054550A">
        <w:rPr>
          <w:spacing w:val="0"/>
        </w:rPr>
        <w:t>TDPUD</w:t>
      </w:r>
      <w:r w:rsidRPr="0054550A">
        <w:rPr>
          <w:spacing w:val="0"/>
        </w:rPr>
        <w:t xml:space="preserve"> may perform necessary work to preserve facilities or property. Extreme weather is defined as weather phenomena that are at the extremes of the historical distribution and are rare for a particular place and/or time, especially severe or unseasonal weather. Such extremes include severe thunderstorms</w:t>
      </w:r>
      <w:r w:rsidR="00684463" w:rsidRPr="0054550A">
        <w:rPr>
          <w:spacing w:val="0"/>
        </w:rPr>
        <w:t>,</w:t>
      </w:r>
      <w:r w:rsidRPr="0054550A">
        <w:rPr>
          <w:spacing w:val="0"/>
        </w:rPr>
        <w:t xml:space="preserve"> severe snowstorms</w:t>
      </w:r>
      <w:r w:rsidR="00684463" w:rsidRPr="0054550A">
        <w:rPr>
          <w:spacing w:val="0"/>
        </w:rPr>
        <w:t>,</w:t>
      </w:r>
      <w:r w:rsidRPr="0054550A">
        <w:rPr>
          <w:spacing w:val="0"/>
        </w:rPr>
        <w:t xml:space="preserve"> ice storms</w:t>
      </w:r>
      <w:r w:rsidR="00684463" w:rsidRPr="0054550A">
        <w:rPr>
          <w:spacing w:val="0"/>
        </w:rPr>
        <w:t>,</w:t>
      </w:r>
      <w:r w:rsidRPr="0054550A">
        <w:rPr>
          <w:spacing w:val="0"/>
        </w:rPr>
        <w:t xml:space="preserve"> blizzards</w:t>
      </w:r>
      <w:r w:rsidR="00684463" w:rsidRPr="0054550A">
        <w:rPr>
          <w:spacing w:val="0"/>
        </w:rPr>
        <w:t>,</w:t>
      </w:r>
      <w:r w:rsidRPr="0054550A">
        <w:rPr>
          <w:spacing w:val="0"/>
        </w:rPr>
        <w:t xml:space="preserve"> flooding</w:t>
      </w:r>
      <w:r w:rsidR="00684463" w:rsidRPr="0054550A">
        <w:rPr>
          <w:spacing w:val="0"/>
        </w:rPr>
        <w:t>,</w:t>
      </w:r>
      <w:r w:rsidRPr="0054550A">
        <w:rPr>
          <w:spacing w:val="0"/>
        </w:rPr>
        <w:t xml:space="preserve"> high winds</w:t>
      </w:r>
      <w:r w:rsidR="00684463" w:rsidRPr="0054550A">
        <w:rPr>
          <w:spacing w:val="0"/>
        </w:rPr>
        <w:t>,</w:t>
      </w:r>
      <w:r w:rsidRPr="0054550A">
        <w:rPr>
          <w:spacing w:val="0"/>
        </w:rPr>
        <w:t xml:space="preserve"> or heat waves.</w:t>
      </w:r>
    </w:p>
    <w:p w14:paraId="1A314C0B" w14:textId="0F87518F" w:rsidR="00625234" w:rsidRPr="0054550A" w:rsidRDefault="00CC0148" w:rsidP="00DC7BC8">
      <w:pPr>
        <w:pStyle w:val="NumberList"/>
        <w:rPr>
          <w:rFonts w:ascii="Times New Roman" w:hAnsi="Times New Roman" w:cs="Times New Roman"/>
          <w:color w:val="010302"/>
          <w:spacing w:val="0"/>
        </w:rPr>
      </w:pPr>
      <w:r w:rsidRPr="0054550A">
        <w:rPr>
          <w:b/>
          <w:bCs/>
          <w:spacing w:val="0"/>
        </w:rPr>
        <w:t xml:space="preserve">Red Flag: </w:t>
      </w:r>
      <w:r w:rsidRPr="0054550A">
        <w:rPr>
          <w:spacing w:val="0"/>
        </w:rPr>
        <w:t>The National Weather Service issues Red Flag Warnings (RFWs)</w:t>
      </w:r>
      <w:r w:rsidR="00742874" w:rsidRPr="0054550A">
        <w:rPr>
          <w:rStyle w:val="FootnoteReference"/>
          <w:spacing w:val="0"/>
        </w:rPr>
        <w:footnoteReference w:id="5"/>
      </w:r>
      <w:r w:rsidRPr="0054550A">
        <w:rPr>
          <w:spacing w:val="0"/>
        </w:rPr>
        <w:t xml:space="preserve"> and Fire Weather Watches to alert fire departments of the onset, or possible onset, of </w:t>
      </w:r>
      <w:r w:rsidR="00800781" w:rsidRPr="0054550A">
        <w:rPr>
          <w:spacing w:val="0"/>
        </w:rPr>
        <w:t>critical weather</w:t>
      </w:r>
      <w:r w:rsidRPr="0054550A">
        <w:rPr>
          <w:spacing w:val="0"/>
        </w:rPr>
        <w:t xml:space="preserve"> and dry conditions that could lead to rapid or dramatic increases in wildfire</w:t>
      </w:r>
      <w:r w:rsidR="0054550A">
        <w:rPr>
          <w:spacing w:val="0"/>
        </w:rPr>
        <w:t> </w:t>
      </w:r>
      <w:r w:rsidRPr="0054550A">
        <w:rPr>
          <w:spacing w:val="0"/>
        </w:rPr>
        <w:t>activity.</w:t>
      </w:r>
      <w:r w:rsidRPr="0054550A">
        <w:rPr>
          <w:rFonts w:ascii="Times New Roman" w:hAnsi="Times New Roman" w:cs="Times New Roman"/>
          <w:spacing w:val="0"/>
        </w:rPr>
        <w:t xml:space="preserve"> </w:t>
      </w:r>
    </w:p>
    <w:p w14:paraId="311CC062" w14:textId="55A7E1F2" w:rsidR="006F4266" w:rsidRDefault="001653F8" w:rsidP="00D07962">
      <w:pPr>
        <w:pStyle w:val="Heading2"/>
      </w:pPr>
      <w:bookmarkStart w:id="71" w:name="_Toc135748543"/>
      <w:bookmarkStart w:id="72" w:name="_Toc236903474"/>
      <w:r>
        <w:t>C.</w:t>
      </w:r>
      <w:r>
        <w:tab/>
      </w:r>
      <w:r w:rsidR="006F4266">
        <w:t>Design and Construction Standards</w:t>
      </w:r>
      <w:bookmarkEnd w:id="71"/>
      <w:bookmarkEnd w:id="72"/>
    </w:p>
    <w:p w14:paraId="0BA94FCA" w14:textId="776C52B8" w:rsidR="00C811A1" w:rsidRPr="001B4735" w:rsidRDefault="009B1EBE" w:rsidP="00DC7BC8">
      <w:pPr>
        <w:pStyle w:val="BodyText"/>
        <w:rPr>
          <w:rFonts w:eastAsia="Times New Roman"/>
        </w:rPr>
      </w:pPr>
      <w:r w:rsidRPr="001B4735">
        <w:rPr>
          <w:rFonts w:eastAsia="Times New Roman"/>
        </w:rPr>
        <w:t>TDPUD</w:t>
      </w:r>
      <w:r w:rsidR="00C811A1" w:rsidRPr="001B4735">
        <w:rPr>
          <w:rFonts w:eastAsia="Times New Roman"/>
        </w:rPr>
        <w:t xml:space="preserve"> electric facilities are designed and constructed to meet relevant </w:t>
      </w:r>
      <w:r w:rsidR="00684463">
        <w:rPr>
          <w:rFonts w:eastAsia="Times New Roman"/>
        </w:rPr>
        <w:t>f</w:t>
      </w:r>
      <w:r w:rsidR="00C811A1" w:rsidRPr="001B4735">
        <w:rPr>
          <w:rFonts w:eastAsia="Times New Roman"/>
        </w:rPr>
        <w:t xml:space="preserve">ederal, </w:t>
      </w:r>
      <w:r w:rsidR="00684463">
        <w:rPr>
          <w:rFonts w:eastAsia="Times New Roman"/>
        </w:rPr>
        <w:t>s</w:t>
      </w:r>
      <w:r w:rsidR="00C811A1" w:rsidRPr="001B4735">
        <w:rPr>
          <w:rFonts w:eastAsia="Times New Roman"/>
        </w:rPr>
        <w:t xml:space="preserve">tate, and industry standards. </w:t>
      </w:r>
      <w:r w:rsidRPr="001B4735">
        <w:rPr>
          <w:rFonts w:eastAsia="Times New Roman"/>
        </w:rPr>
        <w:t>TDPUD</w:t>
      </w:r>
      <w:r w:rsidR="00C811A1" w:rsidRPr="001B4735">
        <w:rPr>
          <w:rFonts w:eastAsia="Times New Roman"/>
        </w:rPr>
        <w:t xml:space="preserve"> treats GO 95 as a guiding standard for design and construction of overhead electrical facilities. </w:t>
      </w:r>
      <w:r w:rsidRPr="001B4735">
        <w:rPr>
          <w:rFonts w:eastAsia="Times New Roman"/>
        </w:rPr>
        <w:t>TDPUD</w:t>
      </w:r>
      <w:r w:rsidR="00C811A1" w:rsidRPr="001B4735">
        <w:rPr>
          <w:rFonts w:eastAsia="Times New Roman"/>
        </w:rPr>
        <w:t xml:space="preserve"> </w:t>
      </w:r>
      <w:r w:rsidR="0022127A">
        <w:rPr>
          <w:rFonts w:eastAsia="Times New Roman"/>
        </w:rPr>
        <w:t>complies with design</w:t>
      </w:r>
      <w:r w:rsidR="00C811A1" w:rsidRPr="001B4735">
        <w:rPr>
          <w:rFonts w:eastAsia="Times New Roman"/>
        </w:rPr>
        <w:t xml:space="preserve"> standards in GO 95 and constructs its facilities consistent with </w:t>
      </w:r>
      <w:r w:rsidR="003758D5">
        <w:rPr>
          <w:rFonts w:eastAsia="Times New Roman"/>
        </w:rPr>
        <w:t>a</w:t>
      </w:r>
      <w:r w:rsidR="003758D5" w:rsidRPr="001B4735">
        <w:rPr>
          <w:rFonts w:eastAsia="Times New Roman"/>
        </w:rPr>
        <w:t xml:space="preserve"> </w:t>
      </w:r>
      <w:r w:rsidR="00C811A1" w:rsidRPr="001B4735">
        <w:rPr>
          <w:rFonts w:eastAsia="Times New Roman"/>
        </w:rPr>
        <w:t xml:space="preserve">“heavy-loading” district as defined by the CPUC. </w:t>
      </w:r>
      <w:r w:rsidRPr="001B4735">
        <w:rPr>
          <w:rFonts w:eastAsia="Times New Roman"/>
        </w:rPr>
        <w:t>TDPUD</w:t>
      </w:r>
      <w:r w:rsidR="00C811A1" w:rsidRPr="001B4735">
        <w:rPr>
          <w:rFonts w:eastAsia="Times New Roman"/>
        </w:rPr>
        <w:t>’s overhead electric system is designed to withstand winter storms</w:t>
      </w:r>
      <w:r w:rsidR="00684463">
        <w:rPr>
          <w:rFonts w:eastAsia="Times New Roman"/>
        </w:rPr>
        <w:t>,</w:t>
      </w:r>
      <w:r w:rsidR="00C811A1" w:rsidRPr="001B4735">
        <w:rPr>
          <w:rFonts w:eastAsia="Times New Roman"/>
        </w:rPr>
        <w:t xml:space="preserve"> including </w:t>
      </w:r>
      <w:r w:rsidR="008F4C53">
        <w:rPr>
          <w:rFonts w:eastAsia="Times New Roman"/>
        </w:rPr>
        <w:t>high</w:t>
      </w:r>
      <w:r w:rsidR="00C811A1" w:rsidRPr="001B4735">
        <w:rPr>
          <w:rFonts w:eastAsia="Times New Roman"/>
        </w:rPr>
        <w:t xml:space="preserve"> wind and snow events. </w:t>
      </w:r>
      <w:r w:rsidR="007D4917" w:rsidRPr="001B4735">
        <w:rPr>
          <w:rFonts w:eastAsia="Times New Roman"/>
        </w:rPr>
        <w:t xml:space="preserve">Winds during severe winter storms generally exceed the wind speeds </w:t>
      </w:r>
      <w:r w:rsidR="00684463">
        <w:rPr>
          <w:rFonts w:eastAsia="Times New Roman"/>
        </w:rPr>
        <w:t xml:space="preserve">that </w:t>
      </w:r>
      <w:r w:rsidR="007D4917" w:rsidRPr="001B4735">
        <w:rPr>
          <w:rFonts w:eastAsia="Times New Roman"/>
        </w:rPr>
        <w:t xml:space="preserve">the TDPUD service </w:t>
      </w:r>
      <w:r w:rsidR="007D4917" w:rsidRPr="001B4735">
        <w:rPr>
          <w:rFonts w:eastAsia="Times New Roman"/>
        </w:rPr>
        <w:lastRenderedPageBreak/>
        <w:t>territory experiences</w:t>
      </w:r>
      <w:r w:rsidR="00C811A1" w:rsidRPr="001B4735">
        <w:rPr>
          <w:rFonts w:eastAsia="Times New Roman"/>
        </w:rPr>
        <w:t xml:space="preserve"> during RFWs. As a result of this approach, </w:t>
      </w:r>
      <w:r w:rsidRPr="001B4735">
        <w:rPr>
          <w:rFonts w:eastAsia="Times New Roman"/>
        </w:rPr>
        <w:t>TDPUD</w:t>
      </w:r>
      <w:r w:rsidR="00C811A1" w:rsidRPr="001B4735">
        <w:rPr>
          <w:rFonts w:eastAsia="Times New Roman"/>
        </w:rPr>
        <w:t xml:space="preserve">’s system </w:t>
      </w:r>
      <w:r w:rsidR="00DA5B27">
        <w:rPr>
          <w:rFonts w:eastAsia="Times New Roman"/>
        </w:rPr>
        <w:t xml:space="preserve">has remained </w:t>
      </w:r>
      <w:r w:rsidR="00C811A1" w:rsidRPr="001B4735">
        <w:rPr>
          <w:rFonts w:eastAsia="Times New Roman"/>
        </w:rPr>
        <w:t xml:space="preserve">resilient to extreme weather events </w:t>
      </w:r>
      <w:r w:rsidR="007D4917" w:rsidRPr="001B4735">
        <w:rPr>
          <w:rFonts w:eastAsia="Times New Roman"/>
        </w:rPr>
        <w:t>such as high winds</w:t>
      </w:r>
      <w:r w:rsidR="00DA5B27">
        <w:rPr>
          <w:rFonts w:eastAsia="Times New Roman"/>
        </w:rPr>
        <w:t xml:space="preserve"> and heavy snow loads</w:t>
      </w:r>
      <w:r w:rsidR="00C811A1" w:rsidRPr="001B4735">
        <w:rPr>
          <w:rFonts w:eastAsia="Times New Roman"/>
        </w:rPr>
        <w:t>.</w:t>
      </w:r>
    </w:p>
    <w:p w14:paraId="7966ADA7" w14:textId="460CCEB8" w:rsidR="00C811A1" w:rsidRPr="001B4735" w:rsidRDefault="00C811A1" w:rsidP="00DC7BC8">
      <w:pPr>
        <w:pStyle w:val="BodyText"/>
      </w:pPr>
      <w:r w:rsidRPr="001B4735">
        <w:t xml:space="preserve">As stated above, </w:t>
      </w:r>
      <w:r w:rsidR="009B1EBE" w:rsidRPr="001B4735">
        <w:t>TDPUD</w:t>
      </w:r>
      <w:r w:rsidRPr="001B4735">
        <w:t xml:space="preserve">’s electric facilities are designed to meet GO 95 for design, construction, and maintenance. While </w:t>
      </w:r>
      <w:r w:rsidR="009B1EBE" w:rsidRPr="001B4735">
        <w:t>TDPUD</w:t>
      </w:r>
      <w:r w:rsidRPr="001B4735">
        <w:t xml:space="preserve"> may choose to exceed the standard based on local conditions and/or knowledge, the minimum requirement is to meet the standard over the duration of the action. </w:t>
      </w:r>
      <w:r w:rsidR="007D4917" w:rsidRPr="001B4735">
        <w:t xml:space="preserve">Where </w:t>
      </w:r>
      <w:r w:rsidRPr="001B4735">
        <w:t xml:space="preserve">review/inspection shows that the minimum standard is not sufficient to maintain compliance, </w:t>
      </w:r>
      <w:r w:rsidR="009B1EBE" w:rsidRPr="001B4735">
        <w:t>TDPUD</w:t>
      </w:r>
      <w:r w:rsidRPr="001B4735">
        <w:t xml:space="preserve"> adapts accordingly</w:t>
      </w:r>
      <w:r w:rsidR="007D4917" w:rsidRPr="001B4735">
        <w:t xml:space="preserve">. </w:t>
      </w:r>
    </w:p>
    <w:p w14:paraId="03E7DD21" w14:textId="77777777" w:rsidR="00A01221" w:rsidRDefault="00F82CE4" w:rsidP="00A01221">
      <w:pPr>
        <w:pStyle w:val="BodyText"/>
        <w:rPr>
          <w:rFonts w:eastAsia="Times New Roman"/>
        </w:rPr>
      </w:pPr>
      <w:r w:rsidRPr="001B4735">
        <w:rPr>
          <w:rFonts w:eastAsia="Times New Roman"/>
        </w:rPr>
        <w:t>In addition to meeting the GO 95 standards, TDPUD is making the following upgrades to its facilities and equipment to reduce the risk that its equipment will start a wildfire</w:t>
      </w:r>
      <w:r w:rsidR="006571EA">
        <w:rPr>
          <w:noProof/>
        </w:rPr>
        <mc:AlternateContent>
          <mc:Choice Requires="wps">
            <w:drawing>
              <wp:anchor distT="0" distB="0" distL="114300" distR="114300" simplePos="0" relativeHeight="251651584" behindDoc="0" locked="0" layoutInCell="1" allowOverlap="1" wp14:anchorId="0A91BA69" wp14:editId="13A9133B">
                <wp:simplePos x="0" y="0"/>
                <wp:positionH relativeFrom="page">
                  <wp:posOffset>862888</wp:posOffset>
                </wp:positionH>
                <wp:positionV relativeFrom="line">
                  <wp:posOffset>-60960</wp:posOffset>
                </wp:positionV>
                <wp:extent cx="9144" cy="9144"/>
                <wp:effectExtent l="0" t="0" r="0" b="0"/>
                <wp:wrapNone/>
                <wp:docPr id="799" name="Freeform 799"/>
                <wp:cNvGraphicFramePr/>
                <a:graphic xmlns:a="http://schemas.openxmlformats.org/drawingml/2006/main">
                  <a:graphicData uri="http://schemas.microsoft.com/office/word/2010/wordprocessingShape">
                    <wps:wsp>
                      <wps:cNvSpPr/>
                      <wps:spPr>
                        <a:xfrm>
                          <a:off x="0" y="0"/>
                          <a:ext cx="9144" cy="9144"/>
                        </a:xfrm>
                        <a:custGeom>
                          <a:avLst/>
                          <a:gdLst/>
                          <a:ahLst/>
                          <a:cxnLst/>
                          <a:rect l="l" t="t" r="r" b="b"/>
                          <a:pathLst>
                            <a:path w="9144" h="9144">
                              <a:moveTo>
                                <a:pt x="0" y="9144"/>
                              </a:moveTo>
                              <a:lnTo>
                                <a:pt x="9144" y="9144"/>
                              </a:lnTo>
                              <a:lnTo>
                                <a:pt x="9144" y="0"/>
                              </a:lnTo>
                              <a:lnTo>
                                <a:pt x="0" y="0"/>
                              </a:lnTo>
                              <a:lnTo>
                                <a:pt x="0" y="9144"/>
                              </a:lnTo>
                              <a:close/>
                            </a:path>
                          </a:pathLst>
                        </a:custGeom>
                        <a:solidFill>
                          <a:srgbClr val="4F81BD">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0C33B30" id="Freeform 799" o:spid="_x0000_s1026" style="position:absolute;margin-left:67.95pt;margin-top:-4.8pt;width:.7pt;height:.7pt;z-index:251651584;visibility:visible;mso-wrap-style:square;mso-wrap-distance-left:9pt;mso-wrap-distance-top:0;mso-wrap-distance-right:9pt;mso-wrap-distance-bottom:0;mso-position-horizontal:absolute;mso-position-horizontal-relative:page;mso-position-vertical:absolute;mso-position-vertical-relative:line;v-text-anchor:top" coordsize="9144,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D2iRAIAAG4FAAAOAAAAZHJzL2Uyb0RvYy54bWysVNuO0zAUfEfiHyy/0zRVgaVquxJU5QUB&#10;YpcPcJ2TJpJjW7a3af+e4+M4yXIREqIPyWk8Zzwzvmzvr51iF3C+NXrHy8WSM9DSVK0+7/j3x+Or&#10;O858ELoSymjY8Rt4fr9/+WLb2w2sTGNUBY4hifab3u54E4LdFIWXDXTCL4wFjYO1cZ0I+Nedi8qJ&#10;Htk7VayWyzdFb1xlnZHgPX49pEG+J/66Bhm+1LWHwNSOo7ZAT0fPU3wW+63YnJ2wTSsHGeIfVHSi&#10;1TjpSHUQQbAn1/5C1bXSGW/qsJCmK0xdtxLIA7oplz+5eWiEBfKC4Xg7xuT/H638fHmwXx3G0Fu/&#10;8VhGF9fadfGN+tiVwrqNYcE1MIkf35XrNWcSB6hChmJqlE8+fARDJOLyyYeUc5Ur0eRKXnUuHa5W&#10;XCdF6xQ4w3VynOE6ndI6WRFiX1QWS9ZnFc1QxJHOXODRECZM4mcaJ4DSc2Ay9NxPRuS3JcoRSfsH&#10;befh/E4w3G85tr9gZuoyhVTGQwo1eqV0R/9IN0/YG9VWx1ap6Nq78+mDcuwiMMr18a58f6CdKZRt&#10;RPpaLuMvZopEAz7VcyKlY8Dl6i1CI7E2cYrUpDTipx1DVbgpiDilv0HN2gr3yIoa6TDDqElICTqU&#10;aagRFSRRr+ea4vGPHaSKCCNzjfOP3ANBRiaSzJ1UDvjYCnQXjM3J0R+Epeaxg2Y2OozNXauN+50z&#10;ha6GmRM+h5SiiSmdTHWj40bp4aEmh8MFFG+N+X9qn67J/Q8AAAD//wMAUEsDBBQABgAIAAAAIQDc&#10;GI4q3gAAAAkBAAAPAAAAZHJzL2Rvd25yZXYueG1sTI/BbsIwDIbvk/YOkSftBunoBqRrihDSNAmJ&#10;w9gOHEPjtR2NUzUpdG8/c2LH3/70+3O+Gl0rztiHxpOGp2kCAqn0tqFKw9fn22QJIkRD1rSeUMMv&#10;BlgV93e5yay/0Aee97ESXEIhMxrqGLtMylDW6EyY+g6Jd9++dyZy7Ctpe3PhctfKWZLMpTMN8YXa&#10;dLipsTztB6fh3f8MC/SHEtVBbZ/dVsXktNP68WFcv4KIOMYbDFd9VoeCnY5+IBtEyzl9UYxqmKg5&#10;iCuQLlIQRx4sZyCLXP7/oPgDAAD//wMAUEsBAi0AFAAGAAgAAAAhALaDOJL+AAAA4QEAABMAAAAA&#10;AAAAAAAAAAAAAAAAAFtDb250ZW50X1R5cGVzXS54bWxQSwECLQAUAAYACAAAACEAOP0h/9YAAACU&#10;AQAACwAAAAAAAAAAAAAAAAAvAQAAX3JlbHMvLnJlbHNQSwECLQAUAAYACAAAACEA6dQ9okQCAABu&#10;BQAADgAAAAAAAAAAAAAAAAAuAgAAZHJzL2Uyb0RvYy54bWxQSwECLQAUAAYACAAAACEA3BiOKt4A&#10;AAAJAQAADwAAAAAAAAAAAAAAAACeBAAAZHJzL2Rvd25yZXYueG1sUEsFBgAAAAAEAAQA8wAAAKkF&#10;AAAAAA==&#10;" path="m,9144r9144,l9144,,,,,9144xe" fillcolor="#4f81bd" stroked="f" strokeweight="1pt">
                <v:path arrowok="t"/>
                <w10:wrap anchorx="page" anchory="line"/>
              </v:shape>
            </w:pict>
          </mc:Fallback>
        </mc:AlternateContent>
      </w:r>
      <w:r w:rsidR="006571EA">
        <w:rPr>
          <w:noProof/>
        </w:rPr>
        <mc:AlternateContent>
          <mc:Choice Requires="wps">
            <w:drawing>
              <wp:anchor distT="0" distB="0" distL="114300" distR="114300" simplePos="0" relativeHeight="251649536" behindDoc="0" locked="0" layoutInCell="1" allowOverlap="1" wp14:anchorId="5853840A" wp14:editId="16FD6A06">
                <wp:simplePos x="0" y="0"/>
                <wp:positionH relativeFrom="page">
                  <wp:posOffset>862888</wp:posOffset>
                </wp:positionH>
                <wp:positionV relativeFrom="line">
                  <wp:posOffset>-60960</wp:posOffset>
                </wp:positionV>
                <wp:extent cx="9144" cy="9144"/>
                <wp:effectExtent l="0" t="0" r="0" b="0"/>
                <wp:wrapNone/>
                <wp:docPr id="800" name="Freeform 800"/>
                <wp:cNvGraphicFramePr/>
                <a:graphic xmlns:a="http://schemas.openxmlformats.org/drawingml/2006/main">
                  <a:graphicData uri="http://schemas.microsoft.com/office/word/2010/wordprocessingShape">
                    <wps:wsp>
                      <wps:cNvSpPr/>
                      <wps:spPr>
                        <a:xfrm>
                          <a:off x="0" y="0"/>
                          <a:ext cx="9144" cy="9144"/>
                        </a:xfrm>
                        <a:custGeom>
                          <a:avLst/>
                          <a:gdLst/>
                          <a:ahLst/>
                          <a:cxnLst/>
                          <a:rect l="l" t="t" r="r" b="b"/>
                          <a:pathLst>
                            <a:path w="9144" h="9144">
                              <a:moveTo>
                                <a:pt x="0" y="9144"/>
                              </a:moveTo>
                              <a:lnTo>
                                <a:pt x="9144" y="9144"/>
                              </a:lnTo>
                              <a:lnTo>
                                <a:pt x="9144" y="0"/>
                              </a:lnTo>
                              <a:lnTo>
                                <a:pt x="0" y="0"/>
                              </a:lnTo>
                              <a:lnTo>
                                <a:pt x="0" y="9144"/>
                              </a:lnTo>
                              <a:close/>
                            </a:path>
                          </a:pathLst>
                        </a:custGeom>
                        <a:solidFill>
                          <a:srgbClr val="4F81BD">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E4B3BE8" id="Freeform 800" o:spid="_x0000_s1026" style="position:absolute;margin-left:67.95pt;margin-top:-4.8pt;width:.7pt;height:.7pt;z-index:251649536;visibility:visible;mso-wrap-style:square;mso-wrap-distance-left:9pt;mso-wrap-distance-top:0;mso-wrap-distance-right:9pt;mso-wrap-distance-bottom:0;mso-position-horizontal:absolute;mso-position-horizontal-relative:page;mso-position-vertical:absolute;mso-position-vertical-relative:line;v-text-anchor:top" coordsize="9144,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D2iRAIAAG4FAAAOAAAAZHJzL2Uyb0RvYy54bWysVNuO0zAUfEfiHyy/0zRVgaVquxJU5QUB&#10;YpcPcJ2TJpJjW7a3af+e4+M4yXIREqIPyWk8Zzwzvmzvr51iF3C+NXrHy8WSM9DSVK0+7/j3x+Or&#10;O858ELoSymjY8Rt4fr9/+WLb2w2sTGNUBY4hifab3u54E4LdFIWXDXTCL4wFjYO1cZ0I+Nedi8qJ&#10;Htk7VayWyzdFb1xlnZHgPX49pEG+J/66Bhm+1LWHwNSOo7ZAT0fPU3wW+63YnJ2wTSsHGeIfVHSi&#10;1TjpSHUQQbAn1/5C1bXSGW/qsJCmK0xdtxLIA7oplz+5eWiEBfKC4Xg7xuT/H638fHmwXx3G0Fu/&#10;8VhGF9fadfGN+tiVwrqNYcE1MIkf35XrNWcSB6hChmJqlE8+fARDJOLyyYeUc5Ur0eRKXnUuHa5W&#10;XCdF6xQ4w3VynOE6ndI6WRFiX1QWS9ZnFc1QxJHOXODRECZM4mcaJ4DSc2Ay9NxPRuS3JcoRSfsH&#10;befh/E4w3G85tr9gZuoyhVTGQwo1eqV0R/9IN0/YG9VWx1ap6Nq78+mDcuwiMMr18a58f6CdKZRt&#10;RPpaLuMvZopEAz7VcyKlY8Dl6i1CI7E2cYrUpDTipx1DVbgpiDilv0HN2gr3yIoa6TDDqElICTqU&#10;aagRFSRRr+ea4vGPHaSKCCNzjfOP3ANBRiaSzJ1UDvjYCnQXjM3J0R+Epeaxg2Y2OozNXauN+50z&#10;ha6GmRM+h5SiiSmdTHWj40bp4aEmh8MFFG+N+X9qn67J/Q8AAAD//wMAUEsDBBQABgAIAAAAIQDc&#10;GI4q3gAAAAkBAAAPAAAAZHJzL2Rvd25yZXYueG1sTI/BbsIwDIbvk/YOkSftBunoBqRrihDSNAmJ&#10;w9gOHEPjtR2NUzUpdG8/c2LH3/70+3O+Gl0rztiHxpOGp2kCAqn0tqFKw9fn22QJIkRD1rSeUMMv&#10;BlgV93e5yay/0Aee97ESXEIhMxrqGLtMylDW6EyY+g6Jd9++dyZy7Ctpe3PhctfKWZLMpTMN8YXa&#10;dLipsTztB6fh3f8MC/SHEtVBbZ/dVsXktNP68WFcv4KIOMYbDFd9VoeCnY5+IBtEyzl9UYxqmKg5&#10;iCuQLlIQRx4sZyCLXP7/oPgDAAD//wMAUEsBAi0AFAAGAAgAAAAhALaDOJL+AAAA4QEAABMAAAAA&#10;AAAAAAAAAAAAAAAAAFtDb250ZW50X1R5cGVzXS54bWxQSwECLQAUAAYACAAAACEAOP0h/9YAAACU&#10;AQAACwAAAAAAAAAAAAAAAAAvAQAAX3JlbHMvLnJlbHNQSwECLQAUAAYACAAAACEA6dQ9okQCAABu&#10;BQAADgAAAAAAAAAAAAAAAAAuAgAAZHJzL2Uyb0RvYy54bWxQSwECLQAUAAYACAAAACEA3BiOKt4A&#10;AAAJAQAADwAAAAAAAAAAAAAAAACeBAAAZHJzL2Rvd25yZXYueG1sUEsFBgAAAAAEAAQA8wAAAKkF&#10;AAAAAA==&#10;" path="m,9144r9144,l9144,,,,,9144xe" fillcolor="#4f81bd" stroked="f" strokeweight="1pt">
                <v:path arrowok="t"/>
                <w10:wrap anchorx="page" anchory="line"/>
              </v:shape>
            </w:pict>
          </mc:Fallback>
        </mc:AlternateContent>
      </w:r>
      <w:r w:rsidR="00A01221">
        <w:rPr>
          <w:rFonts w:eastAsia="Times New Roman"/>
        </w:rPr>
        <w:t>.</w:t>
      </w:r>
    </w:p>
    <w:p w14:paraId="52DD6768" w14:textId="463874BE" w:rsidR="006571EA" w:rsidRPr="00A01221" w:rsidRDefault="00A01221" w:rsidP="00A01221">
      <w:pPr>
        <w:pStyle w:val="Heading3"/>
      </w:pPr>
      <w:bookmarkStart w:id="73" w:name="_Toc236903475"/>
      <w:r w:rsidRPr="00A01221">
        <w:t>System Hardening Program</w:t>
      </w:r>
      <w:bookmarkEnd w:id="73"/>
      <w:r w:rsidRPr="00A01221">
        <w:t xml:space="preserve"> </w:t>
      </w:r>
    </w:p>
    <w:p w14:paraId="32FA7FBC" w14:textId="11AE53E8" w:rsidR="00F94A0F" w:rsidRPr="001B4735" w:rsidRDefault="006571EA" w:rsidP="00DC7BC8">
      <w:pPr>
        <w:pStyle w:val="BodyText"/>
      </w:pPr>
      <w:r w:rsidRPr="009E41B8">
        <w:t>TDPUD has updated its Design and Construction Standards to reflect a focused system hardening approach, including expanded use of covered conductor on primary overhead systems and increased deployment of ductile iron (metal) poles and fiberglass/composite crossarms. These system hardening measures are designed to improve structural integrity, enhance system resilience, reduce wildfire ignition risk, and meet GO 95 heavy loading requirements in high fire</w:t>
      </w:r>
      <w:r w:rsidR="00FC70B4">
        <w:t xml:space="preserve"> </w:t>
      </w:r>
      <w:r w:rsidRPr="009E41B8">
        <w:t>threat areas.</w:t>
      </w:r>
    </w:p>
    <w:p w14:paraId="5751FEA5" w14:textId="1A9F6793" w:rsidR="00F82CE4" w:rsidRPr="00A01221" w:rsidRDefault="00A01221" w:rsidP="00A01221">
      <w:pPr>
        <w:pStyle w:val="Heading3"/>
      </w:pPr>
      <w:bookmarkStart w:id="74" w:name="_Toc133580569"/>
      <w:bookmarkStart w:id="75" w:name="_Toc135748545"/>
      <w:bookmarkStart w:id="76" w:name="_Toc236903476"/>
      <w:r w:rsidRPr="00A01221">
        <w:t>Non-Expulsion Current-Limiting Fuses</w:t>
      </w:r>
      <w:bookmarkEnd w:id="74"/>
      <w:bookmarkEnd w:id="75"/>
      <w:bookmarkEnd w:id="76"/>
    </w:p>
    <w:p w14:paraId="30F6F3AD" w14:textId="0CD5E082" w:rsidR="002D6DB7" w:rsidRDefault="002D6DB7" w:rsidP="00DC7BC8">
      <w:pPr>
        <w:pStyle w:val="BodyText"/>
        <w:rPr>
          <w:rFonts w:eastAsia="Times New Roman"/>
        </w:rPr>
      </w:pPr>
      <w:r w:rsidRPr="002D6DB7">
        <w:rPr>
          <w:rFonts w:eastAsia="Times New Roman"/>
        </w:rPr>
        <w:t>TDPUD has been replacing expulsion fuses with non-expulsion current</w:t>
      </w:r>
      <w:r w:rsidR="00FC70B4">
        <w:rPr>
          <w:rFonts w:eastAsia="Times New Roman"/>
        </w:rPr>
        <w:t>-</w:t>
      </w:r>
      <w:r w:rsidRPr="002D6DB7">
        <w:rPr>
          <w:rFonts w:eastAsia="Times New Roman"/>
        </w:rPr>
        <w:t xml:space="preserve">limiting fuses over the past several years and has completed this work on the 12 kV system. </w:t>
      </w:r>
    </w:p>
    <w:p w14:paraId="62B1E58A" w14:textId="04129DFE" w:rsidR="00B73AE6" w:rsidRPr="00B73AE6" w:rsidRDefault="00B73AE6" w:rsidP="00B73AE6">
      <w:pPr>
        <w:pStyle w:val="BodyText"/>
        <w:rPr>
          <w:rFonts w:eastAsia="Times New Roman"/>
          <w:szCs w:val="21"/>
        </w:rPr>
      </w:pPr>
      <w:r w:rsidRPr="00B73AE6">
        <w:rPr>
          <w:rFonts w:eastAsia="Times New Roman"/>
          <w:b/>
          <w:bCs/>
          <w:szCs w:val="21"/>
        </w:rPr>
        <w:t>Glenshire 14.4</w:t>
      </w:r>
      <w:r w:rsidR="00ED610D">
        <w:rPr>
          <w:rFonts w:eastAsia="Times New Roman"/>
          <w:b/>
          <w:bCs/>
          <w:szCs w:val="21"/>
        </w:rPr>
        <w:t xml:space="preserve"> </w:t>
      </w:r>
      <w:r w:rsidRPr="00B73AE6">
        <w:rPr>
          <w:rFonts w:eastAsia="Times New Roman"/>
          <w:b/>
          <w:bCs/>
          <w:szCs w:val="21"/>
        </w:rPr>
        <w:t>kV Protection Coordination</w:t>
      </w:r>
    </w:p>
    <w:p w14:paraId="5DBFB9A5" w14:textId="5943C6AE" w:rsidR="00B73AE6" w:rsidRPr="00B73AE6" w:rsidRDefault="00B73AE6" w:rsidP="00DC7BC8">
      <w:pPr>
        <w:pStyle w:val="BodyText"/>
        <w:rPr>
          <w:rFonts w:eastAsia="Times New Roman"/>
        </w:rPr>
      </w:pPr>
      <w:r w:rsidRPr="00B73AE6">
        <w:rPr>
          <w:rFonts w:eastAsia="Times New Roman"/>
        </w:rPr>
        <w:t>The District has not implemented Expulsion Limiting Fuses (ELFs) on the Glenshire 14.4</w:t>
      </w:r>
      <w:r w:rsidR="00ED610D">
        <w:rPr>
          <w:rFonts w:eastAsia="Times New Roman"/>
        </w:rPr>
        <w:t xml:space="preserve"> </w:t>
      </w:r>
      <w:r w:rsidRPr="00B73AE6">
        <w:rPr>
          <w:rFonts w:eastAsia="Times New Roman"/>
        </w:rPr>
        <w:t>kV distribution circuit due to protection coordination limitations associated with the available ELF fuse size ratings. Engineering evaluations determined that the available ELF fuse sizes do not provide acceptable coordination with upstream protective devices while maintaining reliable service to customers.</w:t>
      </w:r>
    </w:p>
    <w:p w14:paraId="377AAB23" w14:textId="19328E7C" w:rsidR="00B73AE6" w:rsidRPr="002D6DB7" w:rsidRDefault="00B73AE6" w:rsidP="00DC7BC8">
      <w:pPr>
        <w:pStyle w:val="BodyText"/>
        <w:rPr>
          <w:rFonts w:eastAsia="Times New Roman"/>
        </w:rPr>
      </w:pPr>
      <w:r w:rsidRPr="00B73AE6">
        <w:rPr>
          <w:rFonts w:eastAsia="Times New Roman"/>
        </w:rPr>
        <w:t>To improve both wildfire mitigation and system protection, the District is implementing a phased Fault Tamer Fuse program for the Glenshire 14.4</w:t>
      </w:r>
      <w:r w:rsidR="00ED610D">
        <w:rPr>
          <w:rFonts w:eastAsia="Times New Roman"/>
        </w:rPr>
        <w:t xml:space="preserve"> </w:t>
      </w:r>
      <w:r w:rsidRPr="00B73AE6">
        <w:rPr>
          <w:rFonts w:eastAsia="Times New Roman"/>
        </w:rPr>
        <w:t>kV system. Fault Tamer fuses provide additional fuse rating options that improve protection coordination while maintaining current-limiting performance. Engineering of the program will be completed in 2026, with phased installation beginning in 2027 at a target rate of approximately 25</w:t>
      </w:r>
      <w:r w:rsidR="00ED610D">
        <w:rPr>
          <w:rFonts w:eastAsia="Times New Roman"/>
        </w:rPr>
        <w:t>%</w:t>
      </w:r>
      <w:r w:rsidRPr="00B73AE6">
        <w:rPr>
          <w:rFonts w:eastAsia="Times New Roman"/>
        </w:rPr>
        <w:t xml:space="preserve"> of the identified locations annually.</w:t>
      </w:r>
    </w:p>
    <w:p w14:paraId="46112C07" w14:textId="4181EFD5" w:rsidR="008E79CD" w:rsidRPr="00A01221" w:rsidRDefault="00A01221" w:rsidP="00A01221">
      <w:pPr>
        <w:pStyle w:val="Heading3"/>
      </w:pPr>
      <w:bookmarkStart w:id="77" w:name="_Toc133580570"/>
      <w:bookmarkStart w:id="78" w:name="_Toc135748546"/>
      <w:bookmarkStart w:id="79" w:name="_Toc236903477"/>
      <w:r w:rsidRPr="00A01221">
        <w:t>Fr3 Insulating Fluid</w:t>
      </w:r>
      <w:bookmarkEnd w:id="77"/>
      <w:bookmarkEnd w:id="78"/>
      <w:bookmarkEnd w:id="79"/>
    </w:p>
    <w:p w14:paraId="12CF3DBA" w14:textId="5FA34BAA" w:rsidR="000119E8" w:rsidRDefault="000119E8" w:rsidP="00DC7BC8">
      <w:pPr>
        <w:pStyle w:val="BodyText"/>
        <w:rPr>
          <w:rFonts w:ascii="Times New Roman" w:hAnsi="Times New Roman" w:cs="Times New Roman"/>
        </w:rPr>
      </w:pPr>
      <w:r>
        <w:t>This project has been completed.</w:t>
      </w:r>
      <w:r>
        <w:rPr>
          <w:rFonts w:ascii="Times New Roman" w:hAnsi="Times New Roman" w:cs="Times New Roman"/>
        </w:rPr>
        <w:t xml:space="preserve"> </w:t>
      </w:r>
    </w:p>
    <w:p w14:paraId="22054B50" w14:textId="7EFEBA5C" w:rsidR="000119E8" w:rsidRPr="00A01221" w:rsidRDefault="00A01221" w:rsidP="00A01221">
      <w:pPr>
        <w:pStyle w:val="Heading3"/>
      </w:pPr>
      <w:bookmarkStart w:id="80" w:name="_Toc236903478"/>
      <w:r w:rsidRPr="00A01221">
        <w:lastRenderedPageBreak/>
        <w:t>Covered Primary Jumper Wire And Conductors</w:t>
      </w:r>
      <w:bookmarkEnd w:id="80"/>
    </w:p>
    <w:p w14:paraId="074D387B" w14:textId="0F4039B6" w:rsidR="00AA3324" w:rsidRDefault="000119E8" w:rsidP="00DC7BC8">
      <w:pPr>
        <w:pStyle w:val="BodyText"/>
      </w:pPr>
      <w:r w:rsidRPr="000119E8">
        <w:rPr>
          <w:rFonts w:eastAsia="Times New Roman"/>
        </w:rPr>
        <w:t>TDPUD has incorporated the use of covered (tree wire) primary jumper wire into its Design and Construction Standards as part of its system hardening efforts. Primary jumpers, which connect transformers, underground risers, and fuse cutouts to main overhead circuit conductors, are now installed using covered conductor in place of traditional bare wire to reduce the risk of contact with wildlife and windblown debris. This approach supports wildfire mitigation and improves system reliability. In addition, TDPUD has incorporated the broader use of covered conductor on primary distribution systems as a standard practice to further enhance system resilience and reduce ignition risk as part of its system hardening efforts</w:t>
      </w:r>
      <w:r w:rsidR="00792E5F">
        <w:rPr>
          <w:rFonts w:eastAsia="Times New Roman"/>
        </w:rPr>
        <w:t>.</w:t>
      </w:r>
    </w:p>
    <w:p w14:paraId="7C68AD57" w14:textId="6E34A08D" w:rsidR="008E79CD" w:rsidRPr="00A01221" w:rsidRDefault="00A01221" w:rsidP="00A01221">
      <w:pPr>
        <w:pStyle w:val="Heading3"/>
      </w:pPr>
      <w:bookmarkStart w:id="81" w:name="_Toc133580572"/>
      <w:bookmarkStart w:id="82" w:name="_Toc135748548"/>
      <w:bookmarkStart w:id="83" w:name="_Toc236903479"/>
      <w:r w:rsidRPr="00A01221">
        <w:t>Proposed Service Requirements</w:t>
      </w:r>
      <w:bookmarkEnd w:id="81"/>
      <w:bookmarkEnd w:id="82"/>
      <w:bookmarkEnd w:id="83"/>
      <w:r w:rsidRPr="00A01221">
        <w:t xml:space="preserve"> </w:t>
      </w:r>
    </w:p>
    <w:p w14:paraId="6F65C360" w14:textId="4390DAED" w:rsidR="008E79CD" w:rsidRPr="001B4735" w:rsidRDefault="008E79CD" w:rsidP="00DC7BC8">
      <w:pPr>
        <w:pStyle w:val="BodyText"/>
        <w:rPr>
          <w:rFonts w:eastAsia="Times New Roman"/>
        </w:rPr>
      </w:pPr>
      <w:r w:rsidRPr="001B4735">
        <w:rPr>
          <w:rFonts w:eastAsia="Times New Roman"/>
        </w:rPr>
        <w:t xml:space="preserve">Since 1995, </w:t>
      </w:r>
      <w:r w:rsidR="009B1EBE" w:rsidRPr="001B4735">
        <w:rPr>
          <w:rFonts w:eastAsia="Times New Roman"/>
        </w:rPr>
        <w:t>TDPUD</w:t>
      </w:r>
      <w:r w:rsidRPr="001B4735">
        <w:rPr>
          <w:rFonts w:eastAsia="Times New Roman"/>
        </w:rPr>
        <w:t xml:space="preserve"> code has required all new or reconstructed developments to take service from </w:t>
      </w:r>
      <w:r w:rsidR="009B1EBE" w:rsidRPr="001B4735">
        <w:rPr>
          <w:rFonts w:eastAsia="Times New Roman"/>
        </w:rPr>
        <w:t>TDPUD</w:t>
      </w:r>
      <w:r w:rsidRPr="001B4735">
        <w:rPr>
          <w:rFonts w:eastAsia="Times New Roman"/>
        </w:rPr>
        <w:t xml:space="preserve"> via an underground system; however, limited exceptions exist in current </w:t>
      </w:r>
      <w:r w:rsidR="009B1EBE" w:rsidRPr="001B4735">
        <w:rPr>
          <w:rFonts w:eastAsia="Times New Roman"/>
        </w:rPr>
        <w:t>TDPUD</w:t>
      </w:r>
      <w:r w:rsidRPr="001B4735">
        <w:rPr>
          <w:rFonts w:eastAsia="Times New Roman"/>
        </w:rPr>
        <w:t xml:space="preserve"> </w:t>
      </w:r>
      <w:r w:rsidR="00B01B10">
        <w:rPr>
          <w:rFonts w:eastAsia="Times New Roman"/>
        </w:rPr>
        <w:t>c</w:t>
      </w:r>
      <w:r w:rsidRPr="001B4735">
        <w:rPr>
          <w:rFonts w:eastAsia="Times New Roman"/>
        </w:rPr>
        <w:t>ode for some single</w:t>
      </w:r>
      <w:r w:rsidR="00B01B10">
        <w:rPr>
          <w:rFonts w:eastAsia="Times New Roman"/>
        </w:rPr>
        <w:t>-</w:t>
      </w:r>
      <w:r w:rsidRPr="001B4735">
        <w:rPr>
          <w:rFonts w:eastAsia="Times New Roman"/>
        </w:rPr>
        <w:t xml:space="preserve">family residences. </w:t>
      </w:r>
      <w:r w:rsidR="009B1EBE" w:rsidRPr="001B4735">
        <w:rPr>
          <w:rFonts w:eastAsia="Times New Roman"/>
        </w:rPr>
        <w:t>TDPUD</w:t>
      </w:r>
      <w:r w:rsidRPr="001B4735">
        <w:rPr>
          <w:rFonts w:eastAsia="Times New Roman"/>
        </w:rPr>
        <w:t xml:space="preserve"> seeks to minimize the installation of overhead power lines</w:t>
      </w:r>
      <w:r w:rsidR="003758D5">
        <w:rPr>
          <w:rFonts w:eastAsia="Times New Roman"/>
        </w:rPr>
        <w:t>,</w:t>
      </w:r>
      <w:r w:rsidRPr="001B4735">
        <w:rPr>
          <w:rFonts w:eastAsia="Times New Roman"/>
        </w:rPr>
        <w:t xml:space="preserve"> where practicable</w:t>
      </w:r>
      <w:r w:rsidR="00715521">
        <w:rPr>
          <w:rFonts w:eastAsia="Times New Roman"/>
        </w:rPr>
        <w:t>;</w:t>
      </w:r>
      <w:r w:rsidRPr="001B4735">
        <w:rPr>
          <w:rFonts w:eastAsia="Times New Roman"/>
        </w:rPr>
        <w:t xml:space="preserve"> </w:t>
      </w:r>
      <w:r w:rsidR="00715521">
        <w:rPr>
          <w:rFonts w:eastAsia="Times New Roman"/>
        </w:rPr>
        <w:t>TDPUD</w:t>
      </w:r>
      <w:r w:rsidR="00715521" w:rsidRPr="001B4735">
        <w:rPr>
          <w:rFonts w:eastAsia="Times New Roman"/>
        </w:rPr>
        <w:t xml:space="preserve"> </w:t>
      </w:r>
      <w:r w:rsidRPr="001B4735">
        <w:rPr>
          <w:rFonts w:eastAsia="Times New Roman"/>
        </w:rPr>
        <w:t>will</w:t>
      </w:r>
      <w:r w:rsidR="00B01B10">
        <w:rPr>
          <w:rFonts w:eastAsia="Times New Roman"/>
        </w:rPr>
        <w:t>,</w:t>
      </w:r>
      <w:r w:rsidRPr="001B4735">
        <w:rPr>
          <w:rFonts w:eastAsia="Times New Roman"/>
        </w:rPr>
        <w:t xml:space="preserve"> therefore, recommend an underground requirement for all electric services and </w:t>
      </w:r>
      <w:r w:rsidR="00715521">
        <w:rPr>
          <w:rFonts w:eastAsia="Times New Roman"/>
        </w:rPr>
        <w:t xml:space="preserve">will </w:t>
      </w:r>
      <w:r w:rsidR="00D25283" w:rsidRPr="001B4735">
        <w:rPr>
          <w:rFonts w:eastAsia="Times New Roman"/>
        </w:rPr>
        <w:t>consider</w:t>
      </w:r>
      <w:r w:rsidRPr="001B4735">
        <w:rPr>
          <w:rFonts w:eastAsia="Times New Roman"/>
        </w:rPr>
        <w:t xml:space="preserve"> the following:</w:t>
      </w:r>
    </w:p>
    <w:p w14:paraId="2E0535F5" w14:textId="296211E1" w:rsidR="008E79CD" w:rsidRPr="00DC7BC8" w:rsidRDefault="008E79CD" w:rsidP="00DC7BC8">
      <w:pPr>
        <w:pStyle w:val="BulletList"/>
      </w:pPr>
      <w:r w:rsidRPr="00DC7BC8">
        <w:t>All new installations will be required to take service from an underground source</w:t>
      </w:r>
      <w:r w:rsidR="00B01B10" w:rsidRPr="00DC7BC8">
        <w:t>.</w:t>
      </w:r>
      <w:r w:rsidRPr="00DC7BC8">
        <w:t xml:space="preserve"> </w:t>
      </w:r>
    </w:p>
    <w:p w14:paraId="18F3CA0E" w14:textId="19972261" w:rsidR="008E79CD" w:rsidRPr="00DC7BC8" w:rsidRDefault="008E79CD" w:rsidP="00DC7BC8">
      <w:pPr>
        <w:pStyle w:val="BulletList"/>
      </w:pPr>
      <w:r w:rsidRPr="00DC7BC8">
        <w:t>Like-for-like panel replacements will be required to convert to underground service</w:t>
      </w:r>
      <w:r w:rsidR="00B01B10" w:rsidRPr="00DC7BC8">
        <w:t>.</w:t>
      </w:r>
      <w:r w:rsidRPr="00DC7BC8">
        <w:t xml:space="preserve"> </w:t>
      </w:r>
    </w:p>
    <w:p w14:paraId="5B9B2A97" w14:textId="0FBCB99B" w:rsidR="008E79CD" w:rsidRPr="00DC7BC8" w:rsidRDefault="008E79CD" w:rsidP="00DC7BC8">
      <w:pPr>
        <w:pStyle w:val="BulletList"/>
      </w:pPr>
      <w:r w:rsidRPr="00DC7BC8">
        <w:t>Upgraded panel replacements will be required to convert to underground service</w:t>
      </w:r>
      <w:r w:rsidR="00B01B10" w:rsidRPr="00DC7BC8">
        <w:t>.</w:t>
      </w:r>
      <w:r w:rsidRPr="00DC7BC8">
        <w:t xml:space="preserve"> </w:t>
      </w:r>
    </w:p>
    <w:p w14:paraId="6ABDC2D6" w14:textId="70932136" w:rsidR="008E79CD" w:rsidRPr="00DC7BC8" w:rsidRDefault="009B1EBE" w:rsidP="00DC7BC8">
      <w:pPr>
        <w:pStyle w:val="BulletList"/>
      </w:pPr>
      <w:r w:rsidRPr="00DC7BC8">
        <w:t>TDPUD</w:t>
      </w:r>
      <w:r w:rsidR="008E79CD" w:rsidRPr="00DC7BC8">
        <w:t xml:space="preserve"> will not attach to trees for any reason</w:t>
      </w:r>
      <w:r w:rsidR="00B01B10" w:rsidRPr="00DC7BC8">
        <w:t>.</w:t>
      </w:r>
      <w:r w:rsidR="008E79CD" w:rsidRPr="00DC7BC8">
        <w:t xml:space="preserve"> </w:t>
      </w:r>
    </w:p>
    <w:p w14:paraId="14B5917B" w14:textId="33BDB421" w:rsidR="00AA3324" w:rsidRPr="00DC7BC8" w:rsidRDefault="008E79CD" w:rsidP="00DC7BC8">
      <w:pPr>
        <w:pStyle w:val="BulletList"/>
      </w:pPr>
      <w:r w:rsidRPr="00DC7BC8">
        <w:t xml:space="preserve">Customer(s) receiving service via legacy tree attachment(s) will be required to comply with </w:t>
      </w:r>
      <w:r w:rsidR="007869D9" w:rsidRPr="00DC7BC8">
        <w:t>Section 5.36</w:t>
      </w:r>
      <w:r w:rsidR="009D1596" w:rsidRPr="00DC7BC8">
        <w:t>,</w:t>
      </w:r>
      <w:r w:rsidR="007869D9" w:rsidRPr="00DC7BC8">
        <w:t xml:space="preserve"> Tree Attachments</w:t>
      </w:r>
      <w:r w:rsidR="009D1596" w:rsidRPr="00DC7BC8">
        <w:t>.</w:t>
      </w:r>
      <w:r w:rsidR="007869D9" w:rsidRPr="00DC7BC8">
        <w:t xml:space="preserve"> </w:t>
      </w:r>
    </w:p>
    <w:p w14:paraId="455C8803" w14:textId="631DEF27" w:rsidR="008E79CD" w:rsidRPr="00A01221" w:rsidRDefault="00A01221" w:rsidP="00A01221">
      <w:pPr>
        <w:pStyle w:val="Heading3"/>
      </w:pPr>
      <w:bookmarkStart w:id="84" w:name="_Toc133580573"/>
      <w:bookmarkStart w:id="85" w:name="_Toc135748549"/>
      <w:bookmarkStart w:id="86" w:name="_Toc236903480"/>
      <w:r w:rsidRPr="00A01221">
        <w:t>Tree Attachments (Legacy Attachments)</w:t>
      </w:r>
      <w:bookmarkEnd w:id="84"/>
      <w:bookmarkEnd w:id="85"/>
      <w:bookmarkEnd w:id="86"/>
    </w:p>
    <w:p w14:paraId="05BD9B22" w14:textId="6A4A1F05" w:rsidR="002B2AA5" w:rsidRPr="001B4735" w:rsidRDefault="002B2AA5" w:rsidP="00DC7BC8">
      <w:pPr>
        <w:pStyle w:val="BodyText"/>
        <w:rPr>
          <w:rFonts w:eastAsia="Times New Roman"/>
        </w:rPr>
      </w:pPr>
      <w:r w:rsidRPr="001B4735">
        <w:rPr>
          <w:rFonts w:eastAsia="Times New Roman"/>
        </w:rPr>
        <w:t xml:space="preserve">Existing tree attachment service drops are tracked within the GIS to identify locations where trees and branches may be a </w:t>
      </w:r>
      <w:r w:rsidR="00C87DF7" w:rsidRPr="001B4735">
        <w:rPr>
          <w:rFonts w:eastAsia="Times New Roman"/>
        </w:rPr>
        <w:t>potential hazard</w:t>
      </w:r>
      <w:r w:rsidRPr="001B4735">
        <w:rPr>
          <w:rFonts w:eastAsia="Times New Roman"/>
        </w:rPr>
        <w:t xml:space="preserve"> to electric infrastructure and </w:t>
      </w:r>
      <w:r w:rsidR="00B01B10">
        <w:rPr>
          <w:rFonts w:eastAsia="Times New Roman"/>
        </w:rPr>
        <w:t xml:space="preserve">to </w:t>
      </w:r>
      <w:r w:rsidRPr="001B4735">
        <w:rPr>
          <w:rFonts w:eastAsia="Times New Roman"/>
        </w:rPr>
        <w:t xml:space="preserve">provide </w:t>
      </w:r>
      <w:r w:rsidR="009B1EBE" w:rsidRPr="001B4735">
        <w:rPr>
          <w:rFonts w:eastAsia="Times New Roman"/>
        </w:rPr>
        <w:t>TDPUD</w:t>
      </w:r>
      <w:r w:rsidRPr="001B4735">
        <w:rPr>
          <w:rFonts w:eastAsia="Times New Roman"/>
        </w:rPr>
        <w:t xml:space="preserve"> crews with location information for inspecting tree attachments. Legacy tree attachments are no longer allowed. When an existing tree attachment fails or is damaged, a new utility pole is installed and used for securing all secondary attachments. </w:t>
      </w:r>
    </w:p>
    <w:p w14:paraId="11D79E6F" w14:textId="67FD3A7C" w:rsidR="002B2AA5" w:rsidRPr="001B4735" w:rsidRDefault="002B2AA5" w:rsidP="00DC7BC8">
      <w:pPr>
        <w:pStyle w:val="BodyText"/>
        <w:rPr>
          <w:rFonts w:eastAsia="Times New Roman"/>
        </w:rPr>
      </w:pPr>
      <w:r w:rsidRPr="001B4735">
        <w:rPr>
          <w:rFonts w:eastAsia="Times New Roman"/>
        </w:rPr>
        <w:t xml:space="preserve">Pursuant to Title 14 </w:t>
      </w:r>
      <w:r w:rsidR="00181D31">
        <w:rPr>
          <w:rFonts w:eastAsia="Times New Roman"/>
        </w:rPr>
        <w:t xml:space="preserve">of the </w:t>
      </w:r>
      <w:r w:rsidR="00181D31" w:rsidRPr="00181D31">
        <w:rPr>
          <w:rFonts w:eastAsia="Times New Roman"/>
        </w:rPr>
        <w:t>California Code of Regulations</w:t>
      </w:r>
      <w:r w:rsidR="009D30F2">
        <w:rPr>
          <w:rFonts w:eastAsia="Times New Roman"/>
        </w:rPr>
        <w:t xml:space="preserve"> Section</w:t>
      </w:r>
      <w:r w:rsidRPr="001B4735">
        <w:rPr>
          <w:rFonts w:eastAsia="Times New Roman"/>
        </w:rPr>
        <w:t xml:space="preserve"> 1257</w:t>
      </w:r>
      <w:r w:rsidR="002478ED">
        <w:rPr>
          <w:rFonts w:eastAsia="Times New Roman"/>
        </w:rPr>
        <w:t xml:space="preserve">, and </w:t>
      </w:r>
      <w:r w:rsidRPr="001B4735">
        <w:rPr>
          <w:rFonts w:eastAsia="Times New Roman"/>
        </w:rPr>
        <w:t>annually starting in 2020, contract tree crews trim</w:t>
      </w:r>
      <w:r w:rsidR="003758D5">
        <w:rPr>
          <w:rFonts w:eastAsia="Times New Roman"/>
        </w:rPr>
        <w:t xml:space="preserve"> </w:t>
      </w:r>
      <w:r w:rsidRPr="001B4735">
        <w:rPr>
          <w:rFonts w:eastAsia="Times New Roman"/>
        </w:rPr>
        <w:t xml:space="preserve">the area of the attachments and perform an inspection. Any hazard found is immediately reported to </w:t>
      </w:r>
      <w:r w:rsidR="009B1EBE" w:rsidRPr="001B4735">
        <w:rPr>
          <w:rFonts w:eastAsia="Times New Roman"/>
        </w:rPr>
        <w:t>TDPUD</w:t>
      </w:r>
      <w:r w:rsidRPr="001B4735">
        <w:rPr>
          <w:rFonts w:eastAsia="Times New Roman"/>
        </w:rPr>
        <w:t xml:space="preserve"> staff for mitigation.</w:t>
      </w:r>
    </w:p>
    <w:p w14:paraId="7320E57D" w14:textId="17768153" w:rsidR="00C811A1" w:rsidRPr="001B4735" w:rsidRDefault="009B1EBE" w:rsidP="00DC7BC8">
      <w:pPr>
        <w:pStyle w:val="BodyText"/>
        <w:rPr>
          <w:rFonts w:eastAsia="Times New Roman"/>
        </w:rPr>
      </w:pPr>
      <w:r w:rsidRPr="001B4735">
        <w:rPr>
          <w:rFonts w:eastAsia="Times New Roman"/>
        </w:rPr>
        <w:t>TDPUD</w:t>
      </w:r>
      <w:r w:rsidR="00C811A1" w:rsidRPr="001B4735">
        <w:rPr>
          <w:rFonts w:eastAsia="Times New Roman"/>
        </w:rPr>
        <w:t xml:space="preserve"> monitors trends in materials, technology</w:t>
      </w:r>
      <w:r w:rsidR="000D6660">
        <w:rPr>
          <w:rFonts w:eastAsia="Times New Roman"/>
        </w:rPr>
        <w:t>,</w:t>
      </w:r>
      <w:r w:rsidR="00C811A1" w:rsidRPr="001B4735">
        <w:rPr>
          <w:rFonts w:eastAsia="Times New Roman"/>
        </w:rPr>
        <w:t xml:space="preserve"> and work methods to evaluate prudent operational changes to enhance the efficacy of wildfire mitigation. These evaluations include:</w:t>
      </w:r>
    </w:p>
    <w:p w14:paraId="5010D622" w14:textId="3B16AB33" w:rsidR="00C811A1" w:rsidRPr="00DC7BC8" w:rsidRDefault="00C811A1" w:rsidP="00DC7BC8">
      <w:pPr>
        <w:pStyle w:val="BulletList"/>
      </w:pPr>
      <w:r w:rsidRPr="00DC7BC8">
        <w:t xml:space="preserve">Engineering </w:t>
      </w:r>
      <w:r w:rsidR="000D6660" w:rsidRPr="00DC7BC8">
        <w:t>p</w:t>
      </w:r>
      <w:r w:rsidRPr="00DC7BC8">
        <w:t>ole</w:t>
      </w:r>
      <w:r w:rsidR="000D6660" w:rsidRPr="00DC7BC8">
        <w:t>-r</w:t>
      </w:r>
      <w:r w:rsidRPr="00DC7BC8">
        <w:t xml:space="preserve">anking </w:t>
      </w:r>
      <w:r w:rsidR="000D6660" w:rsidRPr="00DC7BC8">
        <w:t>t</w:t>
      </w:r>
      <w:r w:rsidRPr="00DC7BC8">
        <w:t>ools</w:t>
      </w:r>
    </w:p>
    <w:p w14:paraId="30F3BB95" w14:textId="64BFAAE4" w:rsidR="00C811A1" w:rsidRPr="00DC7BC8" w:rsidRDefault="00C811A1" w:rsidP="00DC7BC8">
      <w:pPr>
        <w:pStyle w:val="BulletList"/>
      </w:pPr>
      <w:r w:rsidRPr="00DC7BC8">
        <w:t xml:space="preserve">Intrusive </w:t>
      </w:r>
      <w:r w:rsidR="000D6660" w:rsidRPr="00DC7BC8">
        <w:t>p</w:t>
      </w:r>
      <w:r w:rsidRPr="00DC7BC8">
        <w:t xml:space="preserve">ole </w:t>
      </w:r>
      <w:r w:rsidR="000D6660" w:rsidRPr="00DC7BC8">
        <w:t>i</w:t>
      </w:r>
      <w:r w:rsidRPr="00DC7BC8">
        <w:t>nspections</w:t>
      </w:r>
    </w:p>
    <w:p w14:paraId="117005D1" w14:textId="77AE05F8" w:rsidR="00C811A1" w:rsidRPr="00DC7BC8" w:rsidRDefault="00C811A1" w:rsidP="00DC7BC8">
      <w:pPr>
        <w:pStyle w:val="BulletList"/>
      </w:pPr>
      <w:r w:rsidRPr="00DC7BC8">
        <w:t xml:space="preserve">New </w:t>
      </w:r>
      <w:r w:rsidR="000D6660" w:rsidRPr="00DC7BC8">
        <w:t>c</w:t>
      </w:r>
      <w:r w:rsidRPr="00DC7BC8">
        <w:t xml:space="preserve">onstruction </w:t>
      </w:r>
      <w:r w:rsidR="000D6660" w:rsidRPr="00DC7BC8">
        <w:t>m</w:t>
      </w:r>
      <w:r w:rsidRPr="00DC7BC8">
        <w:t>ethods/</w:t>
      </w:r>
      <w:r w:rsidR="000D6660" w:rsidRPr="00DC7BC8">
        <w:t>m</w:t>
      </w:r>
      <w:r w:rsidRPr="00DC7BC8">
        <w:t>aterials</w:t>
      </w:r>
    </w:p>
    <w:p w14:paraId="1C62BE01" w14:textId="5D4647E5" w:rsidR="00C811A1" w:rsidRPr="00DC7BC8" w:rsidRDefault="00C811A1" w:rsidP="00DC7BC8">
      <w:pPr>
        <w:pStyle w:val="BulletList"/>
      </w:pPr>
      <w:r w:rsidRPr="00DC7BC8">
        <w:lastRenderedPageBreak/>
        <w:t xml:space="preserve">Undergrounding </w:t>
      </w:r>
      <w:r w:rsidR="000D6660" w:rsidRPr="00DC7BC8">
        <w:t>n</w:t>
      </w:r>
      <w:r w:rsidRPr="00DC7BC8">
        <w:t xml:space="preserve">ew </w:t>
      </w:r>
      <w:r w:rsidR="000D6660" w:rsidRPr="00DC7BC8">
        <w:t>c</w:t>
      </w:r>
      <w:r w:rsidRPr="00DC7BC8">
        <w:t>onstruction and</w:t>
      </w:r>
      <w:r w:rsidR="00F915A4" w:rsidRPr="00DC7BC8">
        <w:t xml:space="preserve"> </w:t>
      </w:r>
      <w:r w:rsidR="000D6660" w:rsidRPr="00DC7BC8">
        <w:t>t</w:t>
      </w:r>
      <w:r w:rsidRPr="00DC7BC8">
        <w:t xml:space="preserve">ree </w:t>
      </w:r>
      <w:r w:rsidR="000D6660" w:rsidRPr="00DC7BC8">
        <w:t>w</w:t>
      </w:r>
      <w:r w:rsidRPr="00DC7BC8">
        <w:t xml:space="preserve">ire (covered wire) </w:t>
      </w:r>
      <w:r w:rsidR="000D6660" w:rsidRPr="00DC7BC8">
        <w:t>u</w:t>
      </w:r>
      <w:r w:rsidRPr="00DC7BC8">
        <w:t>se, where applicable</w:t>
      </w:r>
    </w:p>
    <w:p w14:paraId="32E43319" w14:textId="153BE33A" w:rsidR="00C811A1" w:rsidRDefault="003961A5" w:rsidP="00DC7BC8">
      <w:pPr>
        <w:pStyle w:val="Heading3"/>
      </w:pPr>
      <w:bookmarkStart w:id="87" w:name="_Toc133580574"/>
      <w:bookmarkStart w:id="88" w:name="_Toc135748550"/>
      <w:bookmarkStart w:id="89" w:name="_Toc236903481"/>
      <w:r>
        <w:t xml:space="preserve">Advanced </w:t>
      </w:r>
      <w:r w:rsidR="00C811A1">
        <w:t>Metering Infrastructure</w:t>
      </w:r>
      <w:bookmarkEnd w:id="87"/>
      <w:bookmarkEnd w:id="88"/>
      <w:bookmarkEnd w:id="89"/>
    </w:p>
    <w:p w14:paraId="22B55D25" w14:textId="0AD52C8C" w:rsidR="00F915A4" w:rsidRDefault="009B1EBE" w:rsidP="00DC7BC8">
      <w:pPr>
        <w:pStyle w:val="BodyText"/>
      </w:pPr>
      <w:r>
        <w:t>TDPUD</w:t>
      </w:r>
      <w:r w:rsidR="00F915A4">
        <w:t xml:space="preserve"> has invested in and deployed advanced metering infrastructure </w:t>
      </w:r>
      <w:r w:rsidR="00930B6A">
        <w:t xml:space="preserve">(AMI) </w:t>
      </w:r>
      <w:r w:rsidR="002A7BFF">
        <w:t>across the</w:t>
      </w:r>
      <w:r w:rsidR="008463DD">
        <w:t xml:space="preserve"> entire</w:t>
      </w:r>
      <w:r w:rsidR="00F915A4">
        <w:t xml:space="preserve"> service territory. AMI is an integrated system of smart meters, communications networks, and data management systems that enable two-way communication between utilities and customers. The system provides </w:t>
      </w:r>
      <w:r w:rsidR="00C87DF7">
        <w:t>several</w:t>
      </w:r>
      <w:r w:rsidR="00F915A4">
        <w:t xml:space="preserve"> important functions that were not previously possible or had to be performed manually, such as the ability to automatically send an outage notification to </w:t>
      </w:r>
      <w:r>
        <w:t>TDPUD</w:t>
      </w:r>
      <w:r w:rsidR="00F915A4">
        <w:t>’s OMS, automatically and remotely measure electricity use, connect and disconnect services, detect tampering, identify and isolate outages, and monitor voltages.</w:t>
      </w:r>
      <w:r w:rsidR="0009235E">
        <w:t xml:space="preserve"> </w:t>
      </w:r>
    </w:p>
    <w:p w14:paraId="1625E118" w14:textId="7FCBD38C" w:rsidR="00F915A4" w:rsidRPr="00F915A4" w:rsidRDefault="00F915A4" w:rsidP="00DC7BC8">
      <w:pPr>
        <w:pStyle w:val="BodyText"/>
      </w:pPr>
      <w:r>
        <w:t xml:space="preserve">In 2021, </w:t>
      </w:r>
      <w:r w:rsidR="009B1EBE">
        <w:t>TDPUD</w:t>
      </w:r>
      <w:r>
        <w:t xml:space="preserve"> implemented </w:t>
      </w:r>
      <w:r w:rsidR="00F0581A">
        <w:t>the National Information Solutions Cooperative (</w:t>
      </w:r>
      <w:r>
        <w:t>NISC</w:t>
      </w:r>
      <w:r w:rsidR="00F0581A">
        <w:t>)</w:t>
      </w:r>
      <w:r>
        <w:t xml:space="preserve"> Operational Analytics module for the </w:t>
      </w:r>
      <w:r w:rsidR="00F0581A">
        <w:t>e</w:t>
      </w:r>
      <w:r>
        <w:t xml:space="preserve">lectric </w:t>
      </w:r>
      <w:r w:rsidR="00F0581A">
        <w:t>u</w:t>
      </w:r>
      <w:r>
        <w:t xml:space="preserve">tility. The </w:t>
      </w:r>
      <w:r w:rsidR="00E120E5">
        <w:t xml:space="preserve">Operational Analytics </w:t>
      </w:r>
      <w:r>
        <w:t xml:space="preserve">module is an enhancement to the existing Meter Data Management System used by </w:t>
      </w:r>
      <w:r w:rsidR="009B1EBE">
        <w:t>TDPUD</w:t>
      </w:r>
      <w:r>
        <w:t xml:space="preserve"> to gather interval data across all AMI meters. The </w:t>
      </w:r>
      <w:r w:rsidR="00E120E5">
        <w:t xml:space="preserve">Operational Analytics </w:t>
      </w:r>
      <w:r>
        <w:t xml:space="preserve">module has improved </w:t>
      </w:r>
      <w:r w:rsidR="009B1EBE">
        <w:t>TDPUD</w:t>
      </w:r>
      <w:r>
        <w:t xml:space="preserve">’s operational efficiencies and grid reliability through advanced data analysis. The implementation included integrations with </w:t>
      </w:r>
      <w:r w:rsidR="009B1EBE">
        <w:t>TDPUD</w:t>
      </w:r>
      <w:r>
        <w:t xml:space="preserve">’s AMI, </w:t>
      </w:r>
      <w:r w:rsidR="00717B8C">
        <w:t>Esri</w:t>
      </w:r>
      <w:r>
        <w:t xml:space="preserve"> GIS, and </w:t>
      </w:r>
      <w:r w:rsidR="00E120E5">
        <w:t>Supervisory Control and Data Acquisition (</w:t>
      </w:r>
      <w:r>
        <w:t>SCADA</w:t>
      </w:r>
      <w:r w:rsidR="00E120E5">
        <w:t>)</w:t>
      </w:r>
      <w:r>
        <w:t xml:space="preserve"> systems</w:t>
      </w:r>
      <w:r w:rsidR="003758D5">
        <w:t>, which</w:t>
      </w:r>
      <w:r>
        <w:t xml:space="preserve"> are now used to proactively locate and replace critically overloaded or underloaded </w:t>
      </w:r>
      <w:r w:rsidR="009B1EBE">
        <w:t>transformers and</w:t>
      </w:r>
      <w:r>
        <w:t xml:space="preserve"> reduce feeder losses.</w:t>
      </w:r>
    </w:p>
    <w:p w14:paraId="778902D9" w14:textId="01F3CF4D" w:rsidR="00C811A1" w:rsidRDefault="00C811A1" w:rsidP="00DC7BC8">
      <w:pPr>
        <w:pStyle w:val="Heading3"/>
      </w:pPr>
      <w:bookmarkStart w:id="90" w:name="_Toc133580575"/>
      <w:bookmarkStart w:id="91" w:name="_Toc135748551"/>
      <w:bookmarkStart w:id="92" w:name="_Toc236903482"/>
      <w:r>
        <w:t>Outage Management System</w:t>
      </w:r>
      <w:bookmarkEnd w:id="90"/>
      <w:bookmarkEnd w:id="91"/>
      <w:r w:rsidR="009710DD">
        <w:t xml:space="preserve"> (OMS)</w:t>
      </w:r>
      <w:bookmarkEnd w:id="92"/>
    </w:p>
    <w:p w14:paraId="3D259CB1" w14:textId="497F9C11" w:rsidR="00B14CB2" w:rsidRDefault="00B14CB2" w:rsidP="00B14CB2">
      <w:pPr>
        <w:pStyle w:val="BodyText"/>
      </w:pPr>
      <w:r w:rsidRPr="0058296B">
        <w:rPr>
          <w:szCs w:val="21"/>
        </w:rPr>
        <w:t>Since</w:t>
      </w:r>
      <w:r w:rsidRPr="00B14CB2">
        <w:t xml:space="preserve"> 2007, </w:t>
      </w:r>
      <w:r w:rsidR="009B1EBE">
        <w:t>TDPUD</w:t>
      </w:r>
      <w:r w:rsidRPr="00B14CB2">
        <w:t xml:space="preserve"> </w:t>
      </w:r>
      <w:r w:rsidR="004303E5">
        <w:t xml:space="preserve">has </w:t>
      </w:r>
      <w:r w:rsidRPr="00B14CB2">
        <w:t xml:space="preserve">utilized </w:t>
      </w:r>
      <w:r w:rsidR="009710DD">
        <w:t>an</w:t>
      </w:r>
      <w:r w:rsidRPr="00B14CB2">
        <w:t xml:space="preserve"> OMS for tracking and responding to electric outages and system hazards. The</w:t>
      </w:r>
      <w:r>
        <w:t xml:space="preserve"> OMS captures outage information in real time from</w:t>
      </w:r>
      <w:r w:rsidR="009710DD">
        <w:t xml:space="preserve"> the electric</w:t>
      </w:r>
      <w:r>
        <w:t xml:space="preserve"> meters </w:t>
      </w:r>
      <w:r w:rsidR="00C87DF7">
        <w:t>and</w:t>
      </w:r>
      <w:r>
        <w:t xml:space="preserve"> captures incoming phone calls from the public and </w:t>
      </w:r>
      <w:r w:rsidR="009B1EBE">
        <w:t>TDPUD</w:t>
      </w:r>
      <w:r>
        <w:t xml:space="preserve"> customers. In 2019, </w:t>
      </w:r>
      <w:r w:rsidR="009B1EBE">
        <w:t>TDPUD</w:t>
      </w:r>
      <w:r>
        <w:t xml:space="preserve"> extended categorizing incidents to include </w:t>
      </w:r>
      <w:r w:rsidR="0008399C">
        <w:t>f</w:t>
      </w:r>
      <w:r>
        <w:t xml:space="preserve">ires, </w:t>
      </w:r>
      <w:r w:rsidR="0008399C">
        <w:t>h</w:t>
      </w:r>
      <w:r>
        <w:t xml:space="preserve">azard </w:t>
      </w:r>
      <w:r w:rsidR="0008399C">
        <w:t>t</w:t>
      </w:r>
      <w:r>
        <w:t xml:space="preserve">rees, or branches in proximity </w:t>
      </w:r>
      <w:r w:rsidR="003758D5">
        <w:t xml:space="preserve">to </w:t>
      </w:r>
      <w:r>
        <w:t>electric lines.</w:t>
      </w:r>
    </w:p>
    <w:p w14:paraId="66F91162" w14:textId="3F931BE8" w:rsidR="00B14CB2" w:rsidRDefault="00B14CB2" w:rsidP="00DC7BC8">
      <w:pPr>
        <w:pStyle w:val="BodyText"/>
      </w:pPr>
      <w:r>
        <w:t xml:space="preserve">In addition to tracking active hazards </w:t>
      </w:r>
      <w:r w:rsidR="00D42AB1">
        <w:t xml:space="preserve">in </w:t>
      </w:r>
      <w:r>
        <w:t xml:space="preserve">the system, all calls </w:t>
      </w:r>
      <w:r w:rsidR="00C87DF7">
        <w:t>entered</w:t>
      </w:r>
      <w:r>
        <w:t xml:space="preserve"> </w:t>
      </w:r>
      <w:r w:rsidR="006478DA">
        <w:t xml:space="preserve">into </w:t>
      </w:r>
      <w:r>
        <w:t xml:space="preserve">the OMS can later be used for reporting based on </w:t>
      </w:r>
      <w:r w:rsidR="006478DA">
        <w:t>o</w:t>
      </w:r>
      <w:r>
        <w:t xml:space="preserve">utage </w:t>
      </w:r>
      <w:r w:rsidR="006478DA">
        <w:t>c</w:t>
      </w:r>
      <w:r>
        <w:t xml:space="preserve">ause, </w:t>
      </w:r>
      <w:r w:rsidR="006478DA">
        <w:t>d</w:t>
      </w:r>
      <w:r>
        <w:t xml:space="preserve">uration, </w:t>
      </w:r>
      <w:r w:rsidR="006478DA">
        <w:t>s</w:t>
      </w:r>
      <w:r>
        <w:t xml:space="preserve">ystem </w:t>
      </w:r>
      <w:r w:rsidR="006478DA">
        <w:t>d</w:t>
      </w:r>
      <w:r>
        <w:t xml:space="preserve">evice, and number of customers affected. This information is used by </w:t>
      </w:r>
      <w:r w:rsidR="009B1EBE">
        <w:t>TDPUD</w:t>
      </w:r>
      <w:r>
        <w:t xml:space="preserve"> engineers to plan electric system upgrades and device replacements. Events recorded</w:t>
      </w:r>
      <w:r w:rsidR="006E5116">
        <w:t xml:space="preserve"> and stored</w:t>
      </w:r>
      <w:r>
        <w:t xml:space="preserve"> in the OMS</w:t>
      </w:r>
      <w:r w:rsidR="00464E10">
        <w:t xml:space="preserve"> </w:t>
      </w:r>
      <w:r w:rsidR="006478DA">
        <w:t>a</w:t>
      </w:r>
      <w:r>
        <w:t>rchives</w:t>
      </w:r>
      <w:r w:rsidR="002D2DB4">
        <w:t xml:space="preserve"> are</w:t>
      </w:r>
      <w:r>
        <w:t xml:space="preserve"> available for engineering and operations staff upon </w:t>
      </w:r>
      <w:r w:rsidR="00464E10">
        <w:t>request and</w:t>
      </w:r>
      <w:r>
        <w:t xml:space="preserve"> made available to public agencies as part of yearly CPUC reporting requirements on reliability indices.</w:t>
      </w:r>
    </w:p>
    <w:p w14:paraId="7C1CC9B2" w14:textId="545F66C6" w:rsidR="00B14CB2" w:rsidRDefault="00B14CB2" w:rsidP="00B14CB2">
      <w:pPr>
        <w:pStyle w:val="BodyText"/>
      </w:pPr>
      <w:r>
        <w:t xml:space="preserve">In 2021, </w:t>
      </w:r>
      <w:r w:rsidR="009B1EBE">
        <w:t>TDPUD</w:t>
      </w:r>
      <w:r>
        <w:t>’s Board</w:t>
      </w:r>
      <w:r w:rsidR="003860D5">
        <w:t xml:space="preserve"> of Directors</w:t>
      </w:r>
      <w:r>
        <w:t xml:space="preserve"> authorized a contract for a new OMS available through NISC. </w:t>
      </w:r>
      <w:r w:rsidR="009B1EBE">
        <w:t>TDPUD</w:t>
      </w:r>
      <w:r>
        <w:t xml:space="preserve"> utilizes NISC software as the base enterprise planning resource software </w:t>
      </w:r>
      <w:r w:rsidR="00485CDB">
        <w:t>that</w:t>
      </w:r>
      <w:r>
        <w:t xml:space="preserve"> manages </w:t>
      </w:r>
      <w:r w:rsidR="009B1EBE">
        <w:t>TDPUD</w:t>
      </w:r>
      <w:r>
        <w:t xml:space="preserve">’s accounting, payroll, and customer information systems. </w:t>
      </w:r>
      <w:r w:rsidR="009B1EBE">
        <w:t>TDPUD</w:t>
      </w:r>
      <w:r>
        <w:t xml:space="preserve"> has standardized this software for the past 18 years due to in-house expertise with the product, the advanced leadership of NISC with other public power utilities, and </w:t>
      </w:r>
      <w:r w:rsidR="00485CDB">
        <w:t>its</w:t>
      </w:r>
      <w:r>
        <w:t xml:space="preserve"> compatibility with other </w:t>
      </w:r>
      <w:r w:rsidR="009B1EBE">
        <w:t>TDPUD</w:t>
      </w:r>
      <w:r>
        <w:t xml:space="preserve"> products</w:t>
      </w:r>
      <w:r w:rsidR="00D42AB1">
        <w:t>,</w:t>
      </w:r>
      <w:r>
        <w:t xml:space="preserve"> including </w:t>
      </w:r>
      <w:r w:rsidR="00485CDB">
        <w:t xml:space="preserve">the </w:t>
      </w:r>
      <w:r>
        <w:t xml:space="preserve">AMI, </w:t>
      </w:r>
      <w:r w:rsidR="006478DA">
        <w:t>Esri</w:t>
      </w:r>
      <w:r>
        <w:t xml:space="preserve"> GIS, and SCADA systems.</w:t>
      </w:r>
    </w:p>
    <w:p w14:paraId="7754CCD4" w14:textId="4546C1FB" w:rsidR="00B14CB2" w:rsidRPr="00B14CB2" w:rsidRDefault="00B14CB2" w:rsidP="00DC7BC8">
      <w:pPr>
        <w:pStyle w:val="BodyText"/>
      </w:pPr>
      <w:r>
        <w:t xml:space="preserve">The </w:t>
      </w:r>
      <w:r w:rsidR="005B6A14">
        <w:t xml:space="preserve">NISC </w:t>
      </w:r>
      <w:r>
        <w:t>OMS inform</w:t>
      </w:r>
      <w:r w:rsidR="007B114F">
        <w:t>s</w:t>
      </w:r>
      <w:r>
        <w:t xml:space="preserve"> </w:t>
      </w:r>
      <w:r w:rsidR="009B1EBE">
        <w:t>TDPUD</w:t>
      </w:r>
      <w:r>
        <w:t xml:space="preserve"> on how to best resolve an outage while </w:t>
      </w:r>
      <w:r w:rsidR="009D7456">
        <w:t xml:space="preserve">automatically </w:t>
      </w:r>
      <w:r>
        <w:t xml:space="preserve">communicating with customers </w:t>
      </w:r>
      <w:r w:rsidR="009D7456">
        <w:t xml:space="preserve">that they are experiencing an outage and </w:t>
      </w:r>
      <w:r w:rsidR="00485CDB">
        <w:t xml:space="preserve">providing </w:t>
      </w:r>
      <w:r w:rsidR="009D7456">
        <w:t xml:space="preserve">information </w:t>
      </w:r>
      <w:r>
        <w:lastRenderedPageBreak/>
        <w:t xml:space="preserve">on how the outage is being resolved. The OMS also includes an interactive map with active locations of crews in the field responding to an </w:t>
      </w:r>
      <w:r w:rsidR="00464E10">
        <w:t>incident and</w:t>
      </w:r>
      <w:r w:rsidR="00355410">
        <w:t xml:space="preserve"> </w:t>
      </w:r>
      <w:r w:rsidR="004A665F">
        <w:t>a</w:t>
      </w:r>
      <w:r w:rsidR="00355410">
        <w:t xml:space="preserve">llows </w:t>
      </w:r>
      <w:r w:rsidR="009B1EBE">
        <w:t>TDPUD</w:t>
      </w:r>
      <w:r>
        <w:t xml:space="preserve"> </w:t>
      </w:r>
      <w:r w:rsidR="00CC229B">
        <w:t>customers</w:t>
      </w:r>
      <w:r>
        <w:t xml:space="preserve"> to customize outage alerts through the MyAccount/SmartHub customer engagement tool.</w:t>
      </w:r>
    </w:p>
    <w:p w14:paraId="5E3F2495" w14:textId="506E98B6" w:rsidR="00C811A1" w:rsidRDefault="00C811A1" w:rsidP="00DC7BC8">
      <w:pPr>
        <w:pStyle w:val="Heading3"/>
      </w:pPr>
      <w:bookmarkStart w:id="93" w:name="_Toc133580576"/>
      <w:bookmarkStart w:id="94" w:name="_Toc135748552"/>
      <w:bookmarkStart w:id="95" w:name="_Toc236903483"/>
      <w:r>
        <w:t>Supervisory Control and Data Acquisition</w:t>
      </w:r>
      <w:bookmarkEnd w:id="93"/>
      <w:bookmarkEnd w:id="94"/>
      <w:bookmarkEnd w:id="95"/>
    </w:p>
    <w:p w14:paraId="708DD306" w14:textId="77777777" w:rsidR="001E3F33" w:rsidRDefault="00697A36" w:rsidP="00DC7BC8">
      <w:pPr>
        <w:pStyle w:val="BodyText"/>
      </w:pPr>
      <w:r>
        <w:t xml:space="preserve">TDPUD has invested in a fiber-based Supervisory Control and Data Acquisition (SCADA) system that provides staff with real-time visibility into the distribution network, supporting system monitoring, issue diagnosis, and forecasting under all operating conditions. </w:t>
      </w:r>
    </w:p>
    <w:p w14:paraId="16AEA451" w14:textId="1E77AF53" w:rsidR="001E3F33" w:rsidRPr="001E3F33" w:rsidRDefault="001E3F33" w:rsidP="00DC7BC8">
      <w:pPr>
        <w:pStyle w:val="BodyText"/>
      </w:pPr>
      <w:r>
        <w:t>TD</w:t>
      </w:r>
      <w:r w:rsidRPr="001E3F33">
        <w:t>PUD is in the process of upgrading its SCADA system to enable supervisory control of all critical field reclosers, a capability that is not presently available. This enhancement will allow TDPUD personnel to remotely modify recloser settings, including placing reclosers in non-reclose (i.e., one-shot) mode on an annual basis or as needed, to reduce the risk of fire ignition resulting from arcing or fault conditions. In addition, the upgraded SCADA system will provide the ability to remotely apply fast curve settings to reclosers, further enhancing wildfire mitigation efforts by reducing fault energy during high-risk periods.</w:t>
      </w:r>
    </w:p>
    <w:p w14:paraId="2471A5C0" w14:textId="2025AA6C" w:rsidR="006F4266" w:rsidRDefault="00921619" w:rsidP="00212C06">
      <w:pPr>
        <w:pStyle w:val="Heading2"/>
      </w:pPr>
      <w:bookmarkStart w:id="96" w:name="_Toc135748553"/>
      <w:bookmarkStart w:id="97" w:name="_Toc236903484"/>
      <w:r w:rsidRPr="004A2677">
        <w:rPr>
          <w:noProof/>
          <w:spacing w:val="4"/>
        </w:rPr>
        <mc:AlternateContent>
          <mc:Choice Requires="wps">
            <w:drawing>
              <wp:anchor distT="0" distB="0" distL="114300" distR="114300" simplePos="0" relativeHeight="251657728" behindDoc="0" locked="0" layoutInCell="1" allowOverlap="1" wp14:anchorId="420711D6" wp14:editId="17A005AE">
                <wp:simplePos x="0" y="0"/>
                <wp:positionH relativeFrom="page">
                  <wp:posOffset>1071654</wp:posOffset>
                </wp:positionH>
                <wp:positionV relativeFrom="line">
                  <wp:posOffset>233081</wp:posOffset>
                </wp:positionV>
                <wp:extent cx="5807710" cy="45719"/>
                <wp:effectExtent l="0" t="0" r="2540" b="0"/>
                <wp:wrapNone/>
                <wp:docPr id="853" name="Freeform 853"/>
                <wp:cNvGraphicFramePr/>
                <a:graphic xmlns:a="http://schemas.openxmlformats.org/drawingml/2006/main">
                  <a:graphicData uri="http://schemas.microsoft.com/office/word/2010/wordprocessingShape">
                    <wps:wsp>
                      <wps:cNvSpPr/>
                      <wps:spPr>
                        <a:xfrm>
                          <a:off x="0" y="0"/>
                          <a:ext cx="5807710" cy="45719"/>
                        </a:xfrm>
                        <a:custGeom>
                          <a:avLst/>
                          <a:gdLst/>
                          <a:ahLst/>
                          <a:cxnLst/>
                          <a:rect l="l" t="t" r="r" b="b"/>
                          <a:pathLst>
                            <a:path w="5807710" h="38100">
                              <a:moveTo>
                                <a:pt x="0" y="38100"/>
                              </a:moveTo>
                              <a:lnTo>
                                <a:pt x="5807710" y="38100"/>
                              </a:lnTo>
                              <a:lnTo>
                                <a:pt x="5807710" y="0"/>
                              </a:lnTo>
                              <a:lnTo>
                                <a:pt x="0" y="0"/>
                              </a:lnTo>
                              <a:lnTo>
                                <a:pt x="0" y="38100"/>
                              </a:lnTo>
                              <a:close/>
                            </a:path>
                          </a:pathLst>
                        </a:custGeom>
                        <a:solidFill>
                          <a:srgbClr val="D1EEF9">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V relativeFrom="margin">
                  <wp14:pctHeight>0</wp14:pctHeight>
                </wp14:sizeRelV>
              </wp:anchor>
            </w:drawing>
          </mc:Choice>
          <mc:Fallback>
            <w:pict>
              <v:shape w14:anchorId="7F8DA82D" id="Freeform 853" o:spid="_x0000_s1026" style="position:absolute;margin-left:84.4pt;margin-top:18.35pt;width:457.3pt;height:3.6pt;z-index:251657728;visibility:visible;mso-wrap-style:square;mso-height-percent:0;mso-wrap-distance-left:9pt;mso-wrap-distance-top:0;mso-wrap-distance-right:9pt;mso-wrap-distance-bottom:0;mso-position-horizontal:absolute;mso-position-horizontal-relative:page;mso-position-vertical:absolute;mso-position-vertical-relative:line;mso-height-percent:0;mso-height-relative:margin;v-text-anchor:top" coordsize="580771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uTwIAAH8FAAAOAAAAZHJzL2Uyb0RvYy54bWysVE2P0zAQvSPxHyzfaZJCabdquge65YIA&#10;scsPcJ1JE8mxLdvbj3/PeJykARYhIXKIHfvNmzdvHG/uL51iJ3C+NbrkxSznDLQ0VauPJf/+tH+z&#10;4swHoSuhjIaSX8Hz++3rV5uzXcPcNEZV4BiSaL8+25I3Idh1lnnZQCf8zFjQuFkb14mAn+6YVU6c&#10;kb1T2TzP32dn4yrrjATvcXWXNvmW+OsaZPhS1x4CUyVHbYHejt6H+M62G7E+OmGbVvYyxD+o6ESr&#10;MelItRNBsGfX/kbVtdIZb+owk6bLTF23EqgGrKbIf6nmsREWqBY0x9vRJv//aOXn06P96tCGs/Vr&#10;j9NYxaV2XRxRH7uQWdfRLLgEJnFxscqXywI9lbj3brEs7qKZ2S1YPvvwEQwRidMnH5LX1TATzTCT&#10;Fz1MHXYs9kpRrwJn2CvHGfbqkHplRYhxUV2csvNESVPyt6siz6kTnTnBkyFcuBWR9pPQG0LpKXKs&#10;DAub4gfUMFrinaLpPKEFA2IYExK9Gmz8C+alrFIZD0l4LJysHs1Avqnd3qi22rdKxfK9Ox4+KMdO&#10;An3dFQ8P+zsySCjbiLSKnuHT96/HU4KfiJSObhfzZe+wNjFFkqQ04m9HiGbhqiAKUPob1Kyt8NDM&#10;KTP93TBqElKCDkXaakQFSdRiqineBzGCVBFhZK4x/8jdEwzIRDJwJ5U9PoYCXQ5jcDozfxCWgscI&#10;ymx0GIO7Vhv3UmUKq+ozJ/xgUrImunQw1ZX+P3IP/3KqsL+R4jUy/abw2725/QEAAP//AwBQSwME&#10;FAAGAAgAAAAhADeuVvfeAAAACgEAAA8AAABkcnMvZG93bnJldi54bWxMj8FOwzAQRO9I/IO1SNyo&#10;XVKFEOJUBRSEemvoB7jxEke111HstuHvcU9wHM1o5k21np1lZ5zC4EnCciGAIXVeD9RL2H81DwWw&#10;EBVpZT2hhB8MsK5vbypVan+hHZ7b2LNUQqFUEkyMY8l56Aw6FRZ+REret5+ciklOPdeTuqRyZ/mj&#10;EDl3aqC0YNSIbwa7Y3tyEvppufto7bFpTLZ93Xy+7z02Qsr7u3nzAiziHP/CcMVP6FAnpoM/kQ7M&#10;Jp0XCT1KyPInYNeAKLIVsIOEVfYMvK74/wv1LwAAAP//AwBQSwECLQAUAAYACAAAACEAtoM4kv4A&#10;AADhAQAAEwAAAAAAAAAAAAAAAAAAAAAAW0NvbnRlbnRfVHlwZXNdLnhtbFBLAQItABQABgAIAAAA&#10;IQA4/SH/1gAAAJQBAAALAAAAAAAAAAAAAAAAAC8BAABfcmVscy8ucmVsc1BLAQItABQABgAIAAAA&#10;IQA6X/+uTwIAAH8FAAAOAAAAAAAAAAAAAAAAAC4CAABkcnMvZTJvRG9jLnhtbFBLAQItABQABgAI&#10;AAAAIQA3rlb33gAAAAoBAAAPAAAAAAAAAAAAAAAAAKkEAABkcnMvZG93bnJldi54bWxQSwUGAAAA&#10;AAQABADzAAAAtAUAAAAA&#10;" path="m,38100r5807710,l5807710,,,,,38100xe" fillcolor="#d1eef9" stroked="f" strokeweight="1pt">
                <v:path arrowok="t"/>
                <w10:wrap anchorx="page" anchory="line"/>
              </v:shape>
            </w:pict>
          </mc:Fallback>
        </mc:AlternateContent>
      </w:r>
      <w:r w:rsidR="001653F8">
        <w:t>D.</w:t>
      </w:r>
      <w:r w:rsidR="001653F8">
        <w:tab/>
      </w:r>
      <w:r w:rsidR="006F4266">
        <w:t>Vegetation Management</w:t>
      </w:r>
      <w:bookmarkEnd w:id="96"/>
      <w:bookmarkEnd w:id="97"/>
    </w:p>
    <w:p w14:paraId="2458FC06" w14:textId="359EDD07" w:rsidR="004A2677" w:rsidRPr="004A2677" w:rsidRDefault="004A2677" w:rsidP="00DC7BC8">
      <w:pPr>
        <w:pStyle w:val="BodyText"/>
      </w:pPr>
      <w:r w:rsidRPr="004A2677">
        <w:rPr>
          <w:noProof/>
        </w:rPr>
        <mc:AlternateContent>
          <mc:Choice Requires="wps">
            <w:drawing>
              <wp:anchor distT="0" distB="0" distL="114300" distR="114300" simplePos="0" relativeHeight="251655680" behindDoc="0" locked="0" layoutInCell="1" allowOverlap="1" wp14:anchorId="76F0E4C1" wp14:editId="1284A9B1">
                <wp:simplePos x="0" y="0"/>
                <wp:positionH relativeFrom="page">
                  <wp:posOffset>1032052</wp:posOffset>
                </wp:positionH>
                <wp:positionV relativeFrom="line">
                  <wp:posOffset>22604</wp:posOffset>
                </wp:positionV>
                <wp:extent cx="38100" cy="38100"/>
                <wp:effectExtent l="0" t="0" r="0" b="0"/>
                <wp:wrapNone/>
                <wp:docPr id="851" name="Freeform 851"/>
                <wp:cNvGraphicFramePr/>
                <a:graphic xmlns:a="http://schemas.openxmlformats.org/drawingml/2006/main">
                  <a:graphicData uri="http://schemas.microsoft.com/office/word/2010/wordprocessingShape">
                    <wps:wsp>
                      <wps:cNvSpPr/>
                      <wps:spPr>
                        <a:xfrm>
                          <a:off x="0" y="0"/>
                          <a:ext cx="38100" cy="38100"/>
                        </a:xfrm>
                        <a:custGeom>
                          <a:avLst/>
                          <a:gdLst/>
                          <a:ahLst/>
                          <a:cxnLst/>
                          <a:rect l="l" t="t" r="r" b="b"/>
                          <a:pathLst>
                            <a:path w="38100" h="38100">
                              <a:moveTo>
                                <a:pt x="0" y="38100"/>
                              </a:moveTo>
                              <a:lnTo>
                                <a:pt x="38100" y="38100"/>
                              </a:lnTo>
                              <a:lnTo>
                                <a:pt x="38100" y="0"/>
                              </a:lnTo>
                              <a:lnTo>
                                <a:pt x="0" y="0"/>
                              </a:lnTo>
                              <a:lnTo>
                                <a:pt x="0" y="38100"/>
                              </a:lnTo>
                              <a:close/>
                            </a:path>
                          </a:pathLst>
                        </a:custGeom>
                        <a:solidFill>
                          <a:srgbClr val="D1EEF9">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30C8C66" id="Freeform 851" o:spid="_x0000_s1026" style="position:absolute;margin-left:81.25pt;margin-top:1.8pt;width:3pt;height:3pt;z-index:251655680;visibility:visible;mso-wrap-style:square;mso-wrap-distance-left:9pt;mso-wrap-distance-top:0;mso-wrap-distance-right:9pt;mso-wrap-distance-bottom:0;mso-position-horizontal:absolute;mso-position-horizontal-relative:page;mso-position-vertical:absolute;mso-position-vertical-relative:line;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pPvRQIAAHcFAAAOAAAAZHJzL2Uyb0RvYy54bWysVMGO0zAQvSPxD1buNE0RsFu13QPdckGA&#10;2OUDXGfSWHJsy/Y27d8zHsdJtIBWWpFDPLHfPM9743hzd+kUO4Pz0uhtUS2WBQMtTC31aVv8ejy8&#10;uymYD1zXXBkN2+IKvrjbvX2z6e0aVqY1qgbHkET7dW+3RRuCXZelFy103C+MBY2LjXEdD/jpTmXt&#10;eI/snSpXy+XHsjeuts4I8B5n92mx2BF/04AI35vGQ2BqW2Btgd6O3sf4Lncbvj45blsphjL4K6ro&#10;uNS46Ui154GzJyf/oOqkcMabJiyE6UrTNFIAaUA11fKZmoeWWyAtaI63o03+/9GKb+cH+8OhDb31&#10;a49hVHFpXBdHrI9dyKzraBZcAhM4+f6mWqKjAldSiBzllCqefPgChmj4+asPyek6R7zNkbjoHDrs&#10;V+yUok6FgmGnXMGwU8fUKctDzIu1xZD1eXPW5iiudeYMj4ZQYRIwL3NCKD1HDqqeicqYPFpinbB0&#10;jlB8Xs9jwqFL2b4XMPMKM4dQxkPyNkomk0cbkG9utDdK1gepVJTu3en4WTl25ujovrq/P9zSEeXK&#10;tjzNYgfxidYi0YBP8ZxI6ehztfqE0EisTdwiJSmN+OnoUBSuCiJO6Z/QMFnjYVlRIv3VMNbEhQAd&#10;qrTU8hpSUR/mNcV7IGZQVUQYmRvcf+QeCDIykWTuVOWAj6lAl8KYnBT9o7CUPGbQzkaHMbmT2ri/&#10;KVOoatg54bNJyZro0tHUV/rvyD38u0nhcBPF62P+TenTfbn7DQAA//8DAFBLAwQUAAYACAAAACEA&#10;AD1mLtwAAAAHAQAADwAAAGRycy9kb3ducmV2LnhtbEyOwU7DMBBE70j8g7VI3KhDUU0b4lQVggMH&#10;kFpQVW5usiRR7XUUO03y92xPcHya2dmXrUdnxRm70HjScD9LQCAVvmyo0vD1+Xq3BBGiodJYT6hh&#10;wgDr/PoqM2npB9rieRcrwSMUUqOhjrFNpQxFjc6EmW+ROPvxnTORsatk2ZmBx52V8yRR0pmG+ENt&#10;WnyusTjtescah8Pk7TTsv5O3xWNx2vTD+8uH1rc34+YJRMQx/pXhos83kLPT0fdUBmGZ1XzBVQ0P&#10;CsQlV0vmo4aVApln8r9//gsAAP//AwBQSwECLQAUAAYACAAAACEAtoM4kv4AAADhAQAAEwAAAAAA&#10;AAAAAAAAAAAAAAAAW0NvbnRlbnRfVHlwZXNdLnhtbFBLAQItABQABgAIAAAAIQA4/SH/1gAAAJQB&#10;AAALAAAAAAAAAAAAAAAAAC8BAABfcmVscy8ucmVsc1BLAQItABQABgAIAAAAIQCDXpPvRQIAAHcF&#10;AAAOAAAAAAAAAAAAAAAAAC4CAABkcnMvZTJvRG9jLnhtbFBLAQItABQABgAIAAAAIQAAPWYu3AAA&#10;AAcBAAAPAAAAAAAAAAAAAAAAAJ8EAABkcnMvZG93bnJldi54bWxQSwUGAAAAAAQABADzAAAAqAUA&#10;AAAA&#10;" path="m,38100r38100,l38100,,,,,38100xe" fillcolor="#d1eef9" stroked="f" strokeweight="1pt">
                <v:path arrowok="t"/>
                <w10:wrap anchorx="page" anchory="line"/>
              </v:shape>
            </w:pict>
          </mc:Fallback>
        </mc:AlternateContent>
      </w:r>
      <w:r w:rsidRPr="004A2677">
        <w:rPr>
          <w:noProof/>
        </w:rPr>
        <mc:AlternateContent>
          <mc:Choice Requires="wps">
            <w:drawing>
              <wp:anchor distT="0" distB="0" distL="114300" distR="114300" simplePos="0" relativeHeight="251653632" behindDoc="0" locked="0" layoutInCell="1" allowOverlap="1" wp14:anchorId="066E9C3C" wp14:editId="1673A6F1">
                <wp:simplePos x="0" y="0"/>
                <wp:positionH relativeFrom="page">
                  <wp:posOffset>1032052</wp:posOffset>
                </wp:positionH>
                <wp:positionV relativeFrom="line">
                  <wp:posOffset>22604</wp:posOffset>
                </wp:positionV>
                <wp:extent cx="38100" cy="38100"/>
                <wp:effectExtent l="0" t="0" r="0" b="0"/>
                <wp:wrapNone/>
                <wp:docPr id="852" name="Freeform 852"/>
                <wp:cNvGraphicFramePr/>
                <a:graphic xmlns:a="http://schemas.openxmlformats.org/drawingml/2006/main">
                  <a:graphicData uri="http://schemas.microsoft.com/office/word/2010/wordprocessingShape">
                    <wps:wsp>
                      <wps:cNvSpPr/>
                      <wps:spPr>
                        <a:xfrm>
                          <a:off x="0" y="0"/>
                          <a:ext cx="38100" cy="38100"/>
                        </a:xfrm>
                        <a:custGeom>
                          <a:avLst/>
                          <a:gdLst/>
                          <a:ahLst/>
                          <a:cxnLst/>
                          <a:rect l="l" t="t" r="r" b="b"/>
                          <a:pathLst>
                            <a:path w="38100" h="38100">
                              <a:moveTo>
                                <a:pt x="0" y="38100"/>
                              </a:moveTo>
                              <a:lnTo>
                                <a:pt x="38100" y="38100"/>
                              </a:lnTo>
                              <a:lnTo>
                                <a:pt x="38100" y="0"/>
                              </a:lnTo>
                              <a:lnTo>
                                <a:pt x="0" y="0"/>
                              </a:lnTo>
                              <a:lnTo>
                                <a:pt x="0" y="38100"/>
                              </a:lnTo>
                              <a:close/>
                            </a:path>
                          </a:pathLst>
                        </a:custGeom>
                        <a:solidFill>
                          <a:srgbClr val="D1EEF9">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3421271" id="Freeform 852" o:spid="_x0000_s1026" style="position:absolute;margin-left:81.25pt;margin-top:1.8pt;width:3pt;height:3pt;z-index:251653632;visibility:visible;mso-wrap-style:square;mso-wrap-distance-left:9pt;mso-wrap-distance-top:0;mso-wrap-distance-right:9pt;mso-wrap-distance-bottom:0;mso-position-horizontal:absolute;mso-position-horizontal-relative:page;mso-position-vertical:absolute;mso-position-vertical-relative:line;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pPvRQIAAHcFAAAOAAAAZHJzL2Uyb0RvYy54bWysVMGO0zAQvSPxD1buNE0RsFu13QPdckGA&#10;2OUDXGfSWHJsy/Y27d8zHsdJtIBWWpFDPLHfPM9743hzd+kUO4Pz0uhtUS2WBQMtTC31aVv8ejy8&#10;uymYD1zXXBkN2+IKvrjbvX2z6e0aVqY1qgbHkET7dW+3RRuCXZelFy103C+MBY2LjXEdD/jpTmXt&#10;eI/snSpXy+XHsjeuts4I8B5n92mx2BF/04AI35vGQ2BqW2Btgd6O3sf4Lncbvj45blsphjL4K6ro&#10;uNS46Ui154GzJyf/oOqkcMabJiyE6UrTNFIAaUA11fKZmoeWWyAtaI63o03+/9GKb+cH+8OhDb31&#10;a49hVHFpXBdHrI9dyKzraBZcAhM4+f6mWqKjAldSiBzllCqefPgChmj4+asPyek6R7zNkbjoHDrs&#10;V+yUok6FgmGnXMGwU8fUKctDzIu1xZD1eXPW5iiudeYMj4ZQYRIwL3NCKD1HDqqeicqYPFpinbB0&#10;jlB8Xs9jwqFL2b4XMPMKM4dQxkPyNkomk0cbkG9utDdK1gepVJTu3en4WTl25ujovrq/P9zSEeXK&#10;tjzNYgfxidYi0YBP8ZxI6ehztfqE0EisTdwiJSmN+OnoUBSuCiJO6Z/QMFnjYVlRIv3VMNbEhQAd&#10;qrTU8hpSUR/mNcV7IGZQVUQYmRvcf+QeCDIykWTuVOWAj6lAl8KYnBT9o7CUPGbQzkaHMbmT2ri/&#10;KVOoatg54bNJyZro0tHUV/rvyD38u0nhcBPF62P+TenTfbn7DQAA//8DAFBLAwQUAAYACAAAACEA&#10;AD1mLtwAAAAHAQAADwAAAGRycy9kb3ducmV2LnhtbEyOwU7DMBBE70j8g7VI3KhDUU0b4lQVggMH&#10;kFpQVW5usiRR7XUUO03y92xPcHya2dmXrUdnxRm70HjScD9LQCAVvmyo0vD1+Xq3BBGiodJYT6hh&#10;wgDr/PoqM2npB9rieRcrwSMUUqOhjrFNpQxFjc6EmW+ROPvxnTORsatk2ZmBx52V8yRR0pmG+ENt&#10;WnyusTjtescah8Pk7TTsv5O3xWNx2vTD+8uH1rc34+YJRMQx/pXhos83kLPT0fdUBmGZ1XzBVQ0P&#10;CsQlV0vmo4aVApln8r9//gsAAP//AwBQSwECLQAUAAYACAAAACEAtoM4kv4AAADhAQAAEwAAAAAA&#10;AAAAAAAAAAAAAAAAW0NvbnRlbnRfVHlwZXNdLnhtbFBLAQItABQABgAIAAAAIQA4/SH/1gAAAJQB&#10;AAALAAAAAAAAAAAAAAAAAC8BAABfcmVscy8ucmVsc1BLAQItABQABgAIAAAAIQCDXpPvRQIAAHcF&#10;AAAOAAAAAAAAAAAAAAAAAC4CAABkcnMvZTJvRG9jLnhtbFBLAQItABQABgAIAAAAIQAAPWYu3AAA&#10;AAcBAAAPAAAAAAAAAAAAAAAAAJ8EAABkcnMvZG93bnJldi54bWxQSwUGAAAAAAQABADzAAAAqAUA&#10;AAAA&#10;" path="m,38100r38100,l38100,,,,,38100xe" fillcolor="#d1eef9" stroked="f" strokeweight="1pt">
                <v:path arrowok="t"/>
                <w10:wrap anchorx="page" anchory="line"/>
              </v:shape>
            </w:pict>
          </mc:Fallback>
        </mc:AlternateContent>
      </w:r>
      <w:r w:rsidRPr="004A2677">
        <w:rPr>
          <w:noProof/>
        </w:rPr>
        <mc:AlternateContent>
          <mc:Choice Requires="wps">
            <w:drawing>
              <wp:anchor distT="0" distB="0" distL="114300" distR="114300" simplePos="0" relativeHeight="251661824" behindDoc="0" locked="0" layoutInCell="1" allowOverlap="1" wp14:anchorId="6589659D" wp14:editId="630C346A">
                <wp:simplePos x="0" y="0"/>
                <wp:positionH relativeFrom="page">
                  <wp:posOffset>6877811</wp:posOffset>
                </wp:positionH>
                <wp:positionV relativeFrom="line">
                  <wp:posOffset>22604</wp:posOffset>
                </wp:positionV>
                <wp:extent cx="38100" cy="38100"/>
                <wp:effectExtent l="0" t="0" r="0" b="0"/>
                <wp:wrapNone/>
                <wp:docPr id="854" name="Freeform 854"/>
                <wp:cNvGraphicFramePr/>
                <a:graphic xmlns:a="http://schemas.openxmlformats.org/drawingml/2006/main">
                  <a:graphicData uri="http://schemas.microsoft.com/office/word/2010/wordprocessingShape">
                    <wps:wsp>
                      <wps:cNvSpPr/>
                      <wps:spPr>
                        <a:xfrm>
                          <a:off x="0" y="0"/>
                          <a:ext cx="38100" cy="38100"/>
                        </a:xfrm>
                        <a:custGeom>
                          <a:avLst/>
                          <a:gdLst/>
                          <a:ahLst/>
                          <a:cxnLst/>
                          <a:rect l="l" t="t" r="r" b="b"/>
                          <a:pathLst>
                            <a:path w="38100" h="38100">
                              <a:moveTo>
                                <a:pt x="0" y="38100"/>
                              </a:moveTo>
                              <a:lnTo>
                                <a:pt x="38100" y="38100"/>
                              </a:lnTo>
                              <a:lnTo>
                                <a:pt x="38100" y="0"/>
                              </a:lnTo>
                              <a:lnTo>
                                <a:pt x="0" y="0"/>
                              </a:lnTo>
                              <a:lnTo>
                                <a:pt x="0" y="38100"/>
                              </a:lnTo>
                              <a:close/>
                            </a:path>
                          </a:pathLst>
                        </a:custGeom>
                        <a:solidFill>
                          <a:srgbClr val="D1EEF9">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9ED63FD" id="Freeform 854" o:spid="_x0000_s1026" style="position:absolute;margin-left:541.55pt;margin-top:1.8pt;width:3pt;height:3pt;z-index:251661824;visibility:visible;mso-wrap-style:square;mso-wrap-distance-left:9pt;mso-wrap-distance-top:0;mso-wrap-distance-right:9pt;mso-wrap-distance-bottom:0;mso-position-horizontal:absolute;mso-position-horizontal-relative:page;mso-position-vertical:absolute;mso-position-vertical-relative:line;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pPvRQIAAHcFAAAOAAAAZHJzL2Uyb0RvYy54bWysVMGO0zAQvSPxD1buNE0RsFu13QPdckGA&#10;2OUDXGfSWHJsy/Y27d8zHsdJtIBWWpFDPLHfPM9743hzd+kUO4Pz0uhtUS2WBQMtTC31aVv8ejy8&#10;uymYD1zXXBkN2+IKvrjbvX2z6e0aVqY1qgbHkET7dW+3RRuCXZelFy103C+MBY2LjXEdD/jpTmXt&#10;eI/snSpXy+XHsjeuts4I8B5n92mx2BF/04AI35vGQ2BqW2Btgd6O3sf4Lncbvj45blsphjL4K6ro&#10;uNS46Ui154GzJyf/oOqkcMabJiyE6UrTNFIAaUA11fKZmoeWWyAtaI63o03+/9GKb+cH+8OhDb31&#10;a49hVHFpXBdHrI9dyKzraBZcAhM4+f6mWqKjAldSiBzllCqefPgChmj4+asPyek6R7zNkbjoHDrs&#10;V+yUok6FgmGnXMGwU8fUKctDzIu1xZD1eXPW5iiudeYMj4ZQYRIwL3NCKD1HDqqeicqYPFpinbB0&#10;jlB8Xs9jwqFL2b4XMPMKM4dQxkPyNkomk0cbkG9utDdK1gepVJTu3en4WTl25ujovrq/P9zSEeXK&#10;tjzNYgfxidYi0YBP8ZxI6ehztfqE0EisTdwiJSmN+OnoUBSuCiJO6Z/QMFnjYVlRIv3VMNbEhQAd&#10;qrTU8hpSUR/mNcV7IGZQVUQYmRvcf+QeCDIykWTuVOWAj6lAl8KYnBT9o7CUPGbQzkaHMbmT2ri/&#10;KVOoatg54bNJyZro0tHUV/rvyD38u0nhcBPF62P+TenTfbn7DQAA//8DAFBLAwQUAAYACAAAACEA&#10;17Ocld8AAAAJAQAADwAAAGRycy9kb3ducmV2LnhtbEyPQU/DMAyF70j8h8hI3FgyJkpXmk4TggMH&#10;kBgIjVvWmrZa4lRNurb/Hu8Ex2c/P38v30zOihP2ofWkYblQIJBKX7VUa/j8eL5JQYRoqDLWE2qY&#10;McCmuLzITVb5kd7xtIu14BAKmdHQxNhlUoayQWfCwndIvPvxvTORZV/Lqjcjhzsrb5VKpDMt8YfG&#10;dPjYYHncDY4x9vvZ23n8+lYvd/flcTuMr09vWl9fTdsHEBGn+GeGMz7fQMFMBz9QFYRlrdLVkr0a&#10;VgmIs0Glax4cNKwTkEUu/zcofgEAAP//AwBQSwECLQAUAAYACAAAACEAtoM4kv4AAADhAQAAEwAA&#10;AAAAAAAAAAAAAAAAAAAAW0NvbnRlbnRfVHlwZXNdLnhtbFBLAQItABQABgAIAAAAIQA4/SH/1gAA&#10;AJQBAAALAAAAAAAAAAAAAAAAAC8BAABfcmVscy8ucmVsc1BLAQItABQABgAIAAAAIQCDXpPvRQIA&#10;AHcFAAAOAAAAAAAAAAAAAAAAAC4CAABkcnMvZTJvRG9jLnhtbFBLAQItABQABgAIAAAAIQDXs5yV&#10;3wAAAAkBAAAPAAAAAAAAAAAAAAAAAJ8EAABkcnMvZG93bnJldi54bWxQSwUGAAAAAAQABADzAAAA&#10;qwUAAAAA&#10;" path="m,38100r38100,l38100,,,,,38100xe" fillcolor="#d1eef9" stroked="f" strokeweight="1pt">
                <v:path arrowok="t"/>
                <w10:wrap anchorx="page" anchory="line"/>
              </v:shape>
            </w:pict>
          </mc:Fallback>
        </mc:AlternateContent>
      </w:r>
      <w:r w:rsidRPr="004A2677">
        <w:rPr>
          <w:noProof/>
        </w:rPr>
        <mc:AlternateContent>
          <mc:Choice Requires="wps">
            <w:drawing>
              <wp:anchor distT="0" distB="0" distL="114300" distR="114300" simplePos="0" relativeHeight="251659776" behindDoc="0" locked="0" layoutInCell="1" allowOverlap="1" wp14:anchorId="6643B46D" wp14:editId="4E6DA558">
                <wp:simplePos x="0" y="0"/>
                <wp:positionH relativeFrom="page">
                  <wp:posOffset>6877811</wp:posOffset>
                </wp:positionH>
                <wp:positionV relativeFrom="line">
                  <wp:posOffset>22604</wp:posOffset>
                </wp:positionV>
                <wp:extent cx="38100" cy="38100"/>
                <wp:effectExtent l="0" t="0" r="0" b="0"/>
                <wp:wrapNone/>
                <wp:docPr id="855" name="Freeform 855"/>
                <wp:cNvGraphicFramePr/>
                <a:graphic xmlns:a="http://schemas.openxmlformats.org/drawingml/2006/main">
                  <a:graphicData uri="http://schemas.microsoft.com/office/word/2010/wordprocessingShape">
                    <wps:wsp>
                      <wps:cNvSpPr/>
                      <wps:spPr>
                        <a:xfrm>
                          <a:off x="0" y="0"/>
                          <a:ext cx="38100" cy="38100"/>
                        </a:xfrm>
                        <a:custGeom>
                          <a:avLst/>
                          <a:gdLst/>
                          <a:ahLst/>
                          <a:cxnLst/>
                          <a:rect l="l" t="t" r="r" b="b"/>
                          <a:pathLst>
                            <a:path w="38100" h="38100">
                              <a:moveTo>
                                <a:pt x="0" y="38100"/>
                              </a:moveTo>
                              <a:lnTo>
                                <a:pt x="38100" y="38100"/>
                              </a:lnTo>
                              <a:lnTo>
                                <a:pt x="38100" y="0"/>
                              </a:lnTo>
                              <a:lnTo>
                                <a:pt x="0" y="0"/>
                              </a:lnTo>
                              <a:lnTo>
                                <a:pt x="0" y="38100"/>
                              </a:lnTo>
                              <a:close/>
                            </a:path>
                          </a:pathLst>
                        </a:custGeom>
                        <a:solidFill>
                          <a:srgbClr val="D1EEF9">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0852FC1" id="Freeform 855" o:spid="_x0000_s1026" style="position:absolute;margin-left:541.55pt;margin-top:1.8pt;width:3pt;height:3pt;z-index:251659776;visibility:visible;mso-wrap-style:square;mso-wrap-distance-left:9pt;mso-wrap-distance-top:0;mso-wrap-distance-right:9pt;mso-wrap-distance-bottom:0;mso-position-horizontal:absolute;mso-position-horizontal-relative:page;mso-position-vertical:absolute;mso-position-vertical-relative:line;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pPvRQIAAHcFAAAOAAAAZHJzL2Uyb0RvYy54bWysVMGO0zAQvSPxD1buNE0RsFu13QPdckGA&#10;2OUDXGfSWHJsy/Y27d8zHsdJtIBWWpFDPLHfPM9743hzd+kUO4Pz0uhtUS2WBQMtTC31aVv8ejy8&#10;uymYD1zXXBkN2+IKvrjbvX2z6e0aVqY1qgbHkET7dW+3RRuCXZelFy103C+MBY2LjXEdD/jpTmXt&#10;eI/snSpXy+XHsjeuts4I8B5n92mx2BF/04AI35vGQ2BqW2Btgd6O3sf4Lncbvj45blsphjL4K6ro&#10;uNS46Ui154GzJyf/oOqkcMabJiyE6UrTNFIAaUA11fKZmoeWWyAtaI63o03+/9GKb+cH+8OhDb31&#10;a49hVHFpXBdHrI9dyKzraBZcAhM4+f6mWqKjAldSiBzllCqefPgChmj4+asPyek6R7zNkbjoHDrs&#10;V+yUok6FgmGnXMGwU8fUKctDzIu1xZD1eXPW5iiudeYMj4ZQYRIwL3NCKD1HDqqeicqYPFpinbB0&#10;jlB8Xs9jwqFL2b4XMPMKM4dQxkPyNkomk0cbkG9utDdK1gepVJTu3en4WTl25ujovrq/P9zSEeXK&#10;tjzNYgfxidYi0YBP8ZxI6ehztfqE0EisTdwiJSmN+OnoUBSuCiJO6Z/QMFnjYVlRIv3VMNbEhQAd&#10;qrTU8hpSUR/mNcV7IGZQVUQYmRvcf+QeCDIykWTuVOWAj6lAl8KYnBT9o7CUPGbQzkaHMbmT2ri/&#10;KVOoatg54bNJyZro0tHUV/rvyD38u0nhcBPF62P+TenTfbn7DQAA//8DAFBLAwQUAAYACAAAACEA&#10;17Ocld8AAAAJAQAADwAAAGRycy9kb3ducmV2LnhtbEyPQU/DMAyF70j8h8hI3FgyJkpXmk4TggMH&#10;kBgIjVvWmrZa4lRNurb/Hu8Ex2c/P38v30zOihP2ofWkYblQIJBKX7VUa/j8eL5JQYRoqDLWE2qY&#10;McCmuLzITVb5kd7xtIu14BAKmdHQxNhlUoayQWfCwndIvPvxvTORZV/Lqjcjhzsrb5VKpDMt8YfG&#10;dPjYYHncDY4x9vvZ23n8+lYvd/flcTuMr09vWl9fTdsHEBGn+GeGMz7fQMFMBz9QFYRlrdLVkr0a&#10;VgmIs0Glax4cNKwTkEUu/zcofgEAAP//AwBQSwECLQAUAAYACAAAACEAtoM4kv4AAADhAQAAEwAA&#10;AAAAAAAAAAAAAAAAAAAAW0NvbnRlbnRfVHlwZXNdLnhtbFBLAQItABQABgAIAAAAIQA4/SH/1gAA&#10;AJQBAAALAAAAAAAAAAAAAAAAAC8BAABfcmVscy8ucmVsc1BLAQItABQABgAIAAAAIQCDXpPvRQIA&#10;AHcFAAAOAAAAAAAAAAAAAAAAAC4CAABkcnMvZTJvRG9jLnhtbFBLAQItABQABgAIAAAAIQDXs5yV&#10;3wAAAAkBAAAPAAAAAAAAAAAAAAAAAJ8EAABkcnMvZG93bnJldi54bWxQSwUGAAAAAAQABADzAAAA&#10;qwUAAAAA&#10;" path="m,38100r38100,l38100,,,,,38100xe" fillcolor="#d1eef9" stroked="f" strokeweight="1pt">
                <v:path arrowok="t"/>
                <w10:wrap anchorx="page" anchory="line"/>
              </v:shape>
            </w:pict>
          </mc:Fallback>
        </mc:AlternateContent>
      </w:r>
      <w:r w:rsidRPr="004A2677">
        <w:t>TDPUD has developed a comprehensive vegetation management program for maintaining vegetation near its facilities and circuits. TDPUD’s vegetation management program is described in detail in its Vegetation Management Plan (VMP)</w:t>
      </w:r>
      <w:r w:rsidR="00D42AB1">
        <w:t>, which</w:t>
      </w:r>
      <w:r w:rsidRPr="004A2677">
        <w:t xml:space="preserve"> is attached to this WMP in Appendix</w:t>
      </w:r>
      <w:r w:rsidR="00DC7BC8">
        <w:t> </w:t>
      </w:r>
      <w:r w:rsidRPr="004A2677">
        <w:t xml:space="preserve">C. </w:t>
      </w:r>
    </w:p>
    <w:p w14:paraId="04C93D90" w14:textId="36C51072" w:rsidR="004A2677" w:rsidRPr="004A2677" w:rsidRDefault="004A2677" w:rsidP="00DC7BC8">
      <w:pPr>
        <w:pStyle w:val="BodyText"/>
      </w:pPr>
      <w:r w:rsidRPr="004A2677">
        <w:t>In addition to maintaining the statutory requirements for clearance around high</w:t>
      </w:r>
      <w:r w:rsidR="00D42AB1">
        <w:t>-</w:t>
      </w:r>
      <w:r w:rsidRPr="004A2677">
        <w:t xml:space="preserve">voltage wires, TDPUD’s VMP prescribes a treatment for a 20-foot right-of-way on all sides of its utility poles. </w:t>
      </w:r>
    </w:p>
    <w:p w14:paraId="374B6673" w14:textId="4114ACAC" w:rsidR="004A2677" w:rsidRPr="004A2677" w:rsidRDefault="004A2677" w:rsidP="00DC7BC8">
      <w:pPr>
        <w:pStyle w:val="BodyText"/>
      </w:pPr>
      <w:r w:rsidRPr="004A2677">
        <w:t>Within this easement, all dead vegetation, including dead trees and shrubs, is removed and surface vegetation is maintained to minimize the accumulation of surface fuels. TDPUD vegetation management staff identify standing dead trees within 200 feet of high</w:t>
      </w:r>
      <w:r w:rsidR="00D42AB1">
        <w:t>-</w:t>
      </w:r>
      <w:r w:rsidRPr="004A2677">
        <w:t xml:space="preserve">voltage wires regardless of ownership and will seek permission to remove any dead tree within this area that has the potential to strike TDPUD infrastructure. </w:t>
      </w:r>
    </w:p>
    <w:p w14:paraId="62A618E6" w14:textId="09265885" w:rsidR="004A2677" w:rsidRPr="004A2677" w:rsidRDefault="004A2677" w:rsidP="00DC7BC8">
      <w:pPr>
        <w:pStyle w:val="BodyText"/>
      </w:pPr>
      <w:r w:rsidRPr="004A2677">
        <w:t xml:space="preserve">In the current version of the VMP, TDPUD’s tree-trimming program is on a 5-year tree-trimming cycle because the majority of the trees near TDPUD lines are mature conifers with compact crowns </w:t>
      </w:r>
      <w:r w:rsidR="00715521">
        <w:t xml:space="preserve">as </w:t>
      </w:r>
      <w:r w:rsidRPr="004A2677">
        <w:t xml:space="preserve">compared to hardwood trees. These trees have relatively low growth rates and do not respond with rapid shoot growth. Dead vegetation in the right-of-way and dead trees that threaten the wires are treated on an as-needed basis. </w:t>
      </w:r>
    </w:p>
    <w:p w14:paraId="1F17217E" w14:textId="5006F641" w:rsidR="0013474D" w:rsidRDefault="004A2677" w:rsidP="00DC7BC8">
      <w:pPr>
        <w:pStyle w:val="BodyText"/>
      </w:pPr>
      <w:r w:rsidRPr="004A2677">
        <w:t>As part of TDPUD’s VMP, contractors and internal TDPUD staff are equipped with TDPUD-provided mobile devices to record the location and dates of vegetation</w:t>
      </w:r>
      <w:r w:rsidR="00D42AB1">
        <w:t>-</w:t>
      </w:r>
      <w:r w:rsidRPr="004A2677">
        <w:t xml:space="preserve">management-related activities. Vegetation management generally consists of removing, cutting, trimming, and clearing away trees, tops, limbs, branches, bushes, vines, and foliage, </w:t>
      </w:r>
      <w:r w:rsidR="00D42AB1">
        <w:t>as well as</w:t>
      </w:r>
      <w:r w:rsidR="00D42AB1" w:rsidRPr="004A2677">
        <w:t xml:space="preserve"> </w:t>
      </w:r>
      <w:r w:rsidRPr="004A2677">
        <w:t xml:space="preserve">the removal of hazard trees </w:t>
      </w:r>
      <w:r w:rsidRPr="004A2677">
        <w:lastRenderedPageBreak/>
        <w:t>and inspection of legacy tree attachments in proximity to TDPUD electrical lines, stations, and</w:t>
      </w:r>
      <w:r w:rsidR="00E010ED">
        <w:t xml:space="preserve"> </w:t>
      </w:r>
      <w:r w:rsidR="00E010ED" w:rsidRPr="004A2677">
        <w:t xml:space="preserve">property within public utility easements. All tree-trimming inspection records are stored in TDPUD’s GIS and are used for recording yearly tree-trimming progress, planning future tree- trimming routes and locations, and prioritizing the most critical areas. </w:t>
      </w:r>
    </w:p>
    <w:p w14:paraId="6B2C267E" w14:textId="508DBADB" w:rsidR="00A62AA6" w:rsidRPr="00A62AA6" w:rsidRDefault="004A2677" w:rsidP="00DC7BC8">
      <w:pPr>
        <w:pStyle w:val="BodyText"/>
      </w:pPr>
      <w:r w:rsidRPr="004A2677">
        <w:t xml:space="preserve">In addition to planned tree trimming, the TDPUD customer information system also records customer calls regarding concern for potential tree hazards in proximity to electric lines. Service orders are created for crews to respond to and correct hazard tree reports, as well as record the </w:t>
      </w:r>
      <w:r w:rsidR="00A62AA6" w:rsidRPr="00A62AA6">
        <w:t xml:space="preserve">outcome of the hazard. This information can also be used for reporting the number of customer calls regarding hazard trees, number of hazard tree removals, and number of occurrences by location. This program began in 2005 and, continuing for 2025, TDPUD will be on a 5-year cycle cut and will adjust as needed. </w:t>
      </w:r>
    </w:p>
    <w:p w14:paraId="5B21815F" w14:textId="3621EF62" w:rsidR="004A2677" w:rsidRPr="00212C06" w:rsidRDefault="00A62AA6" w:rsidP="00DC7BC8">
      <w:pPr>
        <w:pStyle w:val="BodyText"/>
      </w:pPr>
      <w:r w:rsidRPr="00A62AA6">
        <w:t>It should be noted that TDPUD removes dead or dying vegetation within the vegetation management area. Given the high</w:t>
      </w:r>
      <w:r w:rsidR="00D42AB1">
        <w:t>-</w:t>
      </w:r>
      <w:r w:rsidRPr="00A62AA6">
        <w:t xml:space="preserve">mountain environment and relatively short growing season, TDPUD has not had problems with treatment areas being replaced with fast-growing grasses or invasive species. TDPUD uses minimal or no herbicides while conducting vegetation management. </w:t>
      </w:r>
    </w:p>
    <w:p w14:paraId="07D1C8FA" w14:textId="7EC73B79" w:rsidR="006F4266" w:rsidRDefault="006F4266" w:rsidP="00A2100A">
      <w:pPr>
        <w:pStyle w:val="Heading2"/>
        <w:numPr>
          <w:ilvl w:val="0"/>
          <w:numId w:val="19"/>
        </w:numPr>
      </w:pPr>
      <w:bookmarkStart w:id="98" w:name="_Toc135748554"/>
      <w:bookmarkStart w:id="99" w:name="_Toc236903485"/>
      <w:r>
        <w:t>Inspections</w:t>
      </w:r>
      <w:bookmarkEnd w:id="98"/>
      <w:bookmarkEnd w:id="99"/>
    </w:p>
    <w:p w14:paraId="6E7B5E99" w14:textId="44B4F9D6" w:rsidR="00486A9B" w:rsidRPr="00486A9B" w:rsidRDefault="00486A9B" w:rsidP="00DC7BC8">
      <w:pPr>
        <w:pStyle w:val="BodyText"/>
      </w:pPr>
      <w:r w:rsidRPr="00486A9B">
        <w:t>TDPUD exceeds the minimum inspection requirements outlined in CPUC GO 165, Table 1</w:t>
      </w:r>
      <w:r w:rsidR="004C468B">
        <w:t>;</w:t>
      </w:r>
      <w:r w:rsidRPr="00486A9B">
        <w:t xml:space="preserve"> and GO 95, Rule 18. In lieu of performing separate patrols, the District conducts a comprehensive, detailed inspection of its </w:t>
      </w:r>
      <w:r w:rsidR="00D92677">
        <w:t xml:space="preserve">overhead </w:t>
      </w:r>
      <w:r w:rsidRPr="00486A9B">
        <w:t>electric system on an annual basis. This approach allows TDPUD to identify potential safety hazards, assess asset condition, and evaluate overall system integrity while meeting and surpassing the inspection frequency standards established in GO</w:t>
      </w:r>
      <w:r w:rsidR="00DC7BC8">
        <w:t> </w:t>
      </w:r>
      <w:r w:rsidRPr="00486A9B">
        <w:t>165.</w:t>
      </w:r>
    </w:p>
    <w:p w14:paraId="0DE90E78" w14:textId="77777777" w:rsidR="00486A9B" w:rsidRPr="00486A9B" w:rsidRDefault="00486A9B" w:rsidP="00DC7BC8">
      <w:pPr>
        <w:pStyle w:val="BodyText"/>
      </w:pPr>
      <w:r w:rsidRPr="00486A9B">
        <w:t>During periods of elevated or extreme wildfire risk, TDPUD may perform targeted patrols based on intelligence and forecasting provided by its weather and risk consultant. These supplemental patrols provide an additional layer of situational awareness and support the District’s efforts to identify emerging risks and mitigate potential wildfire hazards.</w:t>
      </w:r>
    </w:p>
    <w:p w14:paraId="0BD406E3" w14:textId="76BF62CB" w:rsidR="00D67A6B" w:rsidRPr="002E0565" w:rsidRDefault="00486A9B" w:rsidP="00DC7BC8">
      <w:pPr>
        <w:pStyle w:val="BodyText"/>
      </w:pPr>
      <w:r w:rsidRPr="00486A9B">
        <w:t xml:space="preserve">TDPUD maintains comprehensive records of </w:t>
      </w:r>
      <w:r w:rsidR="001F0E77" w:rsidRPr="00486A9B">
        <w:t>all inspections</w:t>
      </w:r>
      <w:r w:rsidRPr="00486A9B">
        <w:t xml:space="preserve"> conducted under this framework. Field personnel are equipped with mobile devices that provide real-time access to the District’s centralized asset and inspection data systems, enabling efficient documentation of findings and immediate reporting of observed deficiencies or hazards. Inspection results are reviewed by engineering staff and used to prioritize corrective maintenance, capital improvements, and other system enhancements necessary to maintain safe, reliable, and resilient electric service.</w:t>
      </w:r>
      <w:r w:rsidR="00AE4375">
        <w:t xml:space="preserve"> </w:t>
      </w:r>
      <w:r w:rsidR="00D67A6B" w:rsidRPr="002E0565">
        <w:t xml:space="preserve">TDPUD is committed to ensuring that all inspections are completed in a timely and effective manner. The District continuously monitors drought conditions and other relevant environmental risk factors throughout the year and may adjust patrol or inspection schedules accordingly to maintain system safety and operational reliability. </w:t>
      </w:r>
    </w:p>
    <w:p w14:paraId="5EBE7D68" w14:textId="273E04D4" w:rsidR="00D91FFA" w:rsidRDefault="00D67A6B" w:rsidP="00DC7BC8">
      <w:pPr>
        <w:pStyle w:val="BodyText"/>
      </w:pPr>
      <w:r w:rsidRPr="002E0565">
        <w:lastRenderedPageBreak/>
        <w:t xml:space="preserve">If TDPUD personnel identify infrastructure in need of repair that is owned by another utility or agency, the District will promptly notify the responsible entity or jurisdiction to ensure that appropriate corrective actions are taken. </w:t>
      </w:r>
    </w:p>
    <w:p w14:paraId="434AE59C" w14:textId="243819F7" w:rsidR="006F4266" w:rsidRDefault="006F4266" w:rsidP="00A2100A">
      <w:pPr>
        <w:pStyle w:val="Heading2"/>
        <w:numPr>
          <w:ilvl w:val="0"/>
          <w:numId w:val="19"/>
        </w:numPr>
      </w:pPr>
      <w:bookmarkStart w:id="100" w:name="_Toc135748555"/>
      <w:bookmarkStart w:id="101" w:name="_Toc236903486"/>
      <w:r>
        <w:t>Workforce Training</w:t>
      </w:r>
      <w:bookmarkEnd w:id="100"/>
      <w:bookmarkEnd w:id="101"/>
    </w:p>
    <w:p w14:paraId="7F80379B" w14:textId="2D7DFCD9" w:rsidR="00221AB2" w:rsidRPr="00212C06" w:rsidRDefault="009B1EBE" w:rsidP="00DC7BC8">
      <w:pPr>
        <w:pStyle w:val="BodyText"/>
      </w:pPr>
      <w:r w:rsidRPr="00212C06">
        <w:t>TDPUD</w:t>
      </w:r>
      <w:r w:rsidR="00221AB2" w:rsidRPr="00212C06">
        <w:t xml:space="preserve"> has developed rules and complementary training programs for its workforce to reduce the likelihood of an ignition. All field </w:t>
      </w:r>
      <w:r w:rsidR="002A7BFF" w:rsidRPr="00212C06">
        <w:t>staff are</w:t>
      </w:r>
      <w:r w:rsidR="008463DD" w:rsidRPr="00212C06">
        <w:t xml:space="preserve"> </w:t>
      </w:r>
      <w:r w:rsidR="00221AB2" w:rsidRPr="00212C06">
        <w:t>trained annually in the following areas: in the content of the WMP</w:t>
      </w:r>
      <w:r w:rsidR="004C468B">
        <w:t>,</w:t>
      </w:r>
      <w:r w:rsidR="00221AB2" w:rsidRPr="00212C06">
        <w:t xml:space="preserve"> in proper use and storage of fire extinguishers</w:t>
      </w:r>
      <w:r w:rsidR="004C468B">
        <w:t>,</w:t>
      </w:r>
      <w:r w:rsidR="00221AB2" w:rsidRPr="00212C06">
        <w:t xml:space="preserve"> in required pre-job briefings to discuss the potential(s) for ignition</w:t>
      </w:r>
      <w:r w:rsidR="00033DD0" w:rsidRPr="00212C06">
        <w:t xml:space="preserve"> and</w:t>
      </w:r>
      <w:r w:rsidR="00221AB2" w:rsidRPr="00212C06">
        <w:t xml:space="preserve"> environmental conditions (current and forecasted weather that coincides with the duration of work for the day)</w:t>
      </w:r>
      <w:r w:rsidR="004C468B">
        <w:t>,</w:t>
      </w:r>
      <w:r w:rsidR="00221AB2" w:rsidRPr="00212C06">
        <w:t xml:space="preserve"> and in identifying the closest fire</w:t>
      </w:r>
      <w:r w:rsidR="00DC7BC8">
        <w:t> </w:t>
      </w:r>
      <w:r w:rsidR="00221AB2" w:rsidRPr="00212C06">
        <w:t>extinguisher.</w:t>
      </w:r>
    </w:p>
    <w:p w14:paraId="30950B1F" w14:textId="3C2344DE" w:rsidR="00221AB2" w:rsidRPr="00221AB2" w:rsidRDefault="009B1EBE" w:rsidP="00DC7BC8">
      <w:pPr>
        <w:pStyle w:val="BodyText"/>
      </w:pPr>
      <w:r>
        <w:t>TDPUD</w:t>
      </w:r>
      <w:r w:rsidR="00221AB2">
        <w:t xml:space="preserve"> staff are also active in electric utility joint-action groups</w:t>
      </w:r>
      <w:r w:rsidR="00033DD0">
        <w:t>,</w:t>
      </w:r>
      <w:r w:rsidR="00221AB2">
        <w:t xml:space="preserve"> such as the California Municipal Utilities Association, Northern California Power Agency, Utah Associated Municipal Power Systems, and the American Public Power Association</w:t>
      </w:r>
      <w:r w:rsidR="00033DD0">
        <w:t>,</w:t>
      </w:r>
      <w:r w:rsidR="00221AB2">
        <w:t xml:space="preserve"> to leverage the industries</w:t>
      </w:r>
      <w:r w:rsidR="00033DD0">
        <w:t>’</w:t>
      </w:r>
      <w:r w:rsidR="00221AB2">
        <w:t xml:space="preserve"> collective experience and to take advantage of training and other workforce development activities.</w:t>
      </w:r>
    </w:p>
    <w:p w14:paraId="50384DC5" w14:textId="2AE06A76" w:rsidR="006F4266" w:rsidRDefault="006F4266" w:rsidP="00A2100A">
      <w:pPr>
        <w:pStyle w:val="Heading2"/>
        <w:numPr>
          <w:ilvl w:val="0"/>
          <w:numId w:val="19"/>
        </w:numPr>
      </w:pPr>
      <w:bookmarkStart w:id="102" w:name="_Toc135748556"/>
      <w:bookmarkStart w:id="103" w:name="_Toc236903487"/>
      <w:r>
        <w:t>Recloser Policy</w:t>
      </w:r>
      <w:bookmarkEnd w:id="102"/>
      <w:bookmarkEnd w:id="103"/>
    </w:p>
    <w:p w14:paraId="23A04EEA" w14:textId="40256E07" w:rsidR="005326D0" w:rsidRPr="00114C46" w:rsidRDefault="005326D0" w:rsidP="00DC7BC8">
      <w:pPr>
        <w:pStyle w:val="BodyText"/>
      </w:pPr>
      <w:r w:rsidRPr="00114C46">
        <w:t>TDPUD places automatic circuit reclosers (ACRs) into non-reclose (one-shot) operation based on conditions and guidance provided by its weather and risk intelligence consultant. This operational approach reduces the potential for repeated fault events that could result in wildfire ignition during periods of elevated fire risk. The timing and duration of these settings are determined based on real-time weather conditions, fire danger, and system risk.</w:t>
      </w:r>
    </w:p>
    <w:p w14:paraId="193B1F3F" w14:textId="6EB902A5" w:rsidR="005326D0" w:rsidRPr="00114C46" w:rsidRDefault="005326D0" w:rsidP="00DC7BC8">
      <w:pPr>
        <w:pStyle w:val="BodyText"/>
      </w:pPr>
      <w:r w:rsidRPr="00114C46">
        <w:t>TDPUD is in the process of implementing Advanced Power Safety Settings (APSS), anticipated in 2026, which will further enhance wildfire mitigation capabilities. APSS will enable more dynamic control of protective device settings, including faster trip response and operational flexibility during high-risk conditions. In addition, TDPUD continues to evaluate and implement fast curve settings on ACRs to reduce fault duration and associated risk, further lowering ignition potential in fire-prone areas.</w:t>
      </w:r>
    </w:p>
    <w:p w14:paraId="0C2A60B3" w14:textId="77777777" w:rsidR="005326D0" w:rsidRPr="00114C46" w:rsidRDefault="005326D0" w:rsidP="00DC7BC8">
      <w:pPr>
        <w:pStyle w:val="BodyText"/>
      </w:pPr>
      <w:r w:rsidRPr="00114C46">
        <w:t>Operational settings may be adjusted in response to changing conditions within TDPUD’s service territory. During periods of lower fire risk or favorable conditions, ACRs may be returned to standard automatic operation to support system reliability. Conversely, during periods of elevated or extreme fire risk, non-reclose settings and enhanced protective measures may be implemented or maintained based on real-time weather intelligence and system conditions.</w:t>
      </w:r>
    </w:p>
    <w:p w14:paraId="06703F1A" w14:textId="4B8A35F9" w:rsidR="006F4266" w:rsidRDefault="006F4266" w:rsidP="00A2100A">
      <w:pPr>
        <w:pStyle w:val="Heading2"/>
        <w:numPr>
          <w:ilvl w:val="0"/>
          <w:numId w:val="19"/>
        </w:numPr>
      </w:pPr>
      <w:bookmarkStart w:id="104" w:name="_Toc135748557"/>
      <w:bookmarkStart w:id="105" w:name="_Toc236903488"/>
      <w:r>
        <w:t>De-</w:t>
      </w:r>
      <w:bookmarkEnd w:id="104"/>
      <w:r w:rsidR="003716A6">
        <w:t>Energization</w:t>
      </w:r>
      <w:bookmarkEnd w:id="105"/>
    </w:p>
    <w:p w14:paraId="57785EB0" w14:textId="10457411" w:rsidR="00FC1C95" w:rsidRDefault="00FC1C95" w:rsidP="00DC7BC8">
      <w:pPr>
        <w:pStyle w:val="BodyText"/>
      </w:pPr>
      <w:r w:rsidRPr="0080614E">
        <w:t xml:space="preserve">In 2025, the Truckee Donner Public Utility District (TDPUD) implemented a formal preemptive de-energization program aimed at mitigating wildfire risks. In developing this program, TDPUD reviewed Investor-Owned Utility (IOU) Public Safety Power Shutoff (PSPS) plans, which are </w:t>
      </w:r>
      <w:r w:rsidRPr="0080614E">
        <w:lastRenderedPageBreak/>
        <w:t>required by the CPUC, and adapted applicable elements to fit the District</w:t>
      </w:r>
      <w:r w:rsidR="004C468B">
        <w:t>’</w:t>
      </w:r>
      <w:r w:rsidRPr="0080614E">
        <w:t>s system and operational needs. TDPUD has taken a proactive approach to implementation and has since engaged in discussions with peer utilities to share lessons learned and operational insights. The program establishes defined criteria and protocols for proactively de-energizing portions of the system during periods of elevated wildfire threat, with the objective of enhancing public safety while minimizing disruptions to essential services.</w:t>
      </w:r>
    </w:p>
    <w:p w14:paraId="76E39A37" w14:textId="7173695C" w:rsidR="0063603D" w:rsidRDefault="0063603D" w:rsidP="00DC7BC8">
      <w:pPr>
        <w:pStyle w:val="BodyText"/>
        <w:rPr>
          <w:rFonts w:ascii="Times New Roman" w:hAnsi="Times New Roman" w:cs="Times New Roman"/>
          <w:color w:val="010302"/>
        </w:rPr>
      </w:pPr>
      <w:r>
        <w:t>The development of this program involved a comprehensive evaluation of several critical</w:t>
      </w:r>
      <w:r w:rsidR="00DC7BC8">
        <w:t> </w:t>
      </w:r>
      <w:r>
        <w:t xml:space="preserve">factors: </w:t>
      </w:r>
    </w:p>
    <w:p w14:paraId="14A01C2E" w14:textId="29186B4F" w:rsidR="0063603D" w:rsidRPr="00114C46" w:rsidRDefault="0063603D" w:rsidP="00DC7BC8">
      <w:pPr>
        <w:pStyle w:val="BulletList"/>
      </w:pPr>
      <w:r>
        <w:t xml:space="preserve">TDPUD's infrastructure is built to heavy-loading construction standards, designed to </w:t>
      </w:r>
    </w:p>
    <w:p w14:paraId="5D65CF46" w14:textId="091FB9F6" w:rsidR="0063603D" w:rsidRPr="00114C46" w:rsidRDefault="0063603D" w:rsidP="00DC7BC8">
      <w:pPr>
        <w:pStyle w:val="BulletList"/>
      </w:pPr>
      <w:r w:rsidRPr="00114C46">
        <w:t>withstand high winds, snow loads, and ice formation</w:t>
      </w:r>
      <w:r w:rsidR="004C468B">
        <w:t>.</w:t>
      </w:r>
      <w:r w:rsidRPr="00114C46">
        <w:t xml:space="preserve"> </w:t>
      </w:r>
    </w:p>
    <w:p w14:paraId="25CDA3F9" w14:textId="53826526" w:rsidR="0063603D" w:rsidRPr="00114C46" w:rsidRDefault="0063603D" w:rsidP="00DC7BC8">
      <w:pPr>
        <w:pStyle w:val="BulletList"/>
      </w:pPr>
      <w:r>
        <w:t xml:space="preserve">Seasonal offset between severe winter storms and </w:t>
      </w:r>
      <w:r w:rsidR="004977A9">
        <w:t>Red Flag</w:t>
      </w:r>
      <w:r>
        <w:t xml:space="preserve"> wildfire conditions, typically </w:t>
      </w:r>
    </w:p>
    <w:p w14:paraId="5D183E61" w14:textId="3E51FF60" w:rsidR="0063603D" w:rsidRPr="00114C46" w:rsidRDefault="0063603D" w:rsidP="00DC7BC8">
      <w:pPr>
        <w:pStyle w:val="BulletList"/>
      </w:pPr>
      <w:r w:rsidRPr="00114C46">
        <w:t xml:space="preserve">occurring in late summer and fall </w:t>
      </w:r>
    </w:p>
    <w:p w14:paraId="061DEE8D" w14:textId="6ABECAA8" w:rsidR="0063603D" w:rsidRPr="00114C46" w:rsidRDefault="0063603D" w:rsidP="00DC7BC8">
      <w:pPr>
        <w:pStyle w:val="BulletList"/>
      </w:pPr>
      <w:r>
        <w:t xml:space="preserve">Potential adverse impacts on fire response, water supply, public safety, and emergency </w:t>
      </w:r>
    </w:p>
    <w:p w14:paraId="45554C7F" w14:textId="3471857E" w:rsidR="0063603D" w:rsidRPr="00114C46" w:rsidRDefault="0063603D" w:rsidP="00DC7BC8">
      <w:pPr>
        <w:pStyle w:val="BulletList"/>
      </w:pPr>
      <w:r w:rsidRPr="00114C46">
        <w:t xml:space="preserve">communications during a de-energization event </w:t>
      </w:r>
    </w:p>
    <w:p w14:paraId="4F1947CB" w14:textId="33B964B2" w:rsidR="0063603D" w:rsidRPr="00114C46" w:rsidRDefault="0063603D" w:rsidP="00DC7BC8">
      <w:pPr>
        <w:pStyle w:val="BulletList"/>
      </w:pPr>
      <w:r>
        <w:t>Risk of losing firefighting water supply due to de-energization of wells and pumping</w:t>
      </w:r>
      <w:r w:rsidR="00DC7BC8">
        <w:t> </w:t>
      </w:r>
      <w:r w:rsidRPr="00114C46">
        <w:t xml:space="preserve">facilities </w:t>
      </w:r>
    </w:p>
    <w:p w14:paraId="17E40E0A" w14:textId="4C6F4CC1" w:rsidR="0063603D" w:rsidRPr="00114C46" w:rsidRDefault="0063603D" w:rsidP="00DC7BC8">
      <w:pPr>
        <w:pStyle w:val="BulletList"/>
      </w:pPr>
      <w:r>
        <w:t xml:space="preserve">Disruption to emergency response and public safety </w:t>
      </w:r>
      <w:r w:rsidR="004C468B">
        <w:t xml:space="preserve">due to </w:t>
      </w:r>
      <w:r>
        <w:t xml:space="preserve">internet and cellular service </w:t>
      </w:r>
    </w:p>
    <w:p w14:paraId="22FB6090" w14:textId="697E1BB7" w:rsidR="0063603D" w:rsidRPr="00114C46" w:rsidRDefault="0063603D" w:rsidP="00DC7BC8">
      <w:pPr>
        <w:pStyle w:val="BulletList"/>
      </w:pPr>
      <w:r w:rsidRPr="00114C46">
        <w:t xml:space="preserve">loss during prolonged outages </w:t>
      </w:r>
    </w:p>
    <w:p w14:paraId="20B4405E" w14:textId="25FA1E03" w:rsidR="0063603D" w:rsidRDefault="0063603D" w:rsidP="00DC7BC8">
      <w:pPr>
        <w:pStyle w:val="BulletList"/>
        <w:rPr>
          <w:rFonts w:ascii="Times New Roman" w:hAnsi="Times New Roman" w:cs="Times New Roman"/>
          <w:color w:val="010302"/>
        </w:rPr>
      </w:pPr>
      <w:r>
        <w:t xml:space="preserve">Operational and community impacts of extended outages </w:t>
      </w:r>
    </w:p>
    <w:p w14:paraId="3E1617A3" w14:textId="075E2D76" w:rsidR="0063603D" w:rsidRDefault="0063603D" w:rsidP="00DC7BC8">
      <w:pPr>
        <w:pStyle w:val="BulletList"/>
        <w:rPr>
          <w:rFonts w:ascii="Times New Roman" w:hAnsi="Times New Roman" w:cs="Times New Roman"/>
          <w:color w:val="010302"/>
        </w:rPr>
      </w:pPr>
      <w:r>
        <w:t xml:space="preserve">Weather conditions conducive to wildfire ignition or spread </w:t>
      </w:r>
    </w:p>
    <w:p w14:paraId="7095989C" w14:textId="4302CF93" w:rsidR="0063603D" w:rsidRDefault="0063603D" w:rsidP="00DC7BC8">
      <w:pPr>
        <w:pStyle w:val="BulletList"/>
        <w:rPr>
          <w:rFonts w:ascii="Times New Roman" w:hAnsi="Times New Roman" w:cs="Times New Roman"/>
          <w:color w:val="010302"/>
        </w:rPr>
      </w:pPr>
      <w:r>
        <w:t xml:space="preserve">Threats to TDPUD infrastructure from active wildfires </w:t>
      </w:r>
    </w:p>
    <w:p w14:paraId="360C950E" w14:textId="5DE20DB9" w:rsidR="0063603D" w:rsidRDefault="0063603D" w:rsidP="00DC7BC8">
      <w:pPr>
        <w:pStyle w:val="BulletList"/>
        <w:rPr>
          <w:rFonts w:ascii="Times New Roman" w:hAnsi="Times New Roman" w:cs="Times New Roman"/>
          <w:color w:val="010302"/>
        </w:rPr>
      </w:pPr>
      <w:r>
        <w:t xml:space="preserve">Insurance and liability considerations related to preemptive de-energization </w:t>
      </w:r>
    </w:p>
    <w:p w14:paraId="1BBF01A5" w14:textId="77777777" w:rsidR="0063603D" w:rsidRDefault="0063603D" w:rsidP="00DC7BC8">
      <w:pPr>
        <w:pStyle w:val="BodyText"/>
      </w:pPr>
      <w:r w:rsidRPr="00F347D6">
        <w:t>Historically, TDPUD has considered de-energizing portions of its system on a case-by-case basis in response to public safety threats or at the request of emergency management agencies. These actions have been, and will continue to be, coordinated with TDPUD’s water utility and local partners. In 2025, the District’s formal Preemptive De-Energization Plan was approved by the Board of Directors and implemented, establishing a structured and consistent approach to proactive de-energization during periods of elevated wildfire risk.</w:t>
      </w:r>
    </w:p>
    <w:p w14:paraId="3A690009" w14:textId="64E05BCE" w:rsidR="00FC1C95" w:rsidRPr="00114C46" w:rsidRDefault="0063603D" w:rsidP="00DC7BC8">
      <w:pPr>
        <w:pStyle w:val="BodyText"/>
        <w:rPr>
          <w:rFonts w:ascii="Times New Roman" w:hAnsi="Times New Roman" w:cs="Times New Roman"/>
          <w:color w:val="010302"/>
        </w:rPr>
      </w:pPr>
      <w:r>
        <w:t>As a transmission-dependent utility, TDPUD receives power from NV Energy, which operates a Public Safety Outage Management (PSOM) program approved by the Public Utilities Commission of Nevada. This program includes provisions for de-energizing transmission lines that serve</w:t>
      </w:r>
      <w:r>
        <w:rPr>
          <w:spacing w:val="-1"/>
        </w:rPr>
        <w:t xml:space="preserve"> the Truckee-North Tahoe region. Consequently, there is a higher likelihood of a preemptive</w:t>
      </w:r>
      <w:r>
        <w:rPr>
          <w:rFonts w:ascii="Times New Roman" w:hAnsi="Times New Roman" w:cs="Times New Roman"/>
        </w:rPr>
        <w:t xml:space="preserve"> </w:t>
      </w:r>
      <w:r>
        <w:t xml:space="preserve">outage initiated by NV Energy than by TDPUD itself. To address this, TDPUD holds annual coordination meetings with NV Energy and key stakeholders to understand the conditions under which NV Energy may de-energize transmission infrastructure and to establish communication protocols to ensure timely notifications to local agencies and customers. These efforts will continue in 2026 and have expanded to include scenarios where NV Energy proactively de-energizes due to encroaching wildfire activity near transmission lines. </w:t>
      </w:r>
    </w:p>
    <w:p w14:paraId="395C4C48" w14:textId="04FC3BCF" w:rsidR="006F4266" w:rsidRDefault="006F4266" w:rsidP="006F4266">
      <w:pPr>
        <w:pStyle w:val="Heading3"/>
      </w:pPr>
      <w:bookmarkStart w:id="106" w:name="_Toc133580582"/>
      <w:bookmarkStart w:id="107" w:name="_Toc135748558"/>
      <w:bookmarkStart w:id="108" w:name="_Toc236903489"/>
      <w:r>
        <w:lastRenderedPageBreak/>
        <w:t>Impacts to Public Safety</w:t>
      </w:r>
      <w:bookmarkEnd w:id="106"/>
      <w:bookmarkEnd w:id="107"/>
      <w:bookmarkEnd w:id="108"/>
    </w:p>
    <w:p w14:paraId="5B8F34B6" w14:textId="0E2EE9EC" w:rsidR="008D5B22" w:rsidRPr="008D5B22" w:rsidRDefault="008D5B22" w:rsidP="00DC7BC8">
      <w:pPr>
        <w:pStyle w:val="BodyText"/>
      </w:pPr>
      <w:r w:rsidRPr="0058296B">
        <w:rPr>
          <w:szCs w:val="21"/>
        </w:rPr>
        <w:t>The</w:t>
      </w:r>
      <w:r>
        <w:t xml:space="preserve"> TDPUD service territory includes </w:t>
      </w:r>
      <w:r w:rsidR="00B41DD8">
        <w:t>seven</w:t>
      </w:r>
      <w:r>
        <w:t xml:space="preserve"> Truckee Fire Protection </w:t>
      </w:r>
      <w:r w:rsidR="004B1DB9">
        <w:t xml:space="preserve">District </w:t>
      </w:r>
      <w:r>
        <w:t xml:space="preserve">stations, </w:t>
      </w:r>
      <w:r w:rsidR="006A68CD">
        <w:t>a</w:t>
      </w:r>
      <w:r>
        <w:t xml:space="preserve"> CAL FIRE facility at the Truckee </w:t>
      </w:r>
      <w:r w:rsidR="00B41DD8">
        <w:t>Tahoe</w:t>
      </w:r>
      <w:r>
        <w:t xml:space="preserve"> Airport</w:t>
      </w:r>
      <w:r w:rsidR="00B41DD8">
        <w:t xml:space="preserve">, one hospital, and three police stations. </w:t>
      </w:r>
      <w:r w:rsidR="00960CE2">
        <w:t xml:space="preserve">TDPUD does not </w:t>
      </w:r>
      <w:r w:rsidR="0030659B">
        <w:t>generate electricity locally</w:t>
      </w:r>
      <w:r w:rsidR="004C468B">
        <w:t>,</w:t>
      </w:r>
      <w:r w:rsidR="00960CE2">
        <w:t xml:space="preserve"> and its sole source of power comes from NV Energy</w:t>
      </w:r>
      <w:r w:rsidR="0030659B">
        <w:t xml:space="preserve"> transmission</w:t>
      </w:r>
      <w:r w:rsidR="00960CE2">
        <w:t xml:space="preserve">. In the event </w:t>
      </w:r>
      <w:r w:rsidR="002F7555">
        <w:t>of a power outage</w:t>
      </w:r>
      <w:r w:rsidR="007869D9">
        <w:t xml:space="preserve"> </w:t>
      </w:r>
      <w:r w:rsidR="003961A5">
        <w:t>or a</w:t>
      </w:r>
      <w:r w:rsidR="004C468B">
        <w:t>n</w:t>
      </w:r>
      <w:r w:rsidR="003961A5">
        <w:t xml:space="preserve"> </w:t>
      </w:r>
      <w:r w:rsidR="00960CE2">
        <w:t>NV Energy</w:t>
      </w:r>
      <w:r w:rsidR="004C468B">
        <w:t>–</w:t>
      </w:r>
      <w:r w:rsidR="003961A5">
        <w:t>initiated</w:t>
      </w:r>
      <w:r w:rsidR="00053D2A">
        <w:t xml:space="preserve"> wildfire de-energizati</w:t>
      </w:r>
      <w:r w:rsidR="006014FA">
        <w:t>o</w:t>
      </w:r>
      <w:r w:rsidR="00053D2A">
        <w:t>n (</w:t>
      </w:r>
      <w:r w:rsidR="0030659B">
        <w:t>PSOM</w:t>
      </w:r>
      <w:r w:rsidR="00053D2A">
        <w:t>)</w:t>
      </w:r>
      <w:r w:rsidR="003961A5">
        <w:t>,</w:t>
      </w:r>
      <w:r w:rsidR="0030659B">
        <w:t xml:space="preserve"> </w:t>
      </w:r>
      <w:r w:rsidR="00960CE2">
        <w:t>first responders would be reliant on backup generators for power. The seven fire stations, CAL FIRE facility, three police stations, and the hospital all have backup generators that can supply electricity to their facilities in the event of power shutdown. Truckee residents in general are accustomed to adverse conditions</w:t>
      </w:r>
      <w:r w:rsidR="004C468B">
        <w:t>,</w:t>
      </w:r>
      <w:r w:rsidR="00960CE2">
        <w:t xml:space="preserve"> including extreme weather that shuts down public transportation and services. Many </w:t>
      </w:r>
      <w:r w:rsidR="00A458C3">
        <w:t>of TDPUD’s</w:t>
      </w:r>
      <w:r w:rsidR="0030659B">
        <w:t xml:space="preserve"> customers</w:t>
      </w:r>
      <w:r w:rsidR="00A458C3">
        <w:t xml:space="preserve"> have back</w:t>
      </w:r>
      <w:r w:rsidR="00733CA0">
        <w:t>up</w:t>
      </w:r>
      <w:r w:rsidR="00A458C3">
        <w:t xml:space="preserve"> generators installed at their properties</w:t>
      </w:r>
      <w:r w:rsidR="004C468B">
        <w:t>,</w:t>
      </w:r>
      <w:r w:rsidR="00A458C3">
        <w:t xml:space="preserve"> and TDPUD encourages customers to be prepared </w:t>
      </w:r>
      <w:r w:rsidR="00464E10">
        <w:t>for preemptive</w:t>
      </w:r>
      <w:r w:rsidR="003C512A">
        <w:t xml:space="preserve"> shutoff</w:t>
      </w:r>
      <w:r w:rsidR="0030659B">
        <w:t xml:space="preserve"> </w:t>
      </w:r>
      <w:r w:rsidR="00733CA0">
        <w:t>event</w:t>
      </w:r>
      <w:r w:rsidR="003C512A">
        <w:t>s</w:t>
      </w:r>
      <w:r w:rsidR="00733CA0">
        <w:t xml:space="preserve"> </w:t>
      </w:r>
      <w:r w:rsidR="00A458C3">
        <w:t xml:space="preserve">with several informational postings on </w:t>
      </w:r>
      <w:r w:rsidR="00D52F3B">
        <w:t>its</w:t>
      </w:r>
      <w:r w:rsidR="00A458C3">
        <w:t xml:space="preserve"> website</w:t>
      </w:r>
      <w:r w:rsidR="00733CA0">
        <w:t>,</w:t>
      </w:r>
      <w:r w:rsidR="00A458C3">
        <w:t xml:space="preserve"> including generator safety and the installation of permanently installed backup generators.</w:t>
      </w:r>
    </w:p>
    <w:p w14:paraId="063E94F1" w14:textId="77777777" w:rsidR="006F4266" w:rsidRDefault="006F4266" w:rsidP="006F4266">
      <w:pPr>
        <w:pStyle w:val="Heading3"/>
      </w:pPr>
      <w:bookmarkStart w:id="109" w:name="_Toc133580583"/>
      <w:bookmarkStart w:id="110" w:name="_Toc135748559"/>
      <w:bookmarkStart w:id="111" w:name="_Toc236903490"/>
      <w:r>
        <w:t>Customer Notification Protocols</w:t>
      </w:r>
      <w:bookmarkEnd w:id="109"/>
      <w:bookmarkEnd w:id="110"/>
      <w:bookmarkEnd w:id="111"/>
    </w:p>
    <w:p w14:paraId="4158C7BB" w14:textId="32042844" w:rsidR="00F97EFD" w:rsidRPr="00212C06" w:rsidRDefault="009B1EBE" w:rsidP="00DC7BC8">
      <w:pPr>
        <w:pStyle w:val="BodyText"/>
      </w:pPr>
      <w:r w:rsidRPr="00212C06">
        <w:t>TDPUD</w:t>
      </w:r>
      <w:r w:rsidR="00573320" w:rsidRPr="00212C06">
        <w:t xml:space="preserve"> has developed a list of critical agencies/emergency responders with a commitment to make direct contact should </w:t>
      </w:r>
      <w:r w:rsidR="00951524">
        <w:t xml:space="preserve">the </w:t>
      </w:r>
      <w:r w:rsidR="00722090">
        <w:t>surrounding</w:t>
      </w:r>
      <w:r w:rsidR="00951524">
        <w:t xml:space="preserve"> </w:t>
      </w:r>
      <w:r w:rsidR="00722090">
        <w:t>utilities</w:t>
      </w:r>
      <w:r w:rsidR="00573320" w:rsidRPr="00212C06">
        <w:t xml:space="preserve"> announce a potential </w:t>
      </w:r>
      <w:r w:rsidR="004963CD">
        <w:t>preemptive</w:t>
      </w:r>
      <w:r w:rsidR="00951524">
        <w:t xml:space="preserve"> shutoff</w:t>
      </w:r>
      <w:r w:rsidR="00733CA0" w:rsidRPr="00212C06">
        <w:t xml:space="preserve"> event</w:t>
      </w:r>
      <w:r w:rsidR="00573320" w:rsidRPr="00212C06">
        <w:t xml:space="preserve">. </w:t>
      </w:r>
      <w:r w:rsidR="00733CA0" w:rsidRPr="00212C06">
        <w:t>If</w:t>
      </w:r>
      <w:r w:rsidR="00F97EFD" w:rsidRPr="00212C06">
        <w:t xml:space="preserve"> TDPUD gets notified of a pending </w:t>
      </w:r>
      <w:r w:rsidR="00733CA0" w:rsidRPr="00212C06">
        <w:t xml:space="preserve">event, </w:t>
      </w:r>
      <w:r w:rsidR="00F97EFD" w:rsidRPr="00212C06">
        <w:t>then TDPUD staff will contact local emergency responders and the hospital by phone</w:t>
      </w:r>
      <w:r w:rsidR="0030659B" w:rsidRPr="00212C06">
        <w:t>, text, and/or email</w:t>
      </w:r>
      <w:r w:rsidR="00BD577D">
        <w:t>,</w:t>
      </w:r>
      <w:r w:rsidR="0030659B" w:rsidRPr="00212C06">
        <w:t xml:space="preserve"> using all channels until contact and message receipt </w:t>
      </w:r>
      <w:r w:rsidR="00733CA0" w:rsidRPr="00212C06">
        <w:t>are</w:t>
      </w:r>
      <w:r w:rsidR="0030659B" w:rsidRPr="00212C06">
        <w:t xml:space="preserve"> confirmed</w:t>
      </w:r>
      <w:r w:rsidR="00F97EFD" w:rsidRPr="00212C06">
        <w:t xml:space="preserve">. </w:t>
      </w:r>
    </w:p>
    <w:p w14:paraId="0DC42F84" w14:textId="085BDFA7" w:rsidR="00B76F98" w:rsidRDefault="00F97EFD" w:rsidP="00DC7BC8">
      <w:pPr>
        <w:pStyle w:val="BodyText"/>
      </w:pPr>
      <w:r>
        <w:t xml:space="preserve">Customers are notified of wildfire alerts, related outages, potential </w:t>
      </w:r>
      <w:r w:rsidR="004963CD">
        <w:t>preemptive</w:t>
      </w:r>
      <w:r w:rsidR="00FE04A2">
        <w:t xml:space="preserve"> shutoff</w:t>
      </w:r>
      <w:r w:rsidR="004B1DB9">
        <w:t xml:space="preserve"> </w:t>
      </w:r>
      <w:r>
        <w:t>outages, relay setting outages, and re-energizations using contact information in their customer accounts</w:t>
      </w:r>
      <w:r w:rsidR="00B76F98">
        <w:t xml:space="preserve"> and by signing up for individual alerts through the customer engagement tool (MyAccount/</w:t>
      </w:r>
      <w:r w:rsidR="00804066">
        <w:br/>
      </w:r>
      <w:r w:rsidR="00B76F98">
        <w:t>SmartHub). Customer notification is achieved through several channels</w:t>
      </w:r>
      <w:r w:rsidR="00BD577D">
        <w:t>,</w:t>
      </w:r>
      <w:r w:rsidR="00B76F98">
        <w:t xml:space="preserve"> </w:t>
      </w:r>
      <w:r>
        <w:t>including text alerts and email alerts. The methods for customer notification are based on the extent of the outage</w:t>
      </w:r>
      <w:r w:rsidR="00715521">
        <w:t>,</w:t>
      </w:r>
      <w:r w:rsidR="00B76F98">
        <w:t xml:space="preserve"> with customer alerts </w:t>
      </w:r>
      <w:r w:rsidR="00715521">
        <w:t xml:space="preserve">occurring </w:t>
      </w:r>
      <w:r w:rsidR="00B76F98">
        <w:t xml:space="preserve">through </w:t>
      </w:r>
      <w:r w:rsidR="00733CA0">
        <w:t xml:space="preserve">the </w:t>
      </w:r>
      <w:r w:rsidR="00B76F98">
        <w:t>OMS and the website outage map in real</w:t>
      </w:r>
      <w:r w:rsidR="004977A9">
        <w:t xml:space="preserve"> </w:t>
      </w:r>
      <w:r w:rsidR="00B76F98">
        <w:t>time</w:t>
      </w:r>
      <w:r>
        <w:t>. During limited outages</w:t>
      </w:r>
      <w:r w:rsidR="00AE4790">
        <w:t>,</w:t>
      </w:r>
      <w:r>
        <w:t xml:space="preserve"> TDPUD may only use its website </w:t>
      </w:r>
      <w:r w:rsidR="00B76F98">
        <w:t xml:space="preserve">and automated customer notifications through </w:t>
      </w:r>
      <w:r w:rsidR="00CC674B">
        <w:t xml:space="preserve">the </w:t>
      </w:r>
      <w:r w:rsidR="00B76F98">
        <w:t xml:space="preserve">OMS. For more significant outages, TDPUD will use social media and the website emergency banner to notify </w:t>
      </w:r>
      <w:r w:rsidR="00CC674B">
        <w:t xml:space="preserve">customers </w:t>
      </w:r>
      <w:r w:rsidR="00B76F98">
        <w:t xml:space="preserve">of an outage and provide updates when available. Major transmission and system-wide outages would also include </w:t>
      </w:r>
      <w:r w:rsidR="007869D9">
        <w:t>Nixle</w:t>
      </w:r>
      <w:r w:rsidR="00B76F98">
        <w:t xml:space="preserve"> alerts and coordination with </w:t>
      </w:r>
      <w:r w:rsidR="007657E1">
        <w:t>Code Red</w:t>
      </w:r>
      <w:r w:rsidR="00B76F98">
        <w:t xml:space="preserve"> posts.</w:t>
      </w:r>
    </w:p>
    <w:p w14:paraId="712A4EF8" w14:textId="43FF610B" w:rsidR="00B41DD8" w:rsidRDefault="00DC091A" w:rsidP="00DC7BC8">
      <w:pPr>
        <w:pStyle w:val="BodyText"/>
      </w:pPr>
      <w:r>
        <w:t xml:space="preserve">Non-customers can sign up </w:t>
      </w:r>
      <w:r w:rsidR="00570FBD">
        <w:t>f</w:t>
      </w:r>
      <w:r w:rsidR="00B76F98">
        <w:t xml:space="preserve">or </w:t>
      </w:r>
      <w:r w:rsidR="003961A5">
        <w:t xml:space="preserve">Nixle </w:t>
      </w:r>
      <w:r w:rsidR="00B76F98">
        <w:t xml:space="preserve">alerts for major outages, </w:t>
      </w:r>
      <w:r w:rsidR="00570FBD">
        <w:t xml:space="preserve">including </w:t>
      </w:r>
      <w:r w:rsidR="00CA4B98">
        <w:t>preemptive</w:t>
      </w:r>
      <w:r w:rsidR="00501CF7">
        <w:t xml:space="preserve"> </w:t>
      </w:r>
      <w:r w:rsidR="00464E10">
        <w:t>shutoff outages</w:t>
      </w:r>
      <w:r w:rsidR="00570FBD">
        <w:t xml:space="preserve">, </w:t>
      </w:r>
      <w:r w:rsidR="00B76F98">
        <w:t xml:space="preserve">by texting </w:t>
      </w:r>
      <w:r w:rsidR="007657E1">
        <w:t>“</w:t>
      </w:r>
      <w:r w:rsidR="00B76F98">
        <w:t>TDPUD</w:t>
      </w:r>
      <w:r w:rsidR="007657E1">
        <w:t>”</w:t>
      </w:r>
      <w:r w:rsidR="00B76F98">
        <w:t xml:space="preserve"> to 333111</w:t>
      </w:r>
      <w:r w:rsidR="00570FBD">
        <w:t xml:space="preserve">. </w:t>
      </w:r>
      <w:r>
        <w:t xml:space="preserve">TDPUD </w:t>
      </w:r>
      <w:r w:rsidR="00570FBD">
        <w:t xml:space="preserve">also </w:t>
      </w:r>
      <w:r>
        <w:t xml:space="preserve">posts information regarding emergencies on </w:t>
      </w:r>
      <w:r w:rsidR="007657E1">
        <w:t>its</w:t>
      </w:r>
      <w:r>
        <w:t xml:space="preserve"> website and on several social media outlets</w:t>
      </w:r>
      <w:r w:rsidR="00284F7E">
        <w:t>.</w:t>
      </w:r>
      <w:r w:rsidR="0052673E">
        <w:t xml:space="preserve"> An online outage map is available for more information about emergencies and outages in </w:t>
      </w:r>
      <w:r w:rsidR="0033344D" w:rsidRPr="001B4735">
        <w:rPr>
          <w:rFonts w:eastAsia="Times New Roman"/>
          <w:szCs w:val="21"/>
        </w:rPr>
        <w:t>TDPUD</w:t>
      </w:r>
      <w:r w:rsidR="0052673E">
        <w:t>.</w:t>
      </w:r>
      <w:r>
        <w:t xml:space="preserve"> </w:t>
      </w:r>
      <w:r w:rsidR="0052673E">
        <w:t>The website also includes information and links to sign up for email and text alerts.</w:t>
      </w:r>
    </w:p>
    <w:p w14:paraId="139C7029" w14:textId="3BE876A5" w:rsidR="00D2325E" w:rsidRDefault="00D2325E" w:rsidP="00DC7BC8">
      <w:pPr>
        <w:pStyle w:val="BodyText"/>
      </w:pPr>
      <w:r>
        <w:t xml:space="preserve">To help TDPUD’s customers and community be aware and prepared for wildfire safety power outages, TDPUD has spent significant time and resources to communicate both the timing of an outage </w:t>
      </w:r>
      <w:r w:rsidR="00BD577D">
        <w:t>and</w:t>
      </w:r>
      <w:r>
        <w:t xml:space="preserve"> the expected start of restoration. Should TDPUD implement a wildfire preemptive </w:t>
      </w:r>
      <w:r>
        <w:lastRenderedPageBreak/>
        <w:t>de</w:t>
      </w:r>
      <w:r w:rsidR="004977A9">
        <w:t>-energization</w:t>
      </w:r>
      <w:r>
        <w:t xml:space="preserve"> program, the communication efforts and customer notifications and protocols would be similar.</w:t>
      </w:r>
    </w:p>
    <w:p w14:paraId="21F161A2" w14:textId="373ABE1C" w:rsidR="00B41DD8" w:rsidRDefault="00BB50F6" w:rsidP="003B5CDE">
      <w:pPr>
        <w:pStyle w:val="Heading1"/>
      </w:pPr>
      <w:bookmarkStart w:id="112" w:name="_Toc135748560"/>
      <w:bookmarkStart w:id="113" w:name="_Toc236903491"/>
      <w:r>
        <w:t>VI.</w:t>
      </w:r>
      <w:r>
        <w:tab/>
      </w:r>
      <w:r w:rsidR="00B41DD8">
        <w:t>Community Outreach and Public Awareness</w:t>
      </w:r>
      <w:bookmarkEnd w:id="112"/>
      <w:bookmarkEnd w:id="113"/>
    </w:p>
    <w:p w14:paraId="159A653F" w14:textId="4DD5DA99" w:rsidR="001C79DE" w:rsidRDefault="009B1EBE" w:rsidP="00DC7BC8">
      <w:pPr>
        <w:pStyle w:val="BodyText"/>
      </w:pPr>
      <w:r>
        <w:t>TDPUD</w:t>
      </w:r>
      <w:r w:rsidR="001C79DE" w:rsidRPr="000C7200">
        <w:t xml:space="preserve"> has extensive relationships across all organizations in the community. </w:t>
      </w:r>
      <w:r w:rsidR="000A43E2">
        <w:t>These relationships</w:t>
      </w:r>
      <w:r w:rsidR="001C79DE" w:rsidRPr="000C7200">
        <w:t xml:space="preserve"> include direct interactions with the agencies directly responsible </w:t>
      </w:r>
      <w:r w:rsidR="000A43E2">
        <w:t>for</w:t>
      </w:r>
      <w:r w:rsidR="001C79DE" w:rsidRPr="000C7200">
        <w:t xml:space="preserve"> fight</w:t>
      </w:r>
      <w:r w:rsidR="000A43E2">
        <w:t>ing</w:t>
      </w:r>
      <w:r w:rsidR="001C79DE" w:rsidRPr="000C7200">
        <w:t xml:space="preserve"> fires (Truckee Fire </w:t>
      </w:r>
      <w:r w:rsidR="00C00BD4">
        <w:t>Protection District</w:t>
      </w:r>
      <w:r w:rsidR="00C00BD4" w:rsidRPr="000C013F">
        <w:t xml:space="preserve"> </w:t>
      </w:r>
      <w:r w:rsidR="001C79DE" w:rsidRPr="000C7200">
        <w:t xml:space="preserve">and </w:t>
      </w:r>
      <w:r w:rsidR="00C00BD4">
        <w:t>CAL FIRE</w:t>
      </w:r>
      <w:r w:rsidR="001C79DE" w:rsidRPr="000C7200">
        <w:t xml:space="preserve">), agencies leading emergency response efforts (Town of Truckee, Nevada County, and Placer County), </w:t>
      </w:r>
      <w:r w:rsidR="000A43E2">
        <w:t>and</w:t>
      </w:r>
      <w:r w:rsidR="001C79DE" w:rsidRPr="000C7200">
        <w:t xml:space="preserve"> key public and private </w:t>
      </w:r>
      <w:r w:rsidR="00017BAA" w:rsidRPr="000C7200">
        <w:t>landowners</w:t>
      </w:r>
      <w:r w:rsidR="001C79DE" w:rsidRPr="000C7200">
        <w:t xml:space="preserve"> (</w:t>
      </w:r>
      <w:r w:rsidR="000A43E2">
        <w:t>U.S.</w:t>
      </w:r>
      <w:r w:rsidR="001C79DE" w:rsidRPr="000C7200">
        <w:t xml:space="preserve"> Forest Service, </w:t>
      </w:r>
      <w:r w:rsidR="00CC3C60">
        <w:t xml:space="preserve">Tahoe National Forest, </w:t>
      </w:r>
      <w:r w:rsidR="001C79DE" w:rsidRPr="000C7200">
        <w:t xml:space="preserve">California State Parks, Tahoe Donner Association, Tahoe-Truckee Airport </w:t>
      </w:r>
      <w:r w:rsidR="00570FBD">
        <w:t>District</w:t>
      </w:r>
      <w:r w:rsidR="001C79DE" w:rsidRPr="000C7200">
        <w:t xml:space="preserve">, etc.). </w:t>
      </w:r>
      <w:r>
        <w:t>TDPUD</w:t>
      </w:r>
      <w:r w:rsidR="001C79DE" w:rsidRPr="000C7200">
        <w:t xml:space="preserve"> staff regularly provide information to these agencies</w:t>
      </w:r>
      <w:r w:rsidR="00BD577D">
        <w:t>,</w:t>
      </w:r>
      <w:r w:rsidR="001C79DE" w:rsidRPr="000C7200">
        <w:t xml:space="preserve"> including updates on fire, vegetation management requirements, and </w:t>
      </w:r>
      <w:r>
        <w:t>TDPUD</w:t>
      </w:r>
      <w:r w:rsidR="001C79DE" w:rsidRPr="000C7200">
        <w:t xml:space="preserve"> programs.</w:t>
      </w:r>
    </w:p>
    <w:p w14:paraId="590F93B9" w14:textId="618D1EBA" w:rsidR="007A4604" w:rsidRPr="000C7200" w:rsidRDefault="007A4604" w:rsidP="00DC7BC8">
      <w:pPr>
        <w:pStyle w:val="BodyText"/>
      </w:pPr>
      <w:r w:rsidRPr="007A4604">
        <w:t>TDPUD also works closely with our partners and considers key planning and other documents in</w:t>
      </w:r>
      <w:r>
        <w:t xml:space="preserve"> </w:t>
      </w:r>
      <w:r w:rsidRPr="007A4604">
        <w:t xml:space="preserve">implementing this WMP. This includes the Truckee Fire Protection District's Community Wildfire Protection </w:t>
      </w:r>
      <w:r w:rsidR="00792E5F">
        <w:t>P</w:t>
      </w:r>
      <w:r w:rsidRPr="007A4604">
        <w:t xml:space="preserve">lan and the Town of Truckee's </w:t>
      </w:r>
      <w:r w:rsidR="004977A9" w:rsidRPr="007A4604">
        <w:t>right</w:t>
      </w:r>
      <w:r w:rsidR="004977A9">
        <w:t>-</w:t>
      </w:r>
      <w:r w:rsidR="004977A9" w:rsidRPr="007A4604">
        <w:t>of</w:t>
      </w:r>
      <w:r w:rsidR="004977A9">
        <w:t>-</w:t>
      </w:r>
      <w:r w:rsidR="004977A9" w:rsidRPr="007A4604">
        <w:t>way</w:t>
      </w:r>
      <w:r w:rsidRPr="007A4604">
        <w:t xml:space="preserve"> clearing program and other emergency response activities</w:t>
      </w:r>
      <w:r>
        <w:t>.</w:t>
      </w:r>
    </w:p>
    <w:p w14:paraId="42F74BA3" w14:textId="7DE0A374" w:rsidR="001C79DE" w:rsidRPr="000C7200" w:rsidRDefault="001C79DE" w:rsidP="00DC7BC8">
      <w:pPr>
        <w:pStyle w:val="BodyText"/>
      </w:pPr>
      <w:r w:rsidRPr="000C7200">
        <w:t xml:space="preserve">As the local electric and water utility, </w:t>
      </w:r>
      <w:r w:rsidR="009B1EBE">
        <w:t>TDPUD</w:t>
      </w:r>
      <w:r w:rsidRPr="000C7200">
        <w:t xml:space="preserve"> has robust community outreach and marketing programs to effectively communicate with </w:t>
      </w:r>
      <w:r w:rsidR="00D52F3B">
        <w:t>its</w:t>
      </w:r>
      <w:r w:rsidRPr="000C7200">
        <w:t xml:space="preserve"> customers and community. The agendas for all TDPUD Board meetings are publicly </w:t>
      </w:r>
      <w:r w:rsidR="00BD577D" w:rsidRPr="000C7200">
        <w:t>available,</w:t>
      </w:r>
      <w:r w:rsidRPr="000C7200">
        <w:t xml:space="preserve"> and </w:t>
      </w:r>
      <w:r w:rsidR="004E15D9">
        <w:t xml:space="preserve">the meetings are </w:t>
      </w:r>
      <w:r w:rsidRPr="000C7200">
        <w:t xml:space="preserve">open for the public to </w:t>
      </w:r>
      <w:r w:rsidR="002A7BFF" w:rsidRPr="000C7200">
        <w:t>attend</w:t>
      </w:r>
      <w:r w:rsidR="004E15D9">
        <w:t>.</w:t>
      </w:r>
      <w:r w:rsidR="002A7BFF" w:rsidRPr="000C7200">
        <w:t xml:space="preserve"> </w:t>
      </w:r>
      <w:r w:rsidR="004E15D9">
        <w:t>T</w:t>
      </w:r>
      <w:r w:rsidR="002A7BFF" w:rsidRPr="000C7200">
        <w:t>he</w:t>
      </w:r>
      <w:r w:rsidRPr="000C7200">
        <w:t xml:space="preserve"> regularly scheduled Board meetings are also broadcast </w:t>
      </w:r>
      <w:r w:rsidR="00570FBD">
        <w:t>locally</w:t>
      </w:r>
      <w:r w:rsidRPr="000C7200">
        <w:t xml:space="preserve"> from </w:t>
      </w:r>
      <w:r w:rsidR="009B1EBE">
        <w:t>TDPUD</w:t>
      </w:r>
      <w:r w:rsidRPr="000C7200">
        <w:t>’s website (</w:t>
      </w:r>
      <w:hyperlink r:id="rId30" w:history="1">
        <w:r w:rsidRPr="000C7200">
          <w:rPr>
            <w:rStyle w:val="Hyperlink"/>
            <w:szCs w:val="21"/>
          </w:rPr>
          <w:t>www.tdpud.org</w:t>
        </w:r>
      </w:hyperlink>
      <w:r w:rsidR="002A7BFF" w:rsidRPr="000C7200">
        <w:t>) and</w:t>
      </w:r>
      <w:r w:rsidRPr="000C7200">
        <w:t xml:space="preserve"> archived on </w:t>
      </w:r>
      <w:r w:rsidR="009B1EBE">
        <w:t>TDPUD</w:t>
      </w:r>
      <w:r w:rsidRPr="000C7200">
        <w:t>’s website for access after the meeting.</w:t>
      </w:r>
    </w:p>
    <w:p w14:paraId="472EE9A7" w14:textId="49BE4B9A" w:rsidR="001C79DE" w:rsidRPr="000C7200" w:rsidRDefault="009B1EBE" w:rsidP="00DC7BC8">
      <w:pPr>
        <w:pStyle w:val="BodyText"/>
      </w:pPr>
      <w:r>
        <w:t>TDPUD</w:t>
      </w:r>
      <w:r w:rsidR="001C79DE" w:rsidRPr="000C7200">
        <w:t xml:space="preserve"> is active in the community, typically attending dozens of community events each year</w:t>
      </w:r>
      <w:r w:rsidR="0028408A">
        <w:t>,</w:t>
      </w:r>
      <w:r w:rsidR="001C79DE" w:rsidRPr="000C7200">
        <w:t xml:space="preserve"> </w:t>
      </w:r>
      <w:r w:rsidR="002A7BFF" w:rsidRPr="000C7200">
        <w:t>including Truckee</w:t>
      </w:r>
      <w:r w:rsidR="001C79DE" w:rsidRPr="000C7200">
        <w:t xml:space="preserve"> Day</w:t>
      </w:r>
      <w:r w:rsidR="0028408A">
        <w:t>,</w:t>
      </w:r>
      <w:r w:rsidR="001C79DE" w:rsidRPr="000C7200">
        <w:t xml:space="preserve"> Truckee Thursdays</w:t>
      </w:r>
      <w:r w:rsidR="0028408A">
        <w:t>,</w:t>
      </w:r>
      <w:r w:rsidR="001C79DE" w:rsidRPr="000C7200">
        <w:t xml:space="preserve"> Tahoe Truckee Earth Day</w:t>
      </w:r>
      <w:r w:rsidR="0028408A">
        <w:t>,</w:t>
      </w:r>
      <w:r w:rsidR="001C79DE" w:rsidRPr="000C7200">
        <w:t xml:space="preserve"> </w:t>
      </w:r>
      <w:r w:rsidR="00CC3C60">
        <w:t>Tahoe Donner Expo</w:t>
      </w:r>
      <w:r w:rsidR="0028408A">
        <w:t>,</w:t>
      </w:r>
      <w:r w:rsidR="001C79DE" w:rsidRPr="000C7200">
        <w:t xml:space="preserve"> </w:t>
      </w:r>
      <w:r w:rsidR="00CC3C60">
        <w:t xml:space="preserve">Town of Truckee annual fire meeting, </w:t>
      </w:r>
      <w:r w:rsidR="001C79DE" w:rsidRPr="000C7200">
        <w:t xml:space="preserve">and Big Truck Day. </w:t>
      </w:r>
      <w:r>
        <w:t>TDPUD</w:t>
      </w:r>
      <w:r w:rsidR="001C79DE" w:rsidRPr="000C7200">
        <w:t xml:space="preserve"> staffs booths, has staff available to interact with the community, and delivers energy, water, and customer programs directly to </w:t>
      </w:r>
      <w:r w:rsidR="00D52F3B">
        <w:t>its</w:t>
      </w:r>
      <w:r w:rsidR="001C79DE" w:rsidRPr="000C7200">
        <w:t xml:space="preserve"> customers. </w:t>
      </w:r>
      <w:r w:rsidR="00441EDD">
        <w:t>TD</w:t>
      </w:r>
      <w:r w:rsidR="0028408A">
        <w:t>PUD</w:t>
      </w:r>
      <w:r w:rsidR="0028408A" w:rsidRPr="000C7200">
        <w:t xml:space="preserve"> </w:t>
      </w:r>
      <w:r w:rsidR="001C79DE" w:rsidRPr="000C7200">
        <w:t>provid</w:t>
      </w:r>
      <w:r w:rsidR="0028408A">
        <w:t>es</w:t>
      </w:r>
      <w:r w:rsidR="001C79DE" w:rsidRPr="000C7200">
        <w:t xml:space="preserve"> information on </w:t>
      </w:r>
      <w:r w:rsidR="0028408A">
        <w:rPr>
          <w:rFonts w:eastAsia="Times New Roman"/>
        </w:rPr>
        <w:t>its</w:t>
      </w:r>
      <w:r w:rsidR="001C79DE" w:rsidRPr="000C7200">
        <w:t xml:space="preserve"> </w:t>
      </w:r>
      <w:r w:rsidR="00792E5F">
        <w:t>v</w:t>
      </w:r>
      <w:r w:rsidR="001C79DE" w:rsidRPr="000C7200">
        <w:t xml:space="preserve">egetation </w:t>
      </w:r>
      <w:r w:rsidR="00792E5F">
        <w:t>m</w:t>
      </w:r>
      <w:r w:rsidR="001C79DE" w:rsidRPr="000C7200">
        <w:t xml:space="preserve">anagement </w:t>
      </w:r>
      <w:r w:rsidR="00792E5F">
        <w:t>p</w:t>
      </w:r>
      <w:r w:rsidR="001C79DE" w:rsidRPr="000C7200">
        <w:t xml:space="preserve">rogram, </w:t>
      </w:r>
      <w:r w:rsidR="0028408A">
        <w:t xml:space="preserve">performs </w:t>
      </w:r>
      <w:r w:rsidR="001C79DE" w:rsidRPr="000C7200">
        <w:t>free de-energizing of customers</w:t>
      </w:r>
      <w:r w:rsidR="0028408A">
        <w:t>’</w:t>
      </w:r>
      <w:r w:rsidR="001C79DE" w:rsidRPr="000C7200">
        <w:t xml:space="preserve"> overhead service connections to allow them to clear defensible space while working </w:t>
      </w:r>
      <w:r w:rsidR="0052673E" w:rsidRPr="000C7200">
        <w:t>safely</w:t>
      </w:r>
      <w:r w:rsidR="0028408A">
        <w:t>,</w:t>
      </w:r>
      <w:r w:rsidR="0052673E" w:rsidRPr="000C7200">
        <w:t xml:space="preserve"> and</w:t>
      </w:r>
      <w:r w:rsidR="001C79DE" w:rsidRPr="000C7200">
        <w:t xml:space="preserve"> educat</w:t>
      </w:r>
      <w:r w:rsidR="0028408A">
        <w:t>es</w:t>
      </w:r>
      <w:r w:rsidR="001C79DE" w:rsidRPr="000C7200">
        <w:t xml:space="preserve"> the community on </w:t>
      </w:r>
      <w:r>
        <w:t>TDPUD</w:t>
      </w:r>
      <w:r w:rsidR="001C79DE" w:rsidRPr="000C7200">
        <w:t xml:space="preserve">’s overall efforts to respond to catastrophic wildfires. </w:t>
      </w:r>
      <w:r>
        <w:t>TDPUD</w:t>
      </w:r>
      <w:r w:rsidR="001C79DE" w:rsidRPr="000C7200">
        <w:t xml:space="preserve"> intends to continue this effective engagement in the future.</w:t>
      </w:r>
    </w:p>
    <w:p w14:paraId="683C2E60" w14:textId="007B85B9" w:rsidR="000C7200" w:rsidRDefault="009B1EBE" w:rsidP="00DC7BC8">
      <w:pPr>
        <w:pStyle w:val="BodyText"/>
      </w:pPr>
      <w:r>
        <w:t>TDPUD</w:t>
      </w:r>
      <w:r w:rsidR="001C79DE" w:rsidRPr="000C7200">
        <w:t xml:space="preserve"> also has robust marketing and communication efforts leveraging </w:t>
      </w:r>
      <w:r w:rsidR="003569CD">
        <w:t>its</w:t>
      </w:r>
      <w:r w:rsidR="001C79DE" w:rsidRPr="000C7200">
        <w:t xml:space="preserve"> website (www.tdpud.org), social media (Facebook/Twitter</w:t>
      </w:r>
      <w:r w:rsidR="00570FBD">
        <w:t>/Instagram</w:t>
      </w:r>
      <w:r w:rsidR="001C79DE" w:rsidRPr="000C7200">
        <w:t>)</w:t>
      </w:r>
      <w:r w:rsidR="002A7BFF" w:rsidRPr="000C7200">
        <w:t>,</w:t>
      </w:r>
      <w:r w:rsidR="001C79DE" w:rsidRPr="000C7200">
        <w:t xml:space="preserve"> print ads, and digital marketing. </w:t>
      </w:r>
      <w:r>
        <w:t>TDPUD</w:t>
      </w:r>
      <w:r w:rsidR="001C79DE" w:rsidRPr="000C7200">
        <w:t xml:space="preserve"> is a regular advertiser in the Sierra Sun, Moonshine Ink, Truckee Chamber of Commerce, Tahoe Donner News, </w:t>
      </w:r>
      <w:r w:rsidR="003569CD">
        <w:t xml:space="preserve">and </w:t>
      </w:r>
      <w:r w:rsidR="001C79DE" w:rsidRPr="000C7200">
        <w:t xml:space="preserve">The Shire, </w:t>
      </w:r>
      <w:r w:rsidR="003569CD">
        <w:t>as well as</w:t>
      </w:r>
      <w:r w:rsidR="001C79DE" w:rsidRPr="000C7200">
        <w:t xml:space="preserve"> on KTKE 101.5 local radio. In addition, </w:t>
      </w:r>
      <w:r>
        <w:t>TDPUD</w:t>
      </w:r>
      <w:r w:rsidR="001C79DE" w:rsidRPr="000C7200">
        <w:t xml:space="preserve"> has an informative customer lobby with ready access to customer service representatives, extensive digital media to educate customers, and engaging displays.</w:t>
      </w:r>
    </w:p>
    <w:p w14:paraId="31879970" w14:textId="24672059" w:rsidR="00D2325E" w:rsidRPr="000C7200" w:rsidRDefault="00D2325E" w:rsidP="00DC7BC8">
      <w:pPr>
        <w:pStyle w:val="BodyText"/>
      </w:pPr>
      <w:r>
        <w:t xml:space="preserve">Specific to wildfire-related community outreach, TDPUD has been very active </w:t>
      </w:r>
      <w:r w:rsidR="00BD577D">
        <w:t xml:space="preserve">in </w:t>
      </w:r>
      <w:r>
        <w:t xml:space="preserve">promoting the wildfire mitigation plan and vegetation management program, including past regulatory changes increasing the vegetation clearances and vegetation management practices. TDPUD also engages in direct communication with property owners for quick resolution of any concerns </w:t>
      </w:r>
      <w:r>
        <w:lastRenderedPageBreak/>
        <w:t xml:space="preserve">or disputes. TDPUD has information on </w:t>
      </w:r>
      <w:r w:rsidR="00BD577D">
        <w:t xml:space="preserve">its </w:t>
      </w:r>
      <w:r>
        <w:t xml:space="preserve">website, social media, digital media, print advertising, and radio. TDPUD has worked with Tahoe Donner Association, which is in a tier 3 area and has almost half of TDPUD’s residential connections, to include an extensive article in the monthly Tahoe Donner News </w:t>
      </w:r>
      <w:r w:rsidR="00BD577D">
        <w:t xml:space="preserve">with </w:t>
      </w:r>
      <w:r>
        <w:t>information regarding fire, vegetation management, and everyone doing their part.</w:t>
      </w:r>
    </w:p>
    <w:p w14:paraId="4263A706" w14:textId="07ED634A" w:rsidR="00B41DD8" w:rsidRDefault="00EE4AAD" w:rsidP="003B5CDE">
      <w:pPr>
        <w:pStyle w:val="Heading1"/>
      </w:pPr>
      <w:bookmarkStart w:id="114" w:name="_Toc135748561"/>
      <w:bookmarkStart w:id="115" w:name="_Toc236903492"/>
      <w:r>
        <w:t>VII.</w:t>
      </w:r>
      <w:r>
        <w:tab/>
      </w:r>
      <w:r w:rsidR="00B41DD8">
        <w:t>Restoration of Service</w:t>
      </w:r>
      <w:bookmarkEnd w:id="114"/>
      <w:bookmarkEnd w:id="115"/>
    </w:p>
    <w:p w14:paraId="0B7C3392" w14:textId="72229636" w:rsidR="00A454AE" w:rsidRDefault="00A454AE" w:rsidP="00E66AF5">
      <w:pPr>
        <w:pStyle w:val="BodyText"/>
        <w:rPr>
          <w:rFonts w:ascii="Times New Roman" w:hAnsi="Times New Roman" w:cs="Times New Roman"/>
          <w:color w:val="010302"/>
        </w:rPr>
      </w:pPr>
      <w:r>
        <w:rPr>
          <w:noProof/>
        </w:rPr>
        <mc:AlternateContent>
          <mc:Choice Requires="wps">
            <w:drawing>
              <wp:anchor distT="0" distB="0" distL="114300" distR="114300" simplePos="0" relativeHeight="251665920" behindDoc="0" locked="0" layoutInCell="1" allowOverlap="1" wp14:anchorId="59472EC1" wp14:editId="1AD9762F">
                <wp:simplePos x="0" y="0"/>
                <wp:positionH relativeFrom="page">
                  <wp:posOffset>858316</wp:posOffset>
                </wp:positionH>
                <wp:positionV relativeFrom="line">
                  <wp:posOffset>22096</wp:posOffset>
                </wp:positionV>
                <wp:extent cx="38100" cy="38100"/>
                <wp:effectExtent l="0" t="0" r="0" b="0"/>
                <wp:wrapNone/>
                <wp:docPr id="945" name="Freeform 945"/>
                <wp:cNvGraphicFramePr/>
                <a:graphic xmlns:a="http://schemas.openxmlformats.org/drawingml/2006/main">
                  <a:graphicData uri="http://schemas.microsoft.com/office/word/2010/wordprocessingShape">
                    <wps:wsp>
                      <wps:cNvSpPr/>
                      <wps:spPr>
                        <a:xfrm>
                          <a:off x="0" y="0"/>
                          <a:ext cx="38100" cy="38100"/>
                        </a:xfrm>
                        <a:custGeom>
                          <a:avLst/>
                          <a:gdLst/>
                          <a:ahLst/>
                          <a:cxnLst/>
                          <a:rect l="l" t="t" r="r" b="b"/>
                          <a:pathLst>
                            <a:path w="38100" h="38100">
                              <a:moveTo>
                                <a:pt x="0" y="38100"/>
                              </a:moveTo>
                              <a:lnTo>
                                <a:pt x="38100" y="38100"/>
                              </a:lnTo>
                              <a:lnTo>
                                <a:pt x="38100" y="0"/>
                              </a:lnTo>
                              <a:lnTo>
                                <a:pt x="0" y="0"/>
                              </a:lnTo>
                              <a:lnTo>
                                <a:pt x="0" y="38100"/>
                              </a:lnTo>
                              <a:close/>
                            </a:path>
                          </a:pathLst>
                        </a:custGeom>
                        <a:solidFill>
                          <a:srgbClr val="1CADE4">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B94EC30" id="Freeform 945" o:spid="_x0000_s1026" style="position:absolute;margin-left:67.6pt;margin-top:1.75pt;width:3pt;height:3pt;z-index:251665920;visibility:visible;mso-wrap-style:square;mso-wrap-distance-left:9pt;mso-wrap-distance-top:0;mso-wrap-distance-right:9pt;mso-wrap-distance-bottom:0;mso-position-horizontal:absolute;mso-position-horizontal-relative:page;mso-position-vertical:absolute;mso-position-vertical-relative:line;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kiqRAIAAHcFAAAOAAAAZHJzL2Uyb0RvYy54bWysVF2P0zAQfEfiP1h5p0nK16lqe0JXjhcE&#10;iDt+gOusm0iObdm+pv33rNdxEh0gJEQekk08O54ZO97eXnrFzuB8Z/SuqFdVwUAL03T6tCt+PN6/&#10;uimYD1w3XBkNu+IKvrjdv3yxHewG1qY1qgHHkET7zWB3RRuC3ZSlFy303K+MBY2D0rieB3x1p7Jx&#10;fED2XpXrqnpXDsY11hkB3uPXQxos9sQvJYjwVUoPgaldgdoC3R3dj/Fe7rd8c3Lctp0YZfB/UNHz&#10;TuOkE9WBB86eXPcLVd8JZ7yRYSVMXxopOwHkAd3U1TM3Dy23QF4wHG+nmPz/oxVfzg/2m8MYBus3&#10;Hsvo4iJdH5+oj10orOsUFlwCE/jx9U1dYaICR1KJHOXcKp58+ASGaPj5sw8p6SZXvM2VuOhcOlyv&#10;uFKKVioUDFfKFQxX6phWyvIQ+6K2WLIhT87aXMWx3pzh0RAqzAaWMmeE0kvk6OqZqYzJT0usM5b2&#10;EZrP4/mZcJhSju8vmKXCzCGU8ZCyjZYp5CkG5FsG7Y3qmvtOqWjdu9PxTjl25phofffh8PENbVGu&#10;bMvHr1W8YrRINOJTvSRSOuZcr98jNBJrE6dITUojft46VIWrgohT+jtI1jW4WdbUSH81TJq4EKBD&#10;nYZa3kAS9XapKZ4DsYNUEWFkljj/xD0SZGQiydxJ5YiPrUCHwtScHP1BWGqeOmhmo8PU3HfauN85&#10;U+hqnDnhc0gpmpjS0TRX+u8oPfy7yeF4EsXjY/lO7fN5uf8JAAD//wMAUEsDBBQABgAIAAAAIQBa&#10;evrE2gAAAAcBAAAPAAAAZHJzL2Rvd25yZXYueG1sTI7BTsMwEETvSPyDtUjcqNOWoBLiVBSp3BAQ&#10;EGc3WZJQex2ybhr+nu0Jjk8zmnn5evJOjThwF8jAfJaAQqpC3VFj4P1te7UCxdFSbV0gNPCDDOvi&#10;/Cy3WR2O9IpjGRslI8SZNdDG2Gdac9WitzwLPZJkn2HwNgoOja4He5Rx7/QiSW60tx3JQ2t7fGix&#10;2pcHb+D5e4PlZv/xNH49bvvUMb8EXhlzeTHd34GKOMW/Mpz0RR0KcdqFA9WsnPAyXUjVwDIFdcqv&#10;58I7A7cp6CLX//2LXwAAAP//AwBQSwECLQAUAAYACAAAACEAtoM4kv4AAADhAQAAEwAAAAAAAAAA&#10;AAAAAAAAAAAAW0NvbnRlbnRfVHlwZXNdLnhtbFBLAQItABQABgAIAAAAIQA4/SH/1gAAAJQBAAAL&#10;AAAAAAAAAAAAAAAAAC8BAABfcmVscy8ucmVsc1BLAQItABQABgAIAAAAIQDYrkiqRAIAAHcFAAAO&#10;AAAAAAAAAAAAAAAAAC4CAABkcnMvZTJvRG9jLnhtbFBLAQItABQABgAIAAAAIQBaevrE2gAAAAcB&#10;AAAPAAAAAAAAAAAAAAAAAJ4EAABkcnMvZG93bnJldi54bWxQSwUGAAAAAAQABADzAAAApQUAAAAA&#10;" path="m,38100r38100,l38100,,,,,38100xe" fillcolor="#1cade4" stroked="f" strokeweight="1pt">
                <v:path arrowok="t"/>
                <w10:wrap anchorx="page" anchory="line"/>
              </v:shape>
            </w:pict>
          </mc:Fallback>
        </mc:AlternateContent>
      </w:r>
      <w:r>
        <w:rPr>
          <w:noProof/>
        </w:rPr>
        <mc:AlternateContent>
          <mc:Choice Requires="wps">
            <w:drawing>
              <wp:anchor distT="0" distB="0" distL="114300" distR="114300" simplePos="0" relativeHeight="251663872" behindDoc="0" locked="0" layoutInCell="1" allowOverlap="1" wp14:anchorId="2397BB46" wp14:editId="19BBDA8C">
                <wp:simplePos x="0" y="0"/>
                <wp:positionH relativeFrom="page">
                  <wp:posOffset>858316</wp:posOffset>
                </wp:positionH>
                <wp:positionV relativeFrom="line">
                  <wp:posOffset>22096</wp:posOffset>
                </wp:positionV>
                <wp:extent cx="38100" cy="38100"/>
                <wp:effectExtent l="0" t="0" r="0" b="0"/>
                <wp:wrapNone/>
                <wp:docPr id="946" name="Freeform 946"/>
                <wp:cNvGraphicFramePr/>
                <a:graphic xmlns:a="http://schemas.openxmlformats.org/drawingml/2006/main">
                  <a:graphicData uri="http://schemas.microsoft.com/office/word/2010/wordprocessingShape">
                    <wps:wsp>
                      <wps:cNvSpPr/>
                      <wps:spPr>
                        <a:xfrm>
                          <a:off x="0" y="0"/>
                          <a:ext cx="38100" cy="38100"/>
                        </a:xfrm>
                        <a:custGeom>
                          <a:avLst/>
                          <a:gdLst/>
                          <a:ahLst/>
                          <a:cxnLst/>
                          <a:rect l="l" t="t" r="r" b="b"/>
                          <a:pathLst>
                            <a:path w="38100" h="38100">
                              <a:moveTo>
                                <a:pt x="0" y="38100"/>
                              </a:moveTo>
                              <a:lnTo>
                                <a:pt x="38100" y="38100"/>
                              </a:lnTo>
                              <a:lnTo>
                                <a:pt x="38100" y="0"/>
                              </a:lnTo>
                              <a:lnTo>
                                <a:pt x="0" y="0"/>
                              </a:lnTo>
                              <a:lnTo>
                                <a:pt x="0" y="38100"/>
                              </a:lnTo>
                              <a:close/>
                            </a:path>
                          </a:pathLst>
                        </a:custGeom>
                        <a:solidFill>
                          <a:srgbClr val="1CADE4">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0CFA556" id="Freeform 946" o:spid="_x0000_s1026" style="position:absolute;margin-left:67.6pt;margin-top:1.75pt;width:3pt;height:3pt;z-index:251663872;visibility:visible;mso-wrap-style:square;mso-wrap-distance-left:9pt;mso-wrap-distance-top:0;mso-wrap-distance-right:9pt;mso-wrap-distance-bottom:0;mso-position-horizontal:absolute;mso-position-horizontal-relative:page;mso-position-vertical:absolute;mso-position-vertical-relative:line;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kiqRAIAAHcFAAAOAAAAZHJzL2Uyb0RvYy54bWysVF2P0zAQfEfiP1h5p0nK16lqe0JXjhcE&#10;iDt+gOusm0iObdm+pv33rNdxEh0gJEQekk08O54ZO97eXnrFzuB8Z/SuqFdVwUAL03T6tCt+PN6/&#10;uimYD1w3XBkNu+IKvrjdv3yxHewG1qY1qgHHkET7zWB3RRuC3ZSlFy303K+MBY2D0rieB3x1p7Jx&#10;fED2XpXrqnpXDsY11hkB3uPXQxos9sQvJYjwVUoPgaldgdoC3R3dj/Fe7rd8c3Lctp0YZfB/UNHz&#10;TuOkE9WBB86eXPcLVd8JZ7yRYSVMXxopOwHkAd3U1TM3Dy23QF4wHG+nmPz/oxVfzg/2m8MYBus3&#10;Hsvo4iJdH5+oj10orOsUFlwCE/jx9U1dYaICR1KJHOXcKp58+ASGaPj5sw8p6SZXvM2VuOhcOlyv&#10;uFKKVioUDFfKFQxX6phWyvIQ+6K2WLIhT87aXMWx3pzh0RAqzAaWMmeE0kvk6OqZqYzJT0usM5b2&#10;EZrP4/mZcJhSju8vmKXCzCGU8ZCyjZYp5CkG5FsG7Y3qmvtOqWjdu9PxTjl25phofffh8PENbVGu&#10;bMvHr1W8YrRINOJTvSRSOuZcr98jNBJrE6dITUojft46VIWrgohT+jtI1jW4WdbUSH81TJq4EKBD&#10;nYZa3kAS9XapKZ4DsYNUEWFkljj/xD0SZGQiydxJ5YiPrUCHwtScHP1BWGqeOmhmo8PU3HfauN85&#10;U+hqnDnhc0gpmpjS0TRX+u8oPfy7yeF4EsXjY/lO7fN5uf8JAAD//wMAUEsDBBQABgAIAAAAIQBa&#10;evrE2gAAAAcBAAAPAAAAZHJzL2Rvd25yZXYueG1sTI7BTsMwEETvSPyDtUjcqNOWoBLiVBSp3BAQ&#10;EGc3WZJQex2ybhr+nu0Jjk8zmnn5evJOjThwF8jAfJaAQqpC3VFj4P1te7UCxdFSbV0gNPCDDOvi&#10;/Cy3WR2O9IpjGRslI8SZNdDG2Gdac9WitzwLPZJkn2HwNgoOja4He5Rx7/QiSW60tx3JQ2t7fGix&#10;2pcHb+D5e4PlZv/xNH49bvvUMb8EXhlzeTHd34GKOMW/Mpz0RR0KcdqFA9WsnPAyXUjVwDIFdcqv&#10;58I7A7cp6CLX//2LXwAAAP//AwBQSwECLQAUAAYACAAAACEAtoM4kv4AAADhAQAAEwAAAAAAAAAA&#10;AAAAAAAAAAAAW0NvbnRlbnRfVHlwZXNdLnhtbFBLAQItABQABgAIAAAAIQA4/SH/1gAAAJQBAAAL&#10;AAAAAAAAAAAAAAAAAC8BAABfcmVscy8ucmVsc1BLAQItABQABgAIAAAAIQDYrkiqRAIAAHcFAAAO&#10;AAAAAAAAAAAAAAAAAC4CAABkcnMvZTJvRG9jLnhtbFBLAQItABQABgAIAAAAIQBaevrE2gAAAAcB&#10;AAAPAAAAAAAAAAAAAAAAAJ4EAABkcnMvZG93bnJldi54bWxQSwUGAAAAAAQABADzAAAApQUAAAAA&#10;" path="m,38100r38100,l38100,,,,,38100xe" fillcolor="#1cade4" stroked="f" strokeweight="1pt">
                <v:path arrowok="t"/>
                <w10:wrap anchorx="page" anchory="line"/>
              </v:shape>
            </w:pict>
          </mc:Fallback>
        </mc:AlternateContent>
      </w:r>
      <w:r>
        <w:rPr>
          <w:noProof/>
        </w:rPr>
        <mc:AlternateContent>
          <mc:Choice Requires="wps">
            <w:drawing>
              <wp:anchor distT="0" distB="0" distL="114300" distR="114300" simplePos="0" relativeHeight="251670016" behindDoc="0" locked="0" layoutInCell="1" allowOverlap="1" wp14:anchorId="5CD0C619" wp14:editId="504C972E">
                <wp:simplePos x="0" y="0"/>
                <wp:positionH relativeFrom="page">
                  <wp:posOffset>6877811</wp:posOffset>
                </wp:positionH>
                <wp:positionV relativeFrom="line">
                  <wp:posOffset>22096</wp:posOffset>
                </wp:positionV>
                <wp:extent cx="38100" cy="38100"/>
                <wp:effectExtent l="0" t="0" r="0" b="0"/>
                <wp:wrapNone/>
                <wp:docPr id="948" name="Freeform 948"/>
                <wp:cNvGraphicFramePr/>
                <a:graphic xmlns:a="http://schemas.openxmlformats.org/drawingml/2006/main">
                  <a:graphicData uri="http://schemas.microsoft.com/office/word/2010/wordprocessingShape">
                    <wps:wsp>
                      <wps:cNvSpPr/>
                      <wps:spPr>
                        <a:xfrm>
                          <a:off x="0" y="0"/>
                          <a:ext cx="38100" cy="38100"/>
                        </a:xfrm>
                        <a:custGeom>
                          <a:avLst/>
                          <a:gdLst/>
                          <a:ahLst/>
                          <a:cxnLst/>
                          <a:rect l="l" t="t" r="r" b="b"/>
                          <a:pathLst>
                            <a:path w="38100" h="38100">
                              <a:moveTo>
                                <a:pt x="0" y="38100"/>
                              </a:moveTo>
                              <a:lnTo>
                                <a:pt x="38100" y="38100"/>
                              </a:lnTo>
                              <a:lnTo>
                                <a:pt x="38100" y="0"/>
                              </a:lnTo>
                              <a:lnTo>
                                <a:pt x="0" y="0"/>
                              </a:lnTo>
                              <a:lnTo>
                                <a:pt x="0" y="38100"/>
                              </a:lnTo>
                              <a:close/>
                            </a:path>
                          </a:pathLst>
                        </a:custGeom>
                        <a:solidFill>
                          <a:srgbClr val="1CADE4">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48A3F05" id="Freeform 948" o:spid="_x0000_s1026" style="position:absolute;margin-left:541.55pt;margin-top:1.75pt;width:3pt;height:3pt;z-index:251670016;visibility:visible;mso-wrap-style:square;mso-wrap-distance-left:9pt;mso-wrap-distance-top:0;mso-wrap-distance-right:9pt;mso-wrap-distance-bottom:0;mso-position-horizontal:absolute;mso-position-horizontal-relative:page;mso-position-vertical:absolute;mso-position-vertical-relative:line;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kiqRAIAAHcFAAAOAAAAZHJzL2Uyb0RvYy54bWysVF2P0zAQfEfiP1h5p0nK16lqe0JXjhcE&#10;iDt+gOusm0iObdm+pv33rNdxEh0gJEQekk08O54ZO97eXnrFzuB8Z/SuqFdVwUAL03T6tCt+PN6/&#10;uimYD1w3XBkNu+IKvrjdv3yxHewG1qY1qgHHkET7zWB3RRuC3ZSlFy303K+MBY2D0rieB3x1p7Jx&#10;fED2XpXrqnpXDsY11hkB3uPXQxos9sQvJYjwVUoPgaldgdoC3R3dj/Fe7rd8c3Lctp0YZfB/UNHz&#10;TuOkE9WBB86eXPcLVd8JZ7yRYSVMXxopOwHkAd3U1TM3Dy23QF4wHG+nmPz/oxVfzg/2m8MYBus3&#10;Hsvo4iJdH5+oj10orOsUFlwCE/jx9U1dYaICR1KJHOXcKp58+ASGaPj5sw8p6SZXvM2VuOhcOlyv&#10;uFKKVioUDFfKFQxX6phWyvIQ+6K2WLIhT87aXMWx3pzh0RAqzAaWMmeE0kvk6OqZqYzJT0usM5b2&#10;EZrP4/mZcJhSju8vmKXCzCGU8ZCyjZYp5CkG5FsG7Y3qmvtOqWjdu9PxTjl25phofffh8PENbVGu&#10;bMvHr1W8YrRINOJTvSRSOuZcr98jNBJrE6dITUojft46VIWrgohT+jtI1jW4WdbUSH81TJq4EKBD&#10;nYZa3kAS9XapKZ4DsYNUEWFkljj/xD0SZGQiydxJ5YiPrUCHwtScHP1BWGqeOmhmo8PU3HfauN85&#10;U+hqnDnhc0gpmpjS0TRX+u8oPfy7yeF4EsXjY/lO7fN5uf8JAAD//wMAUEsDBBQABgAIAAAAIQBh&#10;3uw73QAAAAkBAAAPAAAAZHJzL2Rvd25yZXYueG1sTI/BTsMwDIbvSLxDZCRuLBlTUdc1nRjSuCFY&#10;QZyzxmvLmqTUWVfeHu8Ex9/+9Ptzvp5cJ0YcqA1ew3ymQKCvgm19reHjfXuXgqBovDVd8KjhBwnW&#10;xfVVbjIbzn6HYxlrwSWeMqOhibHPpKSqQWdoFnr0vDuEwZnIcailHcyZy10n75V6kM60ni80psen&#10;BqtjeXIaXr83WG6Ony/j1/O2Tzqit0Cp1rc30+MKRMQp/sFw0Wd1KNhpH07ekug4q3QxZ1bDIgFx&#10;AVS65MFewzIBWeTy/wfFLwAAAP//AwBQSwECLQAUAAYACAAAACEAtoM4kv4AAADhAQAAEwAAAAAA&#10;AAAAAAAAAAAAAAAAW0NvbnRlbnRfVHlwZXNdLnhtbFBLAQItABQABgAIAAAAIQA4/SH/1gAAAJQB&#10;AAALAAAAAAAAAAAAAAAAAC8BAABfcmVscy8ucmVsc1BLAQItABQABgAIAAAAIQDYrkiqRAIAAHcF&#10;AAAOAAAAAAAAAAAAAAAAAC4CAABkcnMvZTJvRG9jLnhtbFBLAQItABQABgAIAAAAIQBh3uw73QAA&#10;AAkBAAAPAAAAAAAAAAAAAAAAAJ4EAABkcnMvZG93bnJldi54bWxQSwUGAAAAAAQABADzAAAAqAUA&#10;AAAA&#10;" path="m,38100r38100,l38100,,,,,38100xe" fillcolor="#1cade4" stroked="f" strokeweight="1pt">
                <v:path arrowok="t"/>
                <w10:wrap anchorx="page" anchory="line"/>
              </v:shape>
            </w:pict>
          </mc:Fallback>
        </mc:AlternateContent>
      </w:r>
      <w:r>
        <w:rPr>
          <w:noProof/>
        </w:rPr>
        <mc:AlternateContent>
          <mc:Choice Requires="wps">
            <w:drawing>
              <wp:anchor distT="0" distB="0" distL="114300" distR="114300" simplePos="0" relativeHeight="251667968" behindDoc="0" locked="0" layoutInCell="1" allowOverlap="1" wp14:anchorId="2550A158" wp14:editId="214A7A72">
                <wp:simplePos x="0" y="0"/>
                <wp:positionH relativeFrom="page">
                  <wp:posOffset>6877811</wp:posOffset>
                </wp:positionH>
                <wp:positionV relativeFrom="line">
                  <wp:posOffset>22096</wp:posOffset>
                </wp:positionV>
                <wp:extent cx="38100" cy="38100"/>
                <wp:effectExtent l="0" t="0" r="0" b="0"/>
                <wp:wrapNone/>
                <wp:docPr id="949" name="Freeform 949"/>
                <wp:cNvGraphicFramePr/>
                <a:graphic xmlns:a="http://schemas.openxmlformats.org/drawingml/2006/main">
                  <a:graphicData uri="http://schemas.microsoft.com/office/word/2010/wordprocessingShape">
                    <wps:wsp>
                      <wps:cNvSpPr/>
                      <wps:spPr>
                        <a:xfrm>
                          <a:off x="0" y="0"/>
                          <a:ext cx="38100" cy="38100"/>
                        </a:xfrm>
                        <a:custGeom>
                          <a:avLst/>
                          <a:gdLst/>
                          <a:ahLst/>
                          <a:cxnLst/>
                          <a:rect l="l" t="t" r="r" b="b"/>
                          <a:pathLst>
                            <a:path w="38100" h="38100">
                              <a:moveTo>
                                <a:pt x="0" y="38100"/>
                              </a:moveTo>
                              <a:lnTo>
                                <a:pt x="38100" y="38100"/>
                              </a:lnTo>
                              <a:lnTo>
                                <a:pt x="38100" y="0"/>
                              </a:lnTo>
                              <a:lnTo>
                                <a:pt x="0" y="0"/>
                              </a:lnTo>
                              <a:lnTo>
                                <a:pt x="0" y="38100"/>
                              </a:lnTo>
                              <a:close/>
                            </a:path>
                          </a:pathLst>
                        </a:custGeom>
                        <a:solidFill>
                          <a:srgbClr val="1CADE4">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E283655" id="Freeform 949" o:spid="_x0000_s1026" style="position:absolute;margin-left:541.55pt;margin-top:1.75pt;width:3pt;height:3pt;z-index:251667968;visibility:visible;mso-wrap-style:square;mso-wrap-distance-left:9pt;mso-wrap-distance-top:0;mso-wrap-distance-right:9pt;mso-wrap-distance-bottom:0;mso-position-horizontal:absolute;mso-position-horizontal-relative:page;mso-position-vertical:absolute;mso-position-vertical-relative:line;v-text-anchor:top" coordsize="3810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kiqRAIAAHcFAAAOAAAAZHJzL2Uyb0RvYy54bWysVF2P0zAQfEfiP1h5p0nK16lqe0JXjhcE&#10;iDt+gOusm0iObdm+pv33rNdxEh0gJEQekk08O54ZO97eXnrFzuB8Z/SuqFdVwUAL03T6tCt+PN6/&#10;uimYD1w3XBkNu+IKvrjdv3yxHewG1qY1qgHHkET7zWB3RRuC3ZSlFy303K+MBY2D0rieB3x1p7Jx&#10;fED2XpXrqnpXDsY11hkB3uPXQxos9sQvJYjwVUoPgaldgdoC3R3dj/Fe7rd8c3Lctp0YZfB/UNHz&#10;TuOkE9WBB86eXPcLVd8JZ7yRYSVMXxopOwHkAd3U1TM3Dy23QF4wHG+nmPz/oxVfzg/2m8MYBus3&#10;Hsvo4iJdH5+oj10orOsUFlwCE/jx9U1dYaICR1KJHOXcKp58+ASGaPj5sw8p6SZXvM2VuOhcOlyv&#10;uFKKVioUDFfKFQxX6phWyvIQ+6K2WLIhT87aXMWx3pzh0RAqzAaWMmeE0kvk6OqZqYzJT0usM5b2&#10;EZrP4/mZcJhSju8vmKXCzCGU8ZCyjZYp5CkG5FsG7Y3qmvtOqWjdu9PxTjl25phofffh8PENbVGu&#10;bMvHr1W8YrRINOJTvSRSOuZcr98jNBJrE6dITUojft46VIWrgohT+jtI1jW4WdbUSH81TJq4EKBD&#10;nYZa3kAS9XapKZ4DsYNUEWFkljj/xD0SZGQiydxJ5YiPrUCHwtScHP1BWGqeOmhmo8PU3HfauN85&#10;U+hqnDnhc0gpmpjS0TRX+u8oPfy7yeF4EsXjY/lO7fN5uf8JAAD//wMAUEsDBBQABgAIAAAAIQBh&#10;3uw73QAAAAkBAAAPAAAAZHJzL2Rvd25yZXYueG1sTI/BTsMwDIbvSLxDZCRuLBlTUdc1nRjSuCFY&#10;QZyzxmvLmqTUWVfeHu8Ex9/+9Ptzvp5cJ0YcqA1ew3ymQKCvgm19reHjfXuXgqBovDVd8KjhBwnW&#10;xfVVbjIbzn6HYxlrwSWeMqOhibHPpKSqQWdoFnr0vDuEwZnIcailHcyZy10n75V6kM60ni80psen&#10;BqtjeXIaXr83WG6Ony/j1/O2Tzqit0Cp1rc30+MKRMQp/sFw0Wd1KNhpH07ekug4q3QxZ1bDIgFx&#10;AVS65MFewzIBWeTy/wfFLwAAAP//AwBQSwECLQAUAAYACAAAACEAtoM4kv4AAADhAQAAEwAAAAAA&#10;AAAAAAAAAAAAAAAAW0NvbnRlbnRfVHlwZXNdLnhtbFBLAQItABQABgAIAAAAIQA4/SH/1gAAAJQB&#10;AAALAAAAAAAAAAAAAAAAAC8BAABfcmVscy8ucmVsc1BLAQItABQABgAIAAAAIQDYrkiqRAIAAHcF&#10;AAAOAAAAAAAAAAAAAAAAAC4CAABkcnMvZTJvRG9jLnhtbFBLAQItABQABgAIAAAAIQBh3uw73QAA&#10;AAkBAAAPAAAAAAAAAAAAAAAAAJ4EAABkcnMvZG93bnJldi54bWxQSwUGAAAAAAQABADzAAAAqAUA&#10;AAAA&#10;" path="m,38100r38100,l38100,,,,,38100xe" fillcolor="#1cade4" stroked="f" strokeweight="1pt">
                <v:path arrowok="t"/>
                <w10:wrap anchorx="page" anchory="line"/>
              </v:shape>
            </w:pict>
          </mc:Fallback>
        </mc:AlternateContent>
      </w:r>
      <w:r>
        <w:t xml:space="preserve">TDPUD implemented a formal Preemptive Shutoff Policy in 2025 as part of its broader wildfire mitigation strategy. TDPUD has historically retained the operational discretion to de-energize portions or the entirety of its overhead electric </w:t>
      </w:r>
      <w:r w:rsidR="004212AB">
        <w:t>system under</w:t>
      </w:r>
      <w:r>
        <w:t xml:space="preserve"> specific conditions, including: </w:t>
      </w:r>
    </w:p>
    <w:p w14:paraId="36D33045" w14:textId="33E97D8B" w:rsidR="00A454AE" w:rsidRPr="00E66AF5" w:rsidRDefault="00A454AE" w:rsidP="00E66AF5">
      <w:pPr>
        <w:pStyle w:val="BulletList"/>
      </w:pPr>
      <w:r w:rsidRPr="00E66AF5">
        <w:t xml:space="preserve">At the request of an external emergency management or emergency response agency </w:t>
      </w:r>
    </w:p>
    <w:p w14:paraId="2A922F3B" w14:textId="0E907D26" w:rsidR="00A454AE" w:rsidRPr="00E66AF5" w:rsidRDefault="00A454AE" w:rsidP="00E66AF5">
      <w:pPr>
        <w:pStyle w:val="BulletList"/>
      </w:pPr>
      <w:r w:rsidRPr="00E66AF5">
        <w:t xml:space="preserve">When TDPUD determines that extreme weather or other safety considerations necessitate de-energization </w:t>
      </w:r>
    </w:p>
    <w:p w14:paraId="452AAD58" w14:textId="5C6A140D" w:rsidR="00A454AE" w:rsidRPr="00E66AF5" w:rsidRDefault="00A454AE" w:rsidP="00E66AF5">
      <w:pPr>
        <w:pStyle w:val="BulletList"/>
      </w:pPr>
      <w:r w:rsidRPr="00E66AF5">
        <w:t xml:space="preserve">In response to a preemptive </w:t>
      </w:r>
      <w:r w:rsidR="004212AB" w:rsidRPr="00E66AF5">
        <w:t>shut-off</w:t>
      </w:r>
      <w:r w:rsidRPr="00E66AF5">
        <w:t xml:space="preserve"> event or transmission outage initiated by NV Energy </w:t>
      </w:r>
    </w:p>
    <w:p w14:paraId="1148EAAE" w14:textId="6C9020E5" w:rsidR="00A454AE" w:rsidRPr="00E66AF5" w:rsidRDefault="00A454AE" w:rsidP="00E66AF5">
      <w:pPr>
        <w:pStyle w:val="BulletList"/>
      </w:pPr>
      <w:r w:rsidRPr="00E66AF5">
        <w:t xml:space="preserve">or another upstream provider </w:t>
      </w:r>
    </w:p>
    <w:p w14:paraId="355FC34B" w14:textId="77777777" w:rsidR="00A454AE" w:rsidRDefault="00A454AE" w:rsidP="00E66AF5">
      <w:pPr>
        <w:pStyle w:val="BodyText"/>
      </w:pPr>
      <w:r w:rsidRPr="003B5FA8">
        <w:t>In the event of an outage during wildfire season, TDPUD will conduct patrols of affected portions of the system prior to re-energization. Any equipment or distribution lines that cannot be safely inspected will remain de-energized until a full assessment can be completed. In parallel, system performance and field conditions will be actively monitored using TDPUD’s Supervisory Control and Data Acquisition (SCADA) system, Advanced Metering Infrastructure (AMI), Outage Management System (OMS), and Gridware/Gridscope devices to support outage assessment, event validation, operational awareness, and restoration activities.</w:t>
      </w:r>
    </w:p>
    <w:p w14:paraId="35D3E2EC" w14:textId="704AD9CA" w:rsidR="00A454AE" w:rsidRDefault="00A454AE" w:rsidP="00E66AF5">
      <w:pPr>
        <w:pStyle w:val="BodyText"/>
        <w:rPr>
          <w:rFonts w:ascii="Times New Roman" w:hAnsi="Times New Roman" w:cs="Times New Roman"/>
          <w:color w:val="010302"/>
        </w:rPr>
      </w:pPr>
      <w:r>
        <w:t xml:space="preserve">TDPUD actively participates in statewide emergency coordination efforts through its engagement with the California Governor’s Office of Emergency Services (Cal OES) and the California Utilities Emergency Association (CUEA). Cal OES is responsible for overseeing and coordinating emergency preparedness, response, recovery, and homeland security activities across the state. CUEA serves as a critical liaison between utility operators and Cal OES, facilitating timely communication and coordination during emergency events and supporting planning, mitigation, training, and response activities. </w:t>
      </w:r>
    </w:p>
    <w:p w14:paraId="716F1870" w14:textId="581DD360" w:rsidR="00A454AE" w:rsidRPr="00114C46" w:rsidRDefault="00A454AE" w:rsidP="00E66AF5">
      <w:pPr>
        <w:pStyle w:val="BodyText"/>
      </w:pPr>
      <w:r>
        <w:t xml:space="preserve">As a transmission-dependent utility, TDPUD receives power from NV Energy, which operates a Public Safety Outage Management (PSOM) program approved by the Public Utilities Commission of Nevada. NV Energy has committed to providing TDPUD with advance notifications of PSOM events, including estimated times of restoration, to support proactive communication with local agencies and the public. </w:t>
      </w:r>
    </w:p>
    <w:p w14:paraId="7239D6F9" w14:textId="4DF9C31F" w:rsidR="00162903" w:rsidRDefault="00A454AE" w:rsidP="00E66AF5">
      <w:pPr>
        <w:pStyle w:val="BodyText"/>
      </w:pPr>
      <w:r w:rsidRPr="00382277">
        <w:t xml:space="preserve">In preparation for potential wildfire-related outages, TDPUD has developed and continues to refine re-energization protocols aligned with NV Energy’s PSOM transmission de-energization framework. Following implementation of TDPUD’s Preemptive Power Shutoff (PPS) program in 2025, restoration of service following District-initiated de-energization events will follow </w:t>
      </w:r>
      <w:r w:rsidRPr="00382277">
        <w:lastRenderedPageBreak/>
        <w:t>established re-energization procedures intended to support safe, systematic, and coordinated restoration practices.</w:t>
      </w:r>
    </w:p>
    <w:p w14:paraId="0CF37343" w14:textId="05092F7D" w:rsidR="00B41DD8" w:rsidRDefault="00EE4AAD" w:rsidP="003B5CDE">
      <w:pPr>
        <w:pStyle w:val="Heading1"/>
      </w:pPr>
      <w:bookmarkStart w:id="116" w:name="_Toc135748562"/>
      <w:bookmarkStart w:id="117" w:name="_Toc236903493"/>
      <w:r>
        <w:t>VIII.</w:t>
      </w:r>
      <w:r>
        <w:tab/>
      </w:r>
      <w:r w:rsidR="00B41DD8">
        <w:t>Evaluating the Plan</w:t>
      </w:r>
      <w:bookmarkEnd w:id="116"/>
      <w:bookmarkEnd w:id="117"/>
    </w:p>
    <w:p w14:paraId="197C4017" w14:textId="4A9F9481" w:rsidR="00A03B6B" w:rsidRDefault="00741C75" w:rsidP="00A2100A">
      <w:pPr>
        <w:pStyle w:val="Heading2"/>
        <w:numPr>
          <w:ilvl w:val="0"/>
          <w:numId w:val="20"/>
        </w:numPr>
      </w:pPr>
      <w:bookmarkStart w:id="118" w:name="_Toc236903494"/>
      <w:bookmarkStart w:id="119" w:name="_Toc135748563"/>
      <w:r w:rsidRPr="00741C75">
        <w:t>Wildfire Mitigation Implementation Plan (2026–2028)</w:t>
      </w:r>
      <w:bookmarkEnd w:id="118"/>
    </w:p>
    <w:p w14:paraId="6328B381" w14:textId="77777777" w:rsidR="009B538F" w:rsidRDefault="009B538F" w:rsidP="00E66AF5">
      <w:pPr>
        <w:pStyle w:val="BodyText"/>
      </w:pPr>
    </w:p>
    <w:p w14:paraId="4C3548B1" w14:textId="77777777" w:rsidR="00773835" w:rsidRPr="00787CEA" w:rsidRDefault="00773835" w:rsidP="00773835">
      <w:pPr>
        <w:pStyle w:val="BodyText"/>
      </w:pPr>
      <w:r w:rsidRPr="00787CEA">
        <w:t>The Truckee Donner Public Utility District's Wildfire Mitigation Program is implemented through a multi-year planning process that integrates capital improvement projects, operations and maintenance activities, vegetation management, system inspections, operational technology, and emergency preparedness.</w:t>
      </w:r>
    </w:p>
    <w:p w14:paraId="33329B66" w14:textId="77777777" w:rsidR="00773835" w:rsidRPr="00787CEA" w:rsidRDefault="00773835" w:rsidP="00773835">
      <w:pPr>
        <w:pStyle w:val="BodyText"/>
      </w:pPr>
      <w:r w:rsidRPr="00787CEA">
        <w:t>The District has established the following Specific, Measurable, Achievable, Relevant, and Time-Bound (SMART) goals for 2026. SMART Goals will be reviewed and established annually based on wildfire risk, system needs, available resources, approved budgets, and progress achieved during the preceding year.</w:t>
      </w:r>
    </w:p>
    <w:p w14:paraId="37805D84" w14:textId="77777777" w:rsidR="00773835" w:rsidRPr="00787CEA" w:rsidRDefault="00773835" w:rsidP="00773835">
      <w:pPr>
        <w:pStyle w:val="BodyText"/>
      </w:pPr>
      <w:r w:rsidRPr="00787CEA">
        <w:t>These goals support the District's ongoing commitment to reducing wildfire risk, improving electric system resiliency, enhancing situational awareness, and protecting public safety. Progress toward each goal will be reviewed annually and reported as part of the District's annual Wildfire Mitigation Plan review.</w:t>
      </w:r>
    </w:p>
    <w:p w14:paraId="7A68DE21" w14:textId="77777777" w:rsidR="00773835" w:rsidRDefault="00773835" w:rsidP="00E66AF5">
      <w:pPr>
        <w:pStyle w:val="BodyText"/>
      </w:pPr>
    </w:p>
    <w:p w14:paraId="0A314379" w14:textId="3C903AE3" w:rsidR="00D95AA7" w:rsidRDefault="00D95AA7" w:rsidP="00E66AF5">
      <w:pPr>
        <w:pStyle w:val="BodyText"/>
      </w:pPr>
    </w:p>
    <w:p w14:paraId="385B777D" w14:textId="77777777" w:rsidR="00F37C35" w:rsidRPr="00804066" w:rsidRDefault="00F37C35" w:rsidP="00804066">
      <w:pPr>
        <w:pStyle w:val="TableSourceNote"/>
      </w:pPr>
    </w:p>
    <w:tbl>
      <w:tblPr>
        <w:tblStyle w:val="TableGrid"/>
        <w:tblW w:w="3158" w:type="pct"/>
        <w:jc w:val="center"/>
        <w:shd w:val="clear" w:color="auto" w:fill="FFFFFF" w:themeFill="background1"/>
        <w:tblLook w:val="04A0" w:firstRow="1" w:lastRow="0" w:firstColumn="1" w:lastColumn="0" w:noHBand="0" w:noVBand="1"/>
      </w:tblPr>
      <w:tblGrid>
        <w:gridCol w:w="2284"/>
        <w:gridCol w:w="1877"/>
        <w:gridCol w:w="1744"/>
      </w:tblGrid>
      <w:tr w:rsidR="001671AD" w14:paraId="63249951" w14:textId="77777777" w:rsidTr="00A73020">
        <w:trPr>
          <w:tblHeader/>
          <w:jc w:val="center"/>
        </w:trPr>
        <w:tc>
          <w:tcPr>
            <w:tcW w:w="2284" w:type="dxa"/>
            <w:tcBorders>
              <w:top w:val="single" w:sz="4" w:space="0" w:color="000000"/>
            </w:tcBorders>
            <w:shd w:val="clear" w:color="auto" w:fill="1CADE4"/>
            <w:vAlign w:val="center"/>
          </w:tcPr>
          <w:p w14:paraId="42B1CC1D" w14:textId="05815D1D" w:rsidR="001671AD" w:rsidRDefault="001671AD" w:rsidP="008238A1">
            <w:pPr>
              <w:pStyle w:val="TableHeading"/>
            </w:pPr>
            <w:r w:rsidRPr="006B7F1F">
              <w:t>SMART Goal</w:t>
            </w:r>
          </w:p>
        </w:tc>
        <w:tc>
          <w:tcPr>
            <w:tcW w:w="1877" w:type="dxa"/>
            <w:tcBorders>
              <w:top w:val="single" w:sz="4" w:space="0" w:color="000000"/>
            </w:tcBorders>
            <w:shd w:val="clear" w:color="auto" w:fill="1CADE4"/>
            <w:vAlign w:val="center"/>
          </w:tcPr>
          <w:p w14:paraId="39F04515" w14:textId="3C802EAE" w:rsidR="001671AD" w:rsidRDefault="001671AD" w:rsidP="008238A1">
            <w:pPr>
              <w:pStyle w:val="TableHeading"/>
            </w:pPr>
            <w:r>
              <w:t xml:space="preserve">2026 </w:t>
            </w:r>
            <w:r w:rsidR="00A73020">
              <w:t>Commitment</w:t>
            </w:r>
          </w:p>
        </w:tc>
        <w:tc>
          <w:tcPr>
            <w:tcW w:w="1744" w:type="dxa"/>
            <w:tcBorders>
              <w:top w:val="single" w:sz="4" w:space="0" w:color="000000"/>
            </w:tcBorders>
            <w:shd w:val="clear" w:color="auto" w:fill="1CADE4"/>
            <w:vAlign w:val="center"/>
          </w:tcPr>
          <w:p w14:paraId="3542EA55" w14:textId="2FAFDFF3" w:rsidR="001671AD" w:rsidRDefault="001671AD" w:rsidP="008238A1">
            <w:pPr>
              <w:pStyle w:val="TableHeading"/>
            </w:pPr>
            <w:r>
              <w:t>Performance Measure</w:t>
            </w:r>
          </w:p>
        </w:tc>
      </w:tr>
      <w:tr w:rsidR="001671AD" w14:paraId="796FA102" w14:textId="77777777" w:rsidTr="00A73020">
        <w:trPr>
          <w:jc w:val="center"/>
        </w:trPr>
        <w:tc>
          <w:tcPr>
            <w:tcW w:w="2284" w:type="dxa"/>
            <w:shd w:val="clear" w:color="auto" w:fill="FFFFFF" w:themeFill="background1"/>
            <w:vAlign w:val="center"/>
          </w:tcPr>
          <w:p w14:paraId="21916588" w14:textId="77777777" w:rsidR="001671AD" w:rsidRDefault="001671AD" w:rsidP="00EE41B3">
            <w:pPr>
              <w:pStyle w:val="TableText"/>
            </w:pPr>
            <w:r w:rsidRPr="00537B35">
              <w:t>System Hardening Program</w:t>
            </w:r>
          </w:p>
          <w:p w14:paraId="3ECA46A1" w14:textId="4CF6F927" w:rsidR="001671AD" w:rsidRPr="005C60A8" w:rsidRDefault="001671AD" w:rsidP="00EE41B3">
            <w:pPr>
              <w:pStyle w:val="TableText"/>
            </w:pPr>
          </w:p>
        </w:tc>
        <w:tc>
          <w:tcPr>
            <w:tcW w:w="1877" w:type="dxa"/>
            <w:shd w:val="clear" w:color="auto" w:fill="FFFFFF" w:themeFill="background1"/>
            <w:vAlign w:val="center"/>
          </w:tcPr>
          <w:p w14:paraId="71046EC5" w14:textId="4C070F4B" w:rsidR="001671AD" w:rsidRPr="005C60A8" w:rsidRDefault="001671AD" w:rsidP="00EE41B3">
            <w:pPr>
              <w:pStyle w:val="TableText"/>
            </w:pPr>
            <w:r w:rsidRPr="005C60A8">
              <w:t>Complete approximately 6 circuit miles.</w:t>
            </w:r>
          </w:p>
        </w:tc>
        <w:tc>
          <w:tcPr>
            <w:tcW w:w="1744" w:type="dxa"/>
            <w:shd w:val="clear" w:color="auto" w:fill="FFFFFF" w:themeFill="background1"/>
            <w:vAlign w:val="center"/>
          </w:tcPr>
          <w:p w14:paraId="05A3D6AF" w14:textId="624BFB6C" w:rsidR="001671AD" w:rsidRPr="005C60A8" w:rsidRDefault="001671AD" w:rsidP="00EE41B3">
            <w:pPr>
              <w:pStyle w:val="TableText"/>
            </w:pPr>
            <w:r w:rsidRPr="005C60A8">
              <w:t>Annual circuit miles completed compared to the approved Capital Improvement Program.</w:t>
            </w:r>
          </w:p>
        </w:tc>
      </w:tr>
      <w:tr w:rsidR="001671AD" w14:paraId="6E975F93" w14:textId="77777777" w:rsidTr="00A73020">
        <w:trPr>
          <w:jc w:val="center"/>
        </w:trPr>
        <w:tc>
          <w:tcPr>
            <w:tcW w:w="2284" w:type="dxa"/>
            <w:shd w:val="clear" w:color="auto" w:fill="FFFFFF" w:themeFill="background1"/>
            <w:vAlign w:val="center"/>
          </w:tcPr>
          <w:p w14:paraId="39539EB8" w14:textId="5BB367FC" w:rsidR="001671AD" w:rsidRPr="005C60A8" w:rsidRDefault="001671AD" w:rsidP="00EE41B3">
            <w:pPr>
              <w:pStyle w:val="TableText"/>
              <w:keepNext/>
            </w:pPr>
            <w:r w:rsidRPr="00D32B15">
              <w:lastRenderedPageBreak/>
              <w:t>Line Sensors</w:t>
            </w:r>
          </w:p>
        </w:tc>
        <w:tc>
          <w:tcPr>
            <w:tcW w:w="1877" w:type="dxa"/>
            <w:shd w:val="clear" w:color="auto" w:fill="FFFFFF" w:themeFill="background1"/>
            <w:vAlign w:val="center"/>
          </w:tcPr>
          <w:p w14:paraId="57FCDA66" w14:textId="0CA914FA" w:rsidR="001671AD" w:rsidRPr="005C60A8" w:rsidRDefault="001671AD" w:rsidP="00EE41B3">
            <w:pPr>
              <w:pStyle w:val="TableText"/>
              <w:keepNext/>
            </w:pPr>
            <w:r w:rsidRPr="00B40E9A">
              <w:t>Continue deployment of Gridware line sensors and supporting weather stations consistent with the Board-approved budget.</w:t>
            </w:r>
          </w:p>
        </w:tc>
        <w:tc>
          <w:tcPr>
            <w:tcW w:w="1744" w:type="dxa"/>
            <w:shd w:val="clear" w:color="auto" w:fill="FFFFFF" w:themeFill="background1"/>
            <w:vAlign w:val="center"/>
          </w:tcPr>
          <w:p w14:paraId="40A755E7" w14:textId="5BB55F99" w:rsidR="001671AD" w:rsidRPr="005C60A8" w:rsidRDefault="001671AD" w:rsidP="00EE41B3">
            <w:pPr>
              <w:pStyle w:val="TableText"/>
              <w:keepNext/>
            </w:pPr>
            <w:r w:rsidRPr="00B40E9A">
              <w:t>Number of Gridware devices and weather stations installed and percentage of planned deployment completed.</w:t>
            </w:r>
          </w:p>
        </w:tc>
      </w:tr>
      <w:tr w:rsidR="001671AD" w14:paraId="0A168BE0" w14:textId="77777777" w:rsidTr="00A73020">
        <w:trPr>
          <w:jc w:val="center"/>
        </w:trPr>
        <w:tc>
          <w:tcPr>
            <w:tcW w:w="2284" w:type="dxa"/>
            <w:shd w:val="clear" w:color="auto" w:fill="FFFFFF" w:themeFill="background1"/>
            <w:vAlign w:val="center"/>
          </w:tcPr>
          <w:p w14:paraId="4DDF73A3" w14:textId="443263DD" w:rsidR="001671AD" w:rsidRPr="005C60A8" w:rsidRDefault="001671AD" w:rsidP="00EE41B3">
            <w:pPr>
              <w:pStyle w:val="TableText"/>
            </w:pPr>
            <w:r w:rsidRPr="001A2F69">
              <w:t>Vegetation Management</w:t>
            </w:r>
          </w:p>
        </w:tc>
        <w:tc>
          <w:tcPr>
            <w:tcW w:w="1877" w:type="dxa"/>
            <w:shd w:val="clear" w:color="auto" w:fill="FFFFFF" w:themeFill="background1"/>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671AD" w:rsidRPr="001A2F69" w14:paraId="4DAE34C7" w14:textId="77777777">
              <w:trPr>
                <w:tblCellSpacing w:w="15" w:type="dxa"/>
              </w:trPr>
              <w:tc>
                <w:tcPr>
                  <w:tcW w:w="0" w:type="auto"/>
                  <w:vAlign w:val="center"/>
                  <w:hideMark/>
                </w:tcPr>
                <w:p w14:paraId="692864C1" w14:textId="77777777" w:rsidR="001671AD" w:rsidRPr="001A2F69" w:rsidRDefault="001671AD" w:rsidP="001A2F69">
                  <w:pPr>
                    <w:pStyle w:val="TableText"/>
                  </w:pPr>
                </w:p>
              </w:tc>
            </w:tr>
          </w:tbl>
          <w:p w14:paraId="2F2B8904" w14:textId="77777777" w:rsidR="001671AD" w:rsidRPr="001A2F69" w:rsidRDefault="001671AD" w:rsidP="001A2F69">
            <w:pPr>
              <w:pStyle w:val="TableText"/>
              <w:rPr>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61"/>
            </w:tblGrid>
            <w:tr w:rsidR="001671AD" w:rsidRPr="001A2F69" w14:paraId="4FAE85F5" w14:textId="77777777">
              <w:trPr>
                <w:tblCellSpacing w:w="15" w:type="dxa"/>
              </w:trPr>
              <w:tc>
                <w:tcPr>
                  <w:tcW w:w="0" w:type="auto"/>
                  <w:vAlign w:val="center"/>
                  <w:hideMark/>
                </w:tcPr>
                <w:p w14:paraId="3434264F" w14:textId="77777777" w:rsidR="001671AD" w:rsidRPr="001A2F69" w:rsidRDefault="001671AD" w:rsidP="001A2F69">
                  <w:pPr>
                    <w:pStyle w:val="TableText"/>
                  </w:pPr>
                  <w:r w:rsidRPr="001A2F69">
                    <w:t>Complete 100% of planned annual vegetation inspections and associated mitigation activities.</w:t>
                  </w:r>
                </w:p>
              </w:tc>
            </w:tr>
          </w:tbl>
          <w:p w14:paraId="10641D0B" w14:textId="5C2DE59B" w:rsidR="001671AD" w:rsidRPr="005C60A8" w:rsidRDefault="001671AD" w:rsidP="00EE41B3">
            <w:pPr>
              <w:pStyle w:val="TableText"/>
            </w:pPr>
          </w:p>
        </w:tc>
        <w:tc>
          <w:tcPr>
            <w:tcW w:w="1744" w:type="dxa"/>
            <w:shd w:val="clear" w:color="auto" w:fill="FFFFFF" w:themeFill="background1"/>
            <w:vAlign w:val="center"/>
          </w:tcPr>
          <w:p w14:paraId="24451A81" w14:textId="7A681D78" w:rsidR="001671AD" w:rsidRPr="005C60A8" w:rsidRDefault="001671AD" w:rsidP="00EE41B3">
            <w:pPr>
              <w:pStyle w:val="TableText"/>
            </w:pPr>
            <w:r w:rsidRPr="00D32B15">
              <w:t>Percentage of planned inspections completed and corrective actions tracked.</w:t>
            </w:r>
          </w:p>
        </w:tc>
      </w:tr>
      <w:tr w:rsidR="001671AD" w14:paraId="58198F4B" w14:textId="77777777" w:rsidTr="00A73020">
        <w:trPr>
          <w:jc w:val="center"/>
        </w:trPr>
        <w:tc>
          <w:tcPr>
            <w:tcW w:w="2284" w:type="dxa"/>
            <w:shd w:val="clear" w:color="auto" w:fill="FFFFFF" w:themeFill="background1"/>
            <w:vAlign w:val="center"/>
          </w:tcPr>
          <w:p w14:paraId="279AB5AB" w14:textId="1EA84ECD" w:rsidR="001671AD" w:rsidRPr="005C60A8" w:rsidRDefault="001671AD" w:rsidP="00EE41B3">
            <w:pPr>
              <w:pStyle w:val="TableText"/>
            </w:pPr>
            <w:r w:rsidRPr="00C747EC">
              <w:t>System Inspections</w:t>
            </w:r>
          </w:p>
        </w:tc>
        <w:tc>
          <w:tcPr>
            <w:tcW w:w="1877" w:type="dxa"/>
            <w:shd w:val="clear" w:color="auto" w:fill="FFFFFF" w:themeFill="background1"/>
            <w:vAlign w:val="center"/>
          </w:tcPr>
          <w:p w14:paraId="753823F4" w14:textId="39E3C15A" w:rsidR="001671AD" w:rsidRPr="005C60A8" w:rsidRDefault="001671AD" w:rsidP="00EE41B3">
            <w:pPr>
              <w:pStyle w:val="TableText"/>
            </w:pPr>
            <w:r w:rsidRPr="0034154A">
              <w:t>Complete 100% of annual GO 165</w:t>
            </w:r>
            <w:r>
              <w:t xml:space="preserve"> overhead line</w:t>
            </w:r>
            <w:r w:rsidRPr="0034154A">
              <w:t xml:space="preserve"> and wildfire inspections and associated corrective maintenance.</w:t>
            </w:r>
          </w:p>
        </w:tc>
        <w:tc>
          <w:tcPr>
            <w:tcW w:w="1744" w:type="dxa"/>
            <w:shd w:val="clear" w:color="auto" w:fill="FFFFFF" w:themeFill="background1"/>
            <w:vAlign w:val="center"/>
          </w:tcPr>
          <w:p w14:paraId="3A974407" w14:textId="0C0C5BCD" w:rsidR="001671AD" w:rsidRPr="005C60A8" w:rsidRDefault="001671AD" w:rsidP="00EE41B3">
            <w:pPr>
              <w:pStyle w:val="TableText"/>
            </w:pPr>
            <w:r w:rsidRPr="00C9496A">
              <w:t>Inspection completion rate and corrective maintenance completed.</w:t>
            </w:r>
          </w:p>
        </w:tc>
      </w:tr>
      <w:tr w:rsidR="001671AD" w14:paraId="59699B00" w14:textId="77777777" w:rsidTr="00A73020">
        <w:trPr>
          <w:jc w:val="center"/>
        </w:trPr>
        <w:tc>
          <w:tcPr>
            <w:tcW w:w="2284" w:type="dxa"/>
            <w:shd w:val="clear" w:color="auto" w:fill="FFFFFF" w:themeFill="background1"/>
            <w:vAlign w:val="center"/>
          </w:tcPr>
          <w:p w14:paraId="19A6BB66" w14:textId="512A9014" w:rsidR="001671AD" w:rsidRPr="008238A1" w:rsidRDefault="001671AD" w:rsidP="00EE41B3">
            <w:pPr>
              <w:pStyle w:val="TableText"/>
            </w:pPr>
            <w:r w:rsidRPr="00BF3188">
              <w:t>FAST Trip (APSS)</w:t>
            </w:r>
          </w:p>
        </w:tc>
        <w:tc>
          <w:tcPr>
            <w:tcW w:w="1877" w:type="dxa"/>
            <w:shd w:val="clear" w:color="auto" w:fill="FFFFFF" w:themeFill="background1"/>
            <w:vAlign w:val="center"/>
          </w:tcPr>
          <w:p w14:paraId="2C70011C" w14:textId="7868D386" w:rsidR="001671AD" w:rsidRPr="008238A1" w:rsidRDefault="001671AD" w:rsidP="00EE41B3">
            <w:pPr>
              <w:pStyle w:val="TableText"/>
            </w:pPr>
            <w:r w:rsidRPr="007471CB">
              <w:t xml:space="preserve">Develop, test, and implement FAST Trip (APSS) settings on applicable </w:t>
            </w:r>
            <w:r w:rsidRPr="007471CB">
              <w:lastRenderedPageBreak/>
              <w:t>distribution circuits by year-end 2026.</w:t>
            </w:r>
          </w:p>
        </w:tc>
        <w:tc>
          <w:tcPr>
            <w:tcW w:w="1744" w:type="dxa"/>
            <w:shd w:val="clear" w:color="auto" w:fill="FFFFFF" w:themeFill="background1"/>
            <w:vAlign w:val="center"/>
          </w:tcPr>
          <w:p w14:paraId="5B514FA7" w14:textId="0980FA00" w:rsidR="001671AD" w:rsidRPr="008238A1" w:rsidRDefault="001671AD" w:rsidP="00EE41B3">
            <w:pPr>
              <w:pStyle w:val="TableText"/>
            </w:pPr>
            <w:r w:rsidRPr="008238A1">
              <w:lastRenderedPageBreak/>
              <w:t xml:space="preserve">FAST Trip (APSS) implemented on applicable distribution circuits by </w:t>
            </w:r>
            <w:r w:rsidRPr="008238A1">
              <w:lastRenderedPageBreak/>
              <w:t>December 31, 2026.</w:t>
            </w:r>
          </w:p>
        </w:tc>
      </w:tr>
      <w:tr w:rsidR="001671AD" w14:paraId="033F0836" w14:textId="77777777" w:rsidTr="00A73020">
        <w:trPr>
          <w:jc w:val="center"/>
        </w:trPr>
        <w:tc>
          <w:tcPr>
            <w:tcW w:w="2284" w:type="dxa"/>
            <w:shd w:val="clear" w:color="auto" w:fill="FFFFFF" w:themeFill="background1"/>
            <w:vAlign w:val="center"/>
          </w:tcPr>
          <w:p w14:paraId="1012D981" w14:textId="569B9270" w:rsidR="001671AD" w:rsidRPr="008238A1" w:rsidRDefault="001671AD" w:rsidP="00EE41B3">
            <w:pPr>
              <w:pStyle w:val="TableText"/>
            </w:pPr>
            <w:r w:rsidRPr="00E91500">
              <w:lastRenderedPageBreak/>
              <w:t>Non-Explosive Fuse Program</w:t>
            </w:r>
          </w:p>
        </w:tc>
        <w:tc>
          <w:tcPr>
            <w:tcW w:w="1877" w:type="dxa"/>
            <w:shd w:val="clear" w:color="auto" w:fill="FFFFFF" w:themeFill="background1"/>
            <w:vAlign w:val="center"/>
          </w:tcPr>
          <w:p w14:paraId="3E2EE55B" w14:textId="294DBAC4" w:rsidR="001671AD" w:rsidRPr="008238A1" w:rsidRDefault="001671AD" w:rsidP="00EE41B3">
            <w:pPr>
              <w:pStyle w:val="TableText"/>
            </w:pPr>
            <w:r w:rsidRPr="00E91500">
              <w:t>Complete engineering and design for the Non-Explosive Fuse Program on the Glenshire 14.4 kV distribution system.</w:t>
            </w:r>
          </w:p>
        </w:tc>
        <w:tc>
          <w:tcPr>
            <w:tcW w:w="1744" w:type="dxa"/>
            <w:shd w:val="clear" w:color="auto" w:fill="FFFFFF" w:themeFill="background1"/>
            <w:vAlign w:val="center"/>
          </w:tcPr>
          <w:p w14:paraId="0D9E0C00" w14:textId="4D6398C3" w:rsidR="001671AD" w:rsidRPr="008238A1" w:rsidRDefault="001671AD" w:rsidP="00EE41B3">
            <w:pPr>
              <w:pStyle w:val="TableText"/>
            </w:pPr>
            <w:r w:rsidRPr="00BF3188">
              <w:t>Engineering and design completed in 2026.</w:t>
            </w:r>
          </w:p>
        </w:tc>
      </w:tr>
      <w:tr w:rsidR="001671AD" w14:paraId="74E6DC8D" w14:textId="77777777" w:rsidTr="00A73020">
        <w:trPr>
          <w:jc w:val="center"/>
        </w:trPr>
        <w:tc>
          <w:tcPr>
            <w:tcW w:w="2284" w:type="dxa"/>
            <w:shd w:val="clear" w:color="auto" w:fill="FFFFFF" w:themeFill="background1"/>
            <w:vAlign w:val="center"/>
          </w:tcPr>
          <w:p w14:paraId="76414798" w14:textId="77777777" w:rsidR="001671AD" w:rsidRDefault="001671AD" w:rsidP="00EE41B3">
            <w:pPr>
              <w:pStyle w:val="TableText"/>
            </w:pPr>
            <w:r w:rsidRPr="00151966">
              <w:t>Emergency Preparedness</w:t>
            </w:r>
          </w:p>
          <w:p w14:paraId="25387F16" w14:textId="00E85207" w:rsidR="001671AD" w:rsidRPr="008238A1" w:rsidRDefault="001671AD" w:rsidP="00EE41B3">
            <w:pPr>
              <w:pStyle w:val="TableText"/>
            </w:pPr>
            <w:r w:rsidRPr="008238A1">
              <w:t>continuously improve District procedures.</w:t>
            </w:r>
          </w:p>
        </w:tc>
        <w:tc>
          <w:tcPr>
            <w:tcW w:w="1877" w:type="dxa"/>
            <w:shd w:val="clear" w:color="auto" w:fill="FFFFFF" w:themeFill="background1"/>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671AD" w:rsidRPr="00151966" w14:paraId="013D7432" w14:textId="77777777">
              <w:trPr>
                <w:tblCellSpacing w:w="15" w:type="dxa"/>
              </w:trPr>
              <w:tc>
                <w:tcPr>
                  <w:tcW w:w="0" w:type="auto"/>
                  <w:vAlign w:val="center"/>
                  <w:hideMark/>
                </w:tcPr>
                <w:p w14:paraId="47256917" w14:textId="77777777" w:rsidR="001671AD" w:rsidRPr="00151966" w:rsidRDefault="001671AD" w:rsidP="00151966">
                  <w:pPr>
                    <w:pStyle w:val="TableText"/>
                  </w:pPr>
                </w:p>
              </w:tc>
            </w:tr>
          </w:tbl>
          <w:p w14:paraId="2D9F57AA" w14:textId="77777777" w:rsidR="001671AD" w:rsidRPr="00151966" w:rsidRDefault="001671AD" w:rsidP="00151966">
            <w:pPr>
              <w:pStyle w:val="TableText"/>
              <w:rPr>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61"/>
            </w:tblGrid>
            <w:tr w:rsidR="001671AD" w:rsidRPr="00151966" w14:paraId="04F21531" w14:textId="77777777">
              <w:trPr>
                <w:tblCellSpacing w:w="15" w:type="dxa"/>
              </w:trPr>
              <w:tc>
                <w:tcPr>
                  <w:tcW w:w="0" w:type="auto"/>
                  <w:vAlign w:val="center"/>
                  <w:hideMark/>
                </w:tcPr>
                <w:p w14:paraId="54F2E2C2" w14:textId="77777777" w:rsidR="001671AD" w:rsidRPr="00151966" w:rsidRDefault="001671AD" w:rsidP="00151966">
                  <w:pPr>
                    <w:pStyle w:val="TableText"/>
                  </w:pPr>
                  <w:r w:rsidRPr="00151966">
                    <w:t>Conduct at least one wildfire preparedness exercise and complete annual wildfire mitigation training for applicable personnel.</w:t>
                  </w:r>
                </w:p>
              </w:tc>
            </w:tr>
          </w:tbl>
          <w:p w14:paraId="03703CD9" w14:textId="6B9F7A35" w:rsidR="001671AD" w:rsidRPr="008238A1" w:rsidRDefault="001671AD" w:rsidP="00EE41B3">
            <w:pPr>
              <w:pStyle w:val="TableText"/>
            </w:pPr>
          </w:p>
        </w:tc>
        <w:tc>
          <w:tcPr>
            <w:tcW w:w="1744" w:type="dxa"/>
            <w:shd w:val="clear" w:color="auto" w:fill="FFFFFF" w:themeFill="background1"/>
            <w:vAlign w:val="center"/>
          </w:tcPr>
          <w:p w14:paraId="1421EF52" w14:textId="5C1546DE" w:rsidR="001671AD" w:rsidRPr="008238A1" w:rsidRDefault="001671AD" w:rsidP="00EE41B3">
            <w:pPr>
              <w:pStyle w:val="TableText"/>
            </w:pPr>
            <w:r w:rsidRPr="00250C54">
              <w:t>Exercise and training completed and documented.</w:t>
            </w:r>
          </w:p>
        </w:tc>
      </w:tr>
      <w:tr w:rsidR="001671AD" w14:paraId="14F38B2D" w14:textId="77777777" w:rsidTr="00A73020">
        <w:trPr>
          <w:jc w:val="center"/>
        </w:trPr>
        <w:tc>
          <w:tcPr>
            <w:tcW w:w="2284" w:type="dxa"/>
            <w:shd w:val="clear" w:color="auto" w:fill="FFFFFF" w:themeFill="background1"/>
            <w:vAlign w:val="center"/>
          </w:tcPr>
          <w:p w14:paraId="1E84E186" w14:textId="374C99FA" w:rsidR="001671AD" w:rsidRPr="008238A1" w:rsidRDefault="001671AD" w:rsidP="00EE41B3">
            <w:pPr>
              <w:pStyle w:val="TableText"/>
            </w:pPr>
            <w:r>
              <w:t>WMP Program Review</w:t>
            </w:r>
          </w:p>
        </w:tc>
        <w:tc>
          <w:tcPr>
            <w:tcW w:w="1877" w:type="dxa"/>
            <w:shd w:val="clear" w:color="auto" w:fill="FFFFFF" w:themeFill="background1"/>
            <w:vAlign w:val="center"/>
          </w:tcPr>
          <w:p w14:paraId="6ACC9124" w14:textId="10BBD1CE" w:rsidR="001671AD" w:rsidRPr="008238A1" w:rsidRDefault="001671AD" w:rsidP="00EE41B3">
            <w:pPr>
              <w:pStyle w:val="TableText"/>
            </w:pPr>
            <w:r w:rsidRPr="00D44F71">
              <w:t>Complete the annual review of WMP implementation and establish SMART Goals for the following year.</w:t>
            </w:r>
          </w:p>
        </w:tc>
        <w:tc>
          <w:tcPr>
            <w:tcW w:w="1744" w:type="dxa"/>
            <w:shd w:val="clear" w:color="auto" w:fill="FFFFFF" w:themeFill="background1"/>
            <w:vAlign w:val="center"/>
          </w:tcPr>
          <w:p w14:paraId="63E2F590" w14:textId="4190BA2B" w:rsidR="001671AD" w:rsidRPr="008238A1" w:rsidRDefault="001671AD" w:rsidP="00EE41B3">
            <w:pPr>
              <w:pStyle w:val="TableText"/>
            </w:pPr>
            <w:r w:rsidRPr="00D44F71">
              <w:t>Annual review completed and next-year SMART Goals established.</w:t>
            </w:r>
          </w:p>
        </w:tc>
      </w:tr>
    </w:tbl>
    <w:p w14:paraId="11F0E4DB" w14:textId="480C29B5" w:rsidR="00F37C35" w:rsidRPr="00F37C35" w:rsidRDefault="00F37C35" w:rsidP="00E66AF5">
      <w:pPr>
        <w:pStyle w:val="Heading3"/>
      </w:pPr>
      <w:bookmarkStart w:id="120" w:name="_Toc236903495"/>
      <w:r w:rsidRPr="00F37C35">
        <w:lastRenderedPageBreak/>
        <w:t>Annual Review and Continuous Improvement</w:t>
      </w:r>
      <w:bookmarkEnd w:id="120"/>
    </w:p>
    <w:p w14:paraId="139D1241" w14:textId="77777777" w:rsidR="003E113F" w:rsidRPr="00A73020" w:rsidRDefault="003E113F" w:rsidP="003E113F">
      <w:pPr>
        <w:pStyle w:val="BodyText"/>
      </w:pPr>
      <w:r w:rsidRPr="00A73020">
        <w:t>The District will evaluate progress toward the SMART Goals annually as part of its Wildfire Mitigation Plan review process. The annual review will consider wildfire risk, completed mitigation work, operational performance, system needs, available resources, workforce and supply-chain capacity, and Board-approved funding. Based on this review, the District will establish SMART Goals for the following year.</w:t>
      </w:r>
    </w:p>
    <w:p w14:paraId="0BD1F5EC" w14:textId="77777777" w:rsidR="003E113F" w:rsidRPr="00A73020" w:rsidRDefault="003E113F" w:rsidP="003E113F">
      <w:pPr>
        <w:pStyle w:val="BodyText"/>
      </w:pPr>
      <w:r w:rsidRPr="00A73020">
        <w:t>The effectiveness of these implementation goals will be evaluated using the performance metrics identified in the following section, including system hardening accomplishments, Gridware deployment, vegetation management completion, wildfire-related ignition events, wire-down incidents, reliability indices (SAIFI, SAIDI, and CAIDI), inspection completion rates, and other wildfire mitigation performance measures.</w:t>
      </w:r>
    </w:p>
    <w:p w14:paraId="0EE0B751" w14:textId="77777777" w:rsidR="0011250C" w:rsidRDefault="0011250C" w:rsidP="00E66AF5">
      <w:pPr>
        <w:pStyle w:val="BodyText"/>
      </w:pPr>
    </w:p>
    <w:p w14:paraId="7557269B" w14:textId="7076D2A7" w:rsidR="0052673E" w:rsidRDefault="0052673E" w:rsidP="00A2100A">
      <w:pPr>
        <w:pStyle w:val="Heading2"/>
        <w:numPr>
          <w:ilvl w:val="0"/>
          <w:numId w:val="20"/>
        </w:numPr>
      </w:pPr>
      <w:bookmarkStart w:id="121" w:name="_Toc236903496"/>
      <w:r>
        <w:t>Metrics and Assumptions for Measuring Plan Performance</w:t>
      </w:r>
      <w:bookmarkEnd w:id="119"/>
      <w:bookmarkEnd w:id="121"/>
    </w:p>
    <w:p w14:paraId="3D7FDF36" w14:textId="74FAD1B9" w:rsidR="000F2FE6" w:rsidRDefault="000F2FE6" w:rsidP="00E66AF5">
      <w:pPr>
        <w:pStyle w:val="BodyText"/>
      </w:pPr>
      <w:r>
        <w:t>TDPUD uses a series of outcome-based and operational metrics to evaluate the effectiveness of its Wildfire Mitigation Plan (WMP). These metrics measure wildfire risk reduction activities, system performance, and external conditions that influence wildfire risk within the District’s service</w:t>
      </w:r>
      <w:r w:rsidR="008238A1">
        <w:t> </w:t>
      </w:r>
      <w:r>
        <w:t>territory.</w:t>
      </w:r>
    </w:p>
    <w:p w14:paraId="6DA2EBB0" w14:textId="77777777" w:rsidR="000F2FE6" w:rsidRPr="00A01221" w:rsidRDefault="000F2FE6" w:rsidP="00A01221">
      <w:pPr>
        <w:pStyle w:val="Heading3"/>
      </w:pPr>
      <w:bookmarkStart w:id="122" w:name="_Toc236903497"/>
      <w:r w:rsidRPr="00A01221">
        <w:t>Metric 1 – Fire Ignitions</w:t>
      </w:r>
      <w:bookmarkEnd w:id="122"/>
    </w:p>
    <w:p w14:paraId="13DF3F2A" w14:textId="79E36D17" w:rsidR="00DF00D7" w:rsidRDefault="00DF00D7" w:rsidP="00E66AF5">
      <w:pPr>
        <w:pStyle w:val="BodyText"/>
      </w:pPr>
      <w:r>
        <w:t xml:space="preserve">Fire ignitions are the primary outcome metric used to evaluate the effectiveness of the Wildfire Mitigation Plan. For purposes of this metric, a fire ignition is defined as a fire associated with TDPUD electrical infrastructure that ignites vegetation or other combustible material, travels greater than one linear meter from the point of ignition, and is known to TDPUD. Fire ignitions are tracked separately for the </w:t>
      </w:r>
      <w:r w:rsidR="00715521">
        <w:t>distribution and tra</w:t>
      </w:r>
      <w:r>
        <w:t xml:space="preserve">nsmission systems and categorized by cause when known. The objective of this metric is to minimize utility-caused ignitions and reduce wildfire risk associated with District facilities. During the 2025 wildfire season, TDPUD recorded one fire ignition associated with the </w:t>
      </w:r>
      <w:r w:rsidR="00792E5F">
        <w:t>distribution</w:t>
      </w:r>
      <w:r>
        <w:t xml:space="preserve"> system and zero fire ignitions associated with the </w:t>
      </w:r>
      <w:r w:rsidR="00792E5F">
        <w:t>t</w:t>
      </w:r>
      <w:r>
        <w:t>ransmission</w:t>
      </w:r>
      <w:r w:rsidR="008238A1">
        <w:t> </w:t>
      </w:r>
      <w:r>
        <w:t>system.</w:t>
      </w:r>
    </w:p>
    <w:p w14:paraId="7F5D789A" w14:textId="77777777" w:rsidR="000F2FE6" w:rsidRPr="00A01221" w:rsidRDefault="000F2FE6" w:rsidP="00A01221">
      <w:pPr>
        <w:pStyle w:val="Heading3"/>
      </w:pPr>
      <w:bookmarkStart w:id="123" w:name="_Toc236903498"/>
      <w:r w:rsidRPr="00A01221">
        <w:t>Metric 2 – Outage Causes</w:t>
      </w:r>
      <w:bookmarkEnd w:id="123"/>
    </w:p>
    <w:p w14:paraId="2781CFC8" w14:textId="2F48F9F6" w:rsidR="0000467F" w:rsidRDefault="0047370D" w:rsidP="00E66AF5">
      <w:pPr>
        <w:pStyle w:val="BodyText"/>
      </w:pPr>
      <w:r>
        <w:t xml:space="preserve">Outage causes are tracked to identify conditions, equipment issues, and external events that may increase wildfire risk or indicate emerging system vulnerabilities. For purposes of this metric, an outage is defined as an unplanned event recorded in the Outage Management System (OMS) that results in a sustained interruption of electric service to one or more customers. Outages are categorized by system type and cause, including vegetation, equipment failure, animal contact, weather, third-party damage, and unknown causes. Analysis of outage causes </w:t>
      </w:r>
      <w:r>
        <w:lastRenderedPageBreak/>
        <w:t>helps TDPUD identify trends, prioritize mitigation activities, and evaluate the effectiveness of system hardening, maintenance, operational response, and vegetation management programs. During 2025, TDPUD continued to collect and analyze outage data through its OMS to support wildfire risk reduction and reliability improvement efforts. The 2025 outage cause data is presented below.</w:t>
      </w:r>
    </w:p>
    <w:tbl>
      <w:tblPr>
        <w:tblStyle w:val="TableGrid"/>
        <w:tblW w:w="5000" w:type="pct"/>
        <w:jc w:val="center"/>
        <w:tblLayout w:type="fixed"/>
        <w:tblLook w:val="04A0" w:firstRow="1" w:lastRow="0" w:firstColumn="1" w:lastColumn="0" w:noHBand="0" w:noVBand="1"/>
      </w:tblPr>
      <w:tblGrid>
        <w:gridCol w:w="4680"/>
        <w:gridCol w:w="4680"/>
      </w:tblGrid>
      <w:tr w:rsidR="00804066" w14:paraId="3DB89514" w14:textId="77777777" w:rsidTr="0054550A">
        <w:trPr>
          <w:tblHeader/>
          <w:jc w:val="center"/>
        </w:trPr>
        <w:tc>
          <w:tcPr>
            <w:tcW w:w="9350" w:type="dxa"/>
            <w:gridSpan w:val="2"/>
            <w:tcBorders>
              <w:top w:val="nil"/>
              <w:left w:val="nil"/>
              <w:right w:val="nil"/>
            </w:tcBorders>
          </w:tcPr>
          <w:p w14:paraId="55F89D54" w14:textId="252F1D73" w:rsidR="00804066" w:rsidRDefault="00804066" w:rsidP="00804066">
            <w:pPr>
              <w:pStyle w:val="Table"/>
            </w:pPr>
            <w:bookmarkStart w:id="124" w:name="_Toc236903513"/>
            <w:r>
              <w:t>2025 Wildfire Season Outage Report</w:t>
            </w:r>
            <w:bookmarkEnd w:id="124"/>
          </w:p>
        </w:tc>
      </w:tr>
      <w:tr w:rsidR="00804066" w14:paraId="37E39D7A" w14:textId="77777777" w:rsidTr="0054550A">
        <w:trPr>
          <w:tblHeader/>
          <w:jc w:val="center"/>
        </w:trPr>
        <w:tc>
          <w:tcPr>
            <w:tcW w:w="4675" w:type="dxa"/>
            <w:shd w:val="clear" w:color="auto" w:fill="1CADE4"/>
            <w:vAlign w:val="center"/>
          </w:tcPr>
          <w:p w14:paraId="6D3BF9E1" w14:textId="51636302" w:rsidR="00804066" w:rsidRPr="00585C21" w:rsidRDefault="00804066" w:rsidP="00585C21">
            <w:pPr>
              <w:pStyle w:val="TableHeading"/>
            </w:pPr>
            <w:r w:rsidRPr="00585C21">
              <w:t>Outage Description</w:t>
            </w:r>
          </w:p>
        </w:tc>
        <w:tc>
          <w:tcPr>
            <w:tcW w:w="4675" w:type="dxa"/>
            <w:shd w:val="clear" w:color="auto" w:fill="1CADE4"/>
            <w:vAlign w:val="center"/>
          </w:tcPr>
          <w:p w14:paraId="30EE0FDF" w14:textId="3FD35184" w:rsidR="00804066" w:rsidRPr="00585C21" w:rsidRDefault="00804066" w:rsidP="00585C21">
            <w:pPr>
              <w:pStyle w:val="TableHeading"/>
            </w:pPr>
            <w:r w:rsidRPr="00585C21">
              <w:t>Quantity</w:t>
            </w:r>
          </w:p>
        </w:tc>
      </w:tr>
      <w:tr w:rsidR="00804066" w14:paraId="0D01DB7D" w14:textId="77777777" w:rsidTr="0054550A">
        <w:trPr>
          <w:jc w:val="center"/>
        </w:trPr>
        <w:tc>
          <w:tcPr>
            <w:tcW w:w="4675" w:type="dxa"/>
            <w:vAlign w:val="center"/>
          </w:tcPr>
          <w:p w14:paraId="321D2564" w14:textId="7D0B63DB" w:rsidR="00804066" w:rsidRPr="00585C21" w:rsidRDefault="00804066" w:rsidP="00585C21">
            <w:pPr>
              <w:pStyle w:val="TableText"/>
            </w:pPr>
            <w:r w:rsidRPr="00585C21">
              <w:t>Animal</w:t>
            </w:r>
          </w:p>
        </w:tc>
        <w:tc>
          <w:tcPr>
            <w:tcW w:w="4675" w:type="dxa"/>
            <w:vAlign w:val="center"/>
          </w:tcPr>
          <w:p w14:paraId="23303F87" w14:textId="47BCB73F" w:rsidR="00804066" w:rsidRPr="00585C21" w:rsidRDefault="00585C21" w:rsidP="00585C21">
            <w:pPr>
              <w:pStyle w:val="TableText"/>
              <w:jc w:val="center"/>
            </w:pPr>
            <w:r w:rsidRPr="00585C21">
              <w:t>10</w:t>
            </w:r>
          </w:p>
        </w:tc>
      </w:tr>
      <w:tr w:rsidR="00804066" w14:paraId="262AE62B" w14:textId="77777777" w:rsidTr="0054550A">
        <w:trPr>
          <w:jc w:val="center"/>
        </w:trPr>
        <w:tc>
          <w:tcPr>
            <w:tcW w:w="4675" w:type="dxa"/>
            <w:vAlign w:val="center"/>
          </w:tcPr>
          <w:p w14:paraId="1B4DFBCA" w14:textId="6B640DD4" w:rsidR="00804066" w:rsidRPr="00585C21" w:rsidRDefault="00804066" w:rsidP="00585C21">
            <w:pPr>
              <w:pStyle w:val="TableText"/>
            </w:pPr>
            <w:r w:rsidRPr="00585C21">
              <w:t>Cause Unknown</w:t>
            </w:r>
          </w:p>
        </w:tc>
        <w:tc>
          <w:tcPr>
            <w:tcW w:w="4675" w:type="dxa"/>
            <w:vAlign w:val="center"/>
          </w:tcPr>
          <w:p w14:paraId="19C142C3" w14:textId="6DE6805F" w:rsidR="00804066" w:rsidRPr="00585C21" w:rsidRDefault="00585C21" w:rsidP="00585C21">
            <w:pPr>
              <w:pStyle w:val="TableText"/>
              <w:jc w:val="center"/>
            </w:pPr>
            <w:r w:rsidRPr="00585C21">
              <w:t>20</w:t>
            </w:r>
          </w:p>
        </w:tc>
      </w:tr>
      <w:tr w:rsidR="00804066" w14:paraId="331D62C7" w14:textId="77777777" w:rsidTr="0054550A">
        <w:trPr>
          <w:jc w:val="center"/>
        </w:trPr>
        <w:tc>
          <w:tcPr>
            <w:tcW w:w="4675" w:type="dxa"/>
            <w:vAlign w:val="center"/>
          </w:tcPr>
          <w:p w14:paraId="56CCC35B" w14:textId="4257E20B" w:rsidR="00804066" w:rsidRPr="00585C21" w:rsidRDefault="00804066" w:rsidP="00585C21">
            <w:pPr>
              <w:pStyle w:val="TableText"/>
            </w:pPr>
            <w:r w:rsidRPr="00585C21">
              <w:t>Conductor Sag/Inadequate Clearance</w:t>
            </w:r>
          </w:p>
        </w:tc>
        <w:tc>
          <w:tcPr>
            <w:tcW w:w="4675" w:type="dxa"/>
            <w:vAlign w:val="center"/>
          </w:tcPr>
          <w:p w14:paraId="086F5BB2" w14:textId="3ED7BD64" w:rsidR="00804066" w:rsidRPr="00585C21" w:rsidRDefault="00585C21" w:rsidP="00585C21">
            <w:pPr>
              <w:pStyle w:val="TableText"/>
              <w:jc w:val="center"/>
            </w:pPr>
            <w:r w:rsidRPr="00585C21">
              <w:t>0</w:t>
            </w:r>
          </w:p>
        </w:tc>
      </w:tr>
      <w:tr w:rsidR="00804066" w14:paraId="7F10D5D8" w14:textId="77777777" w:rsidTr="0054550A">
        <w:trPr>
          <w:jc w:val="center"/>
        </w:trPr>
        <w:tc>
          <w:tcPr>
            <w:tcW w:w="4675" w:type="dxa"/>
            <w:vAlign w:val="center"/>
          </w:tcPr>
          <w:p w14:paraId="09633F18" w14:textId="428BF964" w:rsidR="00804066" w:rsidRPr="00585C21" w:rsidRDefault="00804066" w:rsidP="00585C21">
            <w:pPr>
              <w:pStyle w:val="TableText"/>
            </w:pPr>
            <w:r w:rsidRPr="00585C21">
              <w:t>Third Party</w:t>
            </w:r>
          </w:p>
        </w:tc>
        <w:tc>
          <w:tcPr>
            <w:tcW w:w="4675" w:type="dxa"/>
            <w:vAlign w:val="center"/>
          </w:tcPr>
          <w:p w14:paraId="3F78242E" w14:textId="338D8C93" w:rsidR="00804066" w:rsidRPr="00585C21" w:rsidRDefault="00585C21" w:rsidP="00585C21">
            <w:pPr>
              <w:pStyle w:val="TableText"/>
              <w:jc w:val="center"/>
            </w:pPr>
            <w:r w:rsidRPr="00585C21">
              <w:t>17</w:t>
            </w:r>
          </w:p>
        </w:tc>
      </w:tr>
      <w:tr w:rsidR="00804066" w14:paraId="2BBD4BBF" w14:textId="77777777" w:rsidTr="0054550A">
        <w:trPr>
          <w:jc w:val="center"/>
        </w:trPr>
        <w:tc>
          <w:tcPr>
            <w:tcW w:w="4675" w:type="dxa"/>
            <w:vAlign w:val="center"/>
          </w:tcPr>
          <w:p w14:paraId="7B4A1297" w14:textId="477C7363" w:rsidR="00804066" w:rsidRPr="00585C21" w:rsidRDefault="00804066" w:rsidP="00585C21">
            <w:pPr>
              <w:pStyle w:val="TableText"/>
            </w:pPr>
            <w:r w:rsidRPr="00585C21">
              <w:t>Equipment Failure</w:t>
            </w:r>
          </w:p>
        </w:tc>
        <w:tc>
          <w:tcPr>
            <w:tcW w:w="4675" w:type="dxa"/>
            <w:vAlign w:val="center"/>
          </w:tcPr>
          <w:p w14:paraId="63B82DAE" w14:textId="1170532A" w:rsidR="00804066" w:rsidRPr="00585C21" w:rsidRDefault="00585C21" w:rsidP="00585C21">
            <w:pPr>
              <w:pStyle w:val="TableText"/>
              <w:jc w:val="center"/>
            </w:pPr>
            <w:r w:rsidRPr="00585C21">
              <w:t>28</w:t>
            </w:r>
          </w:p>
        </w:tc>
      </w:tr>
      <w:tr w:rsidR="00804066" w14:paraId="433937EE" w14:textId="77777777" w:rsidTr="0054550A">
        <w:trPr>
          <w:jc w:val="center"/>
        </w:trPr>
        <w:tc>
          <w:tcPr>
            <w:tcW w:w="4675" w:type="dxa"/>
            <w:vAlign w:val="center"/>
          </w:tcPr>
          <w:p w14:paraId="62F89143" w14:textId="79AAE0BA" w:rsidR="00804066" w:rsidRPr="00585C21" w:rsidRDefault="00804066" w:rsidP="00585C21">
            <w:pPr>
              <w:pStyle w:val="TableText"/>
            </w:pPr>
            <w:r w:rsidRPr="00585C21">
              <w:t>Lightning</w:t>
            </w:r>
          </w:p>
        </w:tc>
        <w:tc>
          <w:tcPr>
            <w:tcW w:w="4675" w:type="dxa"/>
            <w:vAlign w:val="center"/>
          </w:tcPr>
          <w:p w14:paraId="74E9AA5A" w14:textId="1D333C5D" w:rsidR="00804066" w:rsidRPr="00585C21" w:rsidRDefault="00585C21" w:rsidP="00585C21">
            <w:pPr>
              <w:pStyle w:val="TableText"/>
              <w:jc w:val="center"/>
            </w:pPr>
            <w:r w:rsidRPr="00585C21">
              <w:t>0</w:t>
            </w:r>
          </w:p>
        </w:tc>
      </w:tr>
      <w:tr w:rsidR="00804066" w14:paraId="09FB7860" w14:textId="77777777" w:rsidTr="0054550A">
        <w:trPr>
          <w:jc w:val="center"/>
        </w:trPr>
        <w:tc>
          <w:tcPr>
            <w:tcW w:w="4675" w:type="dxa"/>
            <w:vAlign w:val="center"/>
          </w:tcPr>
          <w:p w14:paraId="28D4D705" w14:textId="69D1AA8E" w:rsidR="00804066" w:rsidRPr="00585C21" w:rsidRDefault="00804066" w:rsidP="00585C21">
            <w:pPr>
              <w:pStyle w:val="TableText"/>
            </w:pPr>
            <w:r w:rsidRPr="00585C21">
              <w:t>Weather</w:t>
            </w:r>
          </w:p>
        </w:tc>
        <w:tc>
          <w:tcPr>
            <w:tcW w:w="4675" w:type="dxa"/>
            <w:vAlign w:val="center"/>
          </w:tcPr>
          <w:p w14:paraId="08499590" w14:textId="702DE476" w:rsidR="00804066" w:rsidRPr="00585C21" w:rsidRDefault="00585C21" w:rsidP="00585C21">
            <w:pPr>
              <w:pStyle w:val="TableText"/>
              <w:jc w:val="center"/>
            </w:pPr>
            <w:r w:rsidRPr="00585C21">
              <w:t>27</w:t>
            </w:r>
          </w:p>
        </w:tc>
      </w:tr>
      <w:tr w:rsidR="00804066" w14:paraId="1272C38F" w14:textId="77777777" w:rsidTr="0054550A">
        <w:trPr>
          <w:jc w:val="center"/>
        </w:trPr>
        <w:tc>
          <w:tcPr>
            <w:tcW w:w="4675" w:type="dxa"/>
            <w:vAlign w:val="center"/>
          </w:tcPr>
          <w:p w14:paraId="767341B8" w14:textId="59086358" w:rsidR="00804066" w:rsidRPr="00585C21" w:rsidRDefault="00804066" w:rsidP="00585C21">
            <w:pPr>
              <w:pStyle w:val="TableText"/>
            </w:pPr>
            <w:r w:rsidRPr="00585C21">
              <w:t>Motor Vehicle</w:t>
            </w:r>
          </w:p>
        </w:tc>
        <w:tc>
          <w:tcPr>
            <w:tcW w:w="4675" w:type="dxa"/>
            <w:vAlign w:val="center"/>
          </w:tcPr>
          <w:p w14:paraId="3EAD1E5E" w14:textId="2BA27582" w:rsidR="00804066" w:rsidRPr="00585C21" w:rsidRDefault="00585C21" w:rsidP="00585C21">
            <w:pPr>
              <w:pStyle w:val="TableText"/>
              <w:jc w:val="center"/>
            </w:pPr>
            <w:r w:rsidRPr="00585C21">
              <w:t>3</w:t>
            </w:r>
          </w:p>
        </w:tc>
      </w:tr>
      <w:tr w:rsidR="00804066" w14:paraId="63839151" w14:textId="77777777" w:rsidTr="0054550A">
        <w:trPr>
          <w:jc w:val="center"/>
        </w:trPr>
        <w:tc>
          <w:tcPr>
            <w:tcW w:w="4675" w:type="dxa"/>
            <w:vAlign w:val="center"/>
          </w:tcPr>
          <w:p w14:paraId="79CAFFA8" w14:textId="3AB32348" w:rsidR="00804066" w:rsidRPr="00585C21" w:rsidRDefault="00804066" w:rsidP="00585C21">
            <w:pPr>
              <w:pStyle w:val="TableText"/>
            </w:pPr>
            <w:r w:rsidRPr="00585C21">
              <w:t>No Selection Made</w:t>
            </w:r>
          </w:p>
        </w:tc>
        <w:tc>
          <w:tcPr>
            <w:tcW w:w="4675" w:type="dxa"/>
            <w:vAlign w:val="center"/>
          </w:tcPr>
          <w:p w14:paraId="7BBED879" w14:textId="1282D2C6" w:rsidR="00804066" w:rsidRPr="00585C21" w:rsidRDefault="00585C21" w:rsidP="00585C21">
            <w:pPr>
              <w:pStyle w:val="TableText"/>
              <w:jc w:val="center"/>
            </w:pPr>
            <w:r w:rsidRPr="00585C21">
              <w:t>5</w:t>
            </w:r>
          </w:p>
        </w:tc>
      </w:tr>
      <w:tr w:rsidR="00804066" w14:paraId="0E4C8E9F" w14:textId="77777777" w:rsidTr="0054550A">
        <w:trPr>
          <w:jc w:val="center"/>
        </w:trPr>
        <w:tc>
          <w:tcPr>
            <w:tcW w:w="4675" w:type="dxa"/>
            <w:vAlign w:val="center"/>
          </w:tcPr>
          <w:p w14:paraId="26ADBC51" w14:textId="27BB3DC4" w:rsidR="00804066" w:rsidRPr="00585C21" w:rsidRDefault="00804066" w:rsidP="00585C21">
            <w:pPr>
              <w:pStyle w:val="TableText"/>
            </w:pPr>
            <w:r w:rsidRPr="00585C21">
              <w:t>Other</w:t>
            </w:r>
          </w:p>
        </w:tc>
        <w:tc>
          <w:tcPr>
            <w:tcW w:w="4675" w:type="dxa"/>
            <w:vAlign w:val="center"/>
          </w:tcPr>
          <w:p w14:paraId="721E4511" w14:textId="3FDCA18A" w:rsidR="00804066" w:rsidRPr="00585C21" w:rsidRDefault="00585C21" w:rsidP="00585C21">
            <w:pPr>
              <w:pStyle w:val="TableText"/>
              <w:jc w:val="center"/>
            </w:pPr>
            <w:r w:rsidRPr="00585C21">
              <w:t>8</w:t>
            </w:r>
          </w:p>
        </w:tc>
      </w:tr>
      <w:tr w:rsidR="00804066" w14:paraId="4D5B15F9" w14:textId="77777777" w:rsidTr="0054550A">
        <w:trPr>
          <w:jc w:val="center"/>
        </w:trPr>
        <w:tc>
          <w:tcPr>
            <w:tcW w:w="4675" w:type="dxa"/>
            <w:vAlign w:val="center"/>
          </w:tcPr>
          <w:p w14:paraId="0E663256" w14:textId="517EB137" w:rsidR="00804066" w:rsidRPr="00585C21" w:rsidRDefault="00804066" w:rsidP="00585C21">
            <w:pPr>
              <w:pStyle w:val="TableText"/>
            </w:pPr>
            <w:r w:rsidRPr="00585C21">
              <w:t>Planned</w:t>
            </w:r>
          </w:p>
        </w:tc>
        <w:tc>
          <w:tcPr>
            <w:tcW w:w="4675" w:type="dxa"/>
            <w:vAlign w:val="center"/>
          </w:tcPr>
          <w:p w14:paraId="01A5B69B" w14:textId="2040E558" w:rsidR="00804066" w:rsidRPr="00585C21" w:rsidRDefault="00585C21" w:rsidP="00585C21">
            <w:pPr>
              <w:pStyle w:val="TableText"/>
              <w:jc w:val="center"/>
            </w:pPr>
            <w:r w:rsidRPr="00585C21">
              <w:t>118</w:t>
            </w:r>
          </w:p>
        </w:tc>
      </w:tr>
      <w:tr w:rsidR="00804066" w14:paraId="51DAF463" w14:textId="77777777" w:rsidTr="0054550A">
        <w:trPr>
          <w:jc w:val="center"/>
        </w:trPr>
        <w:tc>
          <w:tcPr>
            <w:tcW w:w="4675" w:type="dxa"/>
            <w:vAlign w:val="center"/>
          </w:tcPr>
          <w:p w14:paraId="5F16E650" w14:textId="048A74C2" w:rsidR="00804066" w:rsidRPr="00585C21" w:rsidRDefault="00804066" w:rsidP="00585C21">
            <w:pPr>
              <w:pStyle w:val="TableText"/>
            </w:pPr>
            <w:r w:rsidRPr="00585C21">
              <w:t>Public Tree</w:t>
            </w:r>
          </w:p>
        </w:tc>
        <w:tc>
          <w:tcPr>
            <w:tcW w:w="4675" w:type="dxa"/>
            <w:vAlign w:val="center"/>
          </w:tcPr>
          <w:p w14:paraId="0C8E8041" w14:textId="74AB1EDB" w:rsidR="00804066" w:rsidRPr="00585C21" w:rsidRDefault="00585C21" w:rsidP="00585C21">
            <w:pPr>
              <w:pStyle w:val="TableText"/>
              <w:jc w:val="center"/>
            </w:pPr>
            <w:r w:rsidRPr="00585C21">
              <w:t>3</w:t>
            </w:r>
          </w:p>
        </w:tc>
      </w:tr>
      <w:tr w:rsidR="00804066" w14:paraId="144F8B2F" w14:textId="77777777" w:rsidTr="0054550A">
        <w:trPr>
          <w:jc w:val="center"/>
        </w:trPr>
        <w:tc>
          <w:tcPr>
            <w:tcW w:w="4675" w:type="dxa"/>
            <w:vAlign w:val="center"/>
          </w:tcPr>
          <w:p w14:paraId="56E0B1F8" w14:textId="03ABCB71" w:rsidR="00804066" w:rsidRPr="00585C21" w:rsidRDefault="00804066" w:rsidP="00585C21">
            <w:pPr>
              <w:pStyle w:val="TableText"/>
            </w:pPr>
            <w:r w:rsidRPr="00585C21">
              <w:lastRenderedPageBreak/>
              <w:t>Public Other</w:t>
            </w:r>
          </w:p>
        </w:tc>
        <w:tc>
          <w:tcPr>
            <w:tcW w:w="4675" w:type="dxa"/>
            <w:vAlign w:val="center"/>
          </w:tcPr>
          <w:p w14:paraId="051867B7" w14:textId="63CBB91C" w:rsidR="00804066" w:rsidRPr="00585C21" w:rsidRDefault="00585C21" w:rsidP="00585C21">
            <w:pPr>
              <w:pStyle w:val="TableText"/>
              <w:jc w:val="center"/>
            </w:pPr>
            <w:r w:rsidRPr="00585C21">
              <w:t>9</w:t>
            </w:r>
          </w:p>
        </w:tc>
      </w:tr>
      <w:tr w:rsidR="00804066" w14:paraId="15C44EB1" w14:textId="77777777" w:rsidTr="0054550A">
        <w:trPr>
          <w:jc w:val="center"/>
        </w:trPr>
        <w:tc>
          <w:tcPr>
            <w:tcW w:w="4675" w:type="dxa"/>
            <w:vAlign w:val="center"/>
          </w:tcPr>
          <w:p w14:paraId="6E1E4AFE" w14:textId="0D2569BC" w:rsidR="00804066" w:rsidRPr="00585C21" w:rsidRDefault="00804066" w:rsidP="00585C21">
            <w:pPr>
              <w:pStyle w:val="TableText"/>
            </w:pPr>
            <w:r w:rsidRPr="00585C21">
              <w:t>Wire Down</w:t>
            </w:r>
          </w:p>
        </w:tc>
        <w:tc>
          <w:tcPr>
            <w:tcW w:w="4675" w:type="dxa"/>
            <w:vAlign w:val="center"/>
          </w:tcPr>
          <w:p w14:paraId="1B2FD9D4" w14:textId="19894343" w:rsidR="00804066" w:rsidRPr="00585C21" w:rsidRDefault="00585C21" w:rsidP="00585C21">
            <w:pPr>
              <w:pStyle w:val="TableText"/>
              <w:jc w:val="center"/>
            </w:pPr>
            <w:r w:rsidRPr="00585C21">
              <w:t>7</w:t>
            </w:r>
          </w:p>
        </w:tc>
      </w:tr>
      <w:tr w:rsidR="00804066" w14:paraId="5D086928" w14:textId="77777777" w:rsidTr="0054550A">
        <w:trPr>
          <w:jc w:val="center"/>
        </w:trPr>
        <w:tc>
          <w:tcPr>
            <w:tcW w:w="4675" w:type="dxa"/>
            <w:vAlign w:val="center"/>
          </w:tcPr>
          <w:p w14:paraId="1B2C324F" w14:textId="6AD5058D" w:rsidR="00804066" w:rsidRPr="00585C21" w:rsidRDefault="00804066" w:rsidP="00585C21">
            <w:pPr>
              <w:pStyle w:val="TableText"/>
            </w:pPr>
            <w:r w:rsidRPr="00585C21">
              <w:t>Tree Failure</w:t>
            </w:r>
          </w:p>
        </w:tc>
        <w:tc>
          <w:tcPr>
            <w:tcW w:w="4675" w:type="dxa"/>
            <w:vAlign w:val="center"/>
          </w:tcPr>
          <w:p w14:paraId="0992BA79" w14:textId="17849F1D" w:rsidR="00804066" w:rsidRPr="00585C21" w:rsidRDefault="00F54A49" w:rsidP="00585C21">
            <w:pPr>
              <w:pStyle w:val="TableText"/>
              <w:jc w:val="center"/>
            </w:pPr>
            <w:r>
              <w:t>1</w:t>
            </w:r>
          </w:p>
        </w:tc>
      </w:tr>
      <w:tr w:rsidR="00804066" w14:paraId="4C5461F5" w14:textId="77777777" w:rsidTr="0054550A">
        <w:trPr>
          <w:jc w:val="center"/>
        </w:trPr>
        <w:tc>
          <w:tcPr>
            <w:tcW w:w="4675" w:type="dxa"/>
            <w:vAlign w:val="center"/>
          </w:tcPr>
          <w:p w14:paraId="5B5F6599" w14:textId="3C23A04F" w:rsidR="00804066" w:rsidRPr="00585C21" w:rsidRDefault="00804066" w:rsidP="00585C21">
            <w:pPr>
              <w:pStyle w:val="TableText"/>
            </w:pPr>
            <w:r w:rsidRPr="00585C21">
              <w:t>Tree Grow into Line</w:t>
            </w:r>
          </w:p>
        </w:tc>
        <w:tc>
          <w:tcPr>
            <w:tcW w:w="4675" w:type="dxa"/>
            <w:vAlign w:val="center"/>
          </w:tcPr>
          <w:p w14:paraId="75C9732C" w14:textId="341537F3" w:rsidR="00804066" w:rsidRPr="00585C21" w:rsidRDefault="00585C21" w:rsidP="00585C21">
            <w:pPr>
              <w:pStyle w:val="TableText"/>
              <w:jc w:val="center"/>
            </w:pPr>
            <w:r w:rsidRPr="00585C21">
              <w:t>0</w:t>
            </w:r>
          </w:p>
        </w:tc>
      </w:tr>
      <w:tr w:rsidR="00804066" w14:paraId="56C9DFED" w14:textId="77777777" w:rsidTr="0054550A">
        <w:trPr>
          <w:jc w:val="center"/>
        </w:trPr>
        <w:tc>
          <w:tcPr>
            <w:tcW w:w="4675" w:type="dxa"/>
            <w:vAlign w:val="center"/>
          </w:tcPr>
          <w:p w14:paraId="6CC82F0A" w14:textId="02F921B1" w:rsidR="00804066" w:rsidRPr="00585C21" w:rsidRDefault="00804066" w:rsidP="00585C21">
            <w:pPr>
              <w:pStyle w:val="TableText"/>
            </w:pPr>
            <w:r w:rsidRPr="00585C21">
              <w:t>Unk</w:t>
            </w:r>
            <w:r w:rsidR="00585C21" w:rsidRPr="00585C21">
              <w:t>nown</w:t>
            </w:r>
          </w:p>
        </w:tc>
        <w:tc>
          <w:tcPr>
            <w:tcW w:w="4675" w:type="dxa"/>
            <w:vAlign w:val="center"/>
          </w:tcPr>
          <w:p w14:paraId="56C1759D" w14:textId="2D103EBE" w:rsidR="00804066" w:rsidRPr="00585C21" w:rsidRDefault="00585C21" w:rsidP="00585C21">
            <w:pPr>
              <w:pStyle w:val="TableText"/>
              <w:jc w:val="center"/>
            </w:pPr>
            <w:r w:rsidRPr="00585C21">
              <w:t>1</w:t>
            </w:r>
          </w:p>
        </w:tc>
      </w:tr>
      <w:tr w:rsidR="00804066" w14:paraId="03FFC5D1" w14:textId="77777777" w:rsidTr="0054550A">
        <w:trPr>
          <w:jc w:val="center"/>
        </w:trPr>
        <w:tc>
          <w:tcPr>
            <w:tcW w:w="4675" w:type="dxa"/>
            <w:vAlign w:val="center"/>
          </w:tcPr>
          <w:p w14:paraId="16757FB5" w14:textId="4AEE6267" w:rsidR="00804066" w:rsidRPr="00585C21" w:rsidRDefault="00585C21" w:rsidP="00585C21">
            <w:pPr>
              <w:pStyle w:val="TableText"/>
            </w:pPr>
            <w:r w:rsidRPr="00585C21">
              <w:t>Vandalism</w:t>
            </w:r>
          </w:p>
        </w:tc>
        <w:tc>
          <w:tcPr>
            <w:tcW w:w="4675" w:type="dxa"/>
            <w:vAlign w:val="center"/>
          </w:tcPr>
          <w:p w14:paraId="34B0F6FB" w14:textId="6343D437" w:rsidR="00804066" w:rsidRPr="00585C21" w:rsidRDefault="00585C21" w:rsidP="00585C21">
            <w:pPr>
              <w:pStyle w:val="TableText"/>
              <w:jc w:val="center"/>
            </w:pPr>
            <w:r w:rsidRPr="00585C21">
              <w:t>0</w:t>
            </w:r>
          </w:p>
        </w:tc>
      </w:tr>
      <w:tr w:rsidR="00804066" w14:paraId="58A4656C" w14:textId="77777777" w:rsidTr="0054550A">
        <w:trPr>
          <w:jc w:val="center"/>
        </w:trPr>
        <w:tc>
          <w:tcPr>
            <w:tcW w:w="4675" w:type="dxa"/>
            <w:vAlign w:val="center"/>
          </w:tcPr>
          <w:p w14:paraId="07077B8F" w14:textId="395C4716" w:rsidR="00804066" w:rsidRPr="00585C21" w:rsidRDefault="00585C21" w:rsidP="00585C21">
            <w:pPr>
              <w:pStyle w:val="TableText"/>
            </w:pPr>
            <w:r w:rsidRPr="00585C21">
              <w:t>Wind (Not Tree)</w:t>
            </w:r>
          </w:p>
        </w:tc>
        <w:tc>
          <w:tcPr>
            <w:tcW w:w="4675" w:type="dxa"/>
            <w:vAlign w:val="center"/>
          </w:tcPr>
          <w:p w14:paraId="451BDAC4" w14:textId="3C312FFA" w:rsidR="00804066" w:rsidRPr="00585C21" w:rsidRDefault="00585C21" w:rsidP="00585C21">
            <w:pPr>
              <w:pStyle w:val="TableText"/>
              <w:jc w:val="center"/>
            </w:pPr>
            <w:r w:rsidRPr="00585C21">
              <w:t>0</w:t>
            </w:r>
          </w:p>
        </w:tc>
      </w:tr>
      <w:tr w:rsidR="00804066" w14:paraId="02B38836" w14:textId="77777777" w:rsidTr="0054550A">
        <w:trPr>
          <w:jc w:val="center"/>
        </w:trPr>
        <w:tc>
          <w:tcPr>
            <w:tcW w:w="4675" w:type="dxa"/>
            <w:vAlign w:val="center"/>
          </w:tcPr>
          <w:p w14:paraId="4BB96B9B" w14:textId="72F28FF1" w:rsidR="00804066" w:rsidRPr="00585C21" w:rsidRDefault="00585C21" w:rsidP="00585C21">
            <w:pPr>
              <w:pStyle w:val="TableText"/>
              <w:jc w:val="right"/>
              <w:rPr>
                <w:b/>
                <w:bCs/>
              </w:rPr>
            </w:pPr>
            <w:r w:rsidRPr="00585C21">
              <w:rPr>
                <w:b/>
                <w:bCs/>
              </w:rPr>
              <w:t>Total</w:t>
            </w:r>
          </w:p>
        </w:tc>
        <w:tc>
          <w:tcPr>
            <w:tcW w:w="4675" w:type="dxa"/>
            <w:vAlign w:val="center"/>
          </w:tcPr>
          <w:p w14:paraId="23620701" w14:textId="55D8E916" w:rsidR="00804066" w:rsidRPr="00585C21" w:rsidRDefault="00585C21" w:rsidP="00585C21">
            <w:pPr>
              <w:pStyle w:val="TableText"/>
              <w:jc w:val="center"/>
              <w:rPr>
                <w:b/>
                <w:bCs/>
              </w:rPr>
            </w:pPr>
            <w:r w:rsidRPr="00585C21">
              <w:rPr>
                <w:b/>
                <w:bCs/>
              </w:rPr>
              <w:t>2</w:t>
            </w:r>
            <w:r w:rsidR="00F54A49">
              <w:rPr>
                <w:b/>
                <w:bCs/>
              </w:rPr>
              <w:t>57</w:t>
            </w:r>
          </w:p>
        </w:tc>
      </w:tr>
    </w:tbl>
    <w:p w14:paraId="0B931A8F" w14:textId="77777777" w:rsidR="00804066" w:rsidRDefault="00804066" w:rsidP="00E66AF5">
      <w:pPr>
        <w:pStyle w:val="BodyText"/>
      </w:pPr>
    </w:p>
    <w:p w14:paraId="5A9CF0EF" w14:textId="77777777" w:rsidR="000F2FE6" w:rsidRPr="00A01221" w:rsidRDefault="000F2FE6" w:rsidP="00A01221">
      <w:pPr>
        <w:pStyle w:val="Heading3"/>
      </w:pPr>
      <w:bookmarkStart w:id="125" w:name="_Toc236903499"/>
      <w:r w:rsidRPr="00A01221">
        <w:t>Metric 3 – Vegetation Management</w:t>
      </w:r>
      <w:bookmarkEnd w:id="125"/>
    </w:p>
    <w:p w14:paraId="51D3ED78" w14:textId="066EDA4A" w:rsidR="000F2FE6" w:rsidRDefault="000F2FE6" w:rsidP="00E66AF5">
      <w:pPr>
        <w:pStyle w:val="BodyText"/>
      </w:pPr>
      <w:r>
        <w:t xml:space="preserve">Vegetation management activities are tracked to measure implementation of TDPUD’s </w:t>
      </w:r>
      <w:r w:rsidR="00792E5F">
        <w:t>v</w:t>
      </w:r>
      <w:r>
        <w:t xml:space="preserve">egetation </w:t>
      </w:r>
      <w:r w:rsidR="00792E5F">
        <w:t>m</w:t>
      </w:r>
      <w:r>
        <w:t xml:space="preserve">anagement </w:t>
      </w:r>
      <w:r w:rsidR="00792E5F">
        <w:t>p</w:t>
      </w:r>
      <w:r>
        <w:t>rogram and to reduce the risk of vegetation-related outages and fire ignitions. This metric measures the number of distribution line miles trimmed and the number of distribution and transmission poles cleared in accordance with California Public Resources Code Section 4292 requirements. During 2025, TDPUD trimmed 10.65 distribution line miles, cleared vegetation around 57 distribution poles, and cleared vegetation around 2 transmission poles as part of its ongoing wildfire risk reduction efforts.</w:t>
      </w:r>
    </w:p>
    <w:p w14:paraId="4A49FCF8" w14:textId="77777777" w:rsidR="000F2FE6" w:rsidRPr="00A01221" w:rsidRDefault="000F2FE6" w:rsidP="00A01221">
      <w:pPr>
        <w:pStyle w:val="Heading3"/>
      </w:pPr>
      <w:bookmarkStart w:id="126" w:name="_Toc236903500"/>
      <w:r w:rsidRPr="00A01221">
        <w:t>Metric 4 – Red Flag Warnings</w:t>
      </w:r>
      <w:bookmarkEnd w:id="126"/>
    </w:p>
    <w:p w14:paraId="137A90E9" w14:textId="314B1E35" w:rsidR="000F2FE6" w:rsidRDefault="000F2FE6" w:rsidP="00E66AF5">
      <w:pPr>
        <w:pStyle w:val="BodyText"/>
      </w:pPr>
      <w:r>
        <w:t xml:space="preserve">Red Flag Warnings are tracked as an external risk metric to measure the frequency of weather conditions that increase wildfire potential within or near TDPUD’s service territory. This metric is </w:t>
      </w:r>
      <w:r>
        <w:lastRenderedPageBreak/>
        <w:t xml:space="preserve">based on Red Flag Warnings issued by the National Weather Service Reno Forecast Office and is reported as the number of days during which a warning was in effect for all or a portion of the District’s service territory. Monitoring Red Flag Warning activity helps TDPUD assess seasonal wildfire risk and evaluate operational readiness. During 2025, </w:t>
      </w:r>
      <w:r w:rsidR="00702CC5">
        <w:t>The</w:t>
      </w:r>
      <w:r w:rsidR="00660F22">
        <w:t>re were no Red</w:t>
      </w:r>
      <w:r>
        <w:t xml:space="preserve"> Flag Warning events</w:t>
      </w:r>
      <w:r w:rsidR="00473E48">
        <w:t xml:space="preserve"> that</w:t>
      </w:r>
      <w:r>
        <w:t xml:space="preserve"> affected all or portions of the District’s service territory.</w:t>
      </w:r>
    </w:p>
    <w:p w14:paraId="6015F3D0" w14:textId="77777777" w:rsidR="000F2FE6" w:rsidRPr="00A01221" w:rsidRDefault="000F2FE6" w:rsidP="00A01221">
      <w:pPr>
        <w:pStyle w:val="Heading3"/>
      </w:pPr>
      <w:bookmarkStart w:id="127" w:name="_Toc236903501"/>
      <w:r w:rsidRPr="00A01221">
        <w:t>Metric 5 – Reliability Metrics</w:t>
      </w:r>
      <w:bookmarkEnd w:id="127"/>
    </w:p>
    <w:p w14:paraId="4537631B" w14:textId="6EDD6092" w:rsidR="000F2FE6" w:rsidRDefault="000F2FE6" w:rsidP="00E66AF5">
      <w:pPr>
        <w:pStyle w:val="BodyText"/>
      </w:pPr>
      <w:r>
        <w:t>Reliability metrics are used to evaluate overall electric system performance and identify trends that may indicate increased wildfire or operational risk. TDPUD tracks industry-standard reliability indices, including the System Average Interruption Frequency Index (SAIFI), System Average Interruption Duration Index (SAIDI), and Customer Average Interruption Duration Index (CAIDI). These metrics provide insight into the frequency and duration of customer outages and help measure the effectiveness of vegetation management, maintenance practices, operational response, and infrastructure investments. TDPUD reviews these metrics annually and uses the results to identify opportunities for continuous improvement in system reliability and wildfire risk</w:t>
      </w:r>
      <w:r w:rsidR="008238A1">
        <w:t> </w:t>
      </w:r>
      <w:r>
        <w:t>reduction.</w:t>
      </w:r>
    </w:p>
    <w:p w14:paraId="78E1D5E7" w14:textId="77777777" w:rsidR="000F2FE6" w:rsidRPr="005B403F" w:rsidRDefault="000F2FE6" w:rsidP="005B403F">
      <w:pPr>
        <w:pStyle w:val="BodyText"/>
        <w:rPr>
          <w:b/>
          <w:bCs/>
        </w:rPr>
      </w:pPr>
      <w:r w:rsidRPr="005B403F">
        <w:rPr>
          <w:b/>
          <w:bCs/>
        </w:rPr>
        <w:t>2025 Reliability Metrics:</w:t>
      </w:r>
    </w:p>
    <w:p w14:paraId="0AD7E99F" w14:textId="4F88E8AC" w:rsidR="000F2FE6" w:rsidRDefault="000F2FE6" w:rsidP="00E66AF5">
      <w:pPr>
        <w:pStyle w:val="BulletList"/>
      </w:pPr>
      <w:r>
        <w:t xml:space="preserve">SAIFI: </w:t>
      </w:r>
      <w:r w:rsidR="00E03D95">
        <w:t>2.36</w:t>
      </w:r>
      <w:r w:rsidR="00A266B8">
        <w:t xml:space="preserve"> </w:t>
      </w:r>
      <w:r w:rsidR="00183900">
        <w:t>Interruptions/Customer</w:t>
      </w:r>
    </w:p>
    <w:p w14:paraId="182A1F0E" w14:textId="50825704" w:rsidR="000F2FE6" w:rsidRDefault="000F2FE6" w:rsidP="00E66AF5">
      <w:pPr>
        <w:pStyle w:val="BulletList"/>
      </w:pPr>
      <w:r>
        <w:t xml:space="preserve">SAIDI: </w:t>
      </w:r>
      <w:r w:rsidR="00E03D95">
        <w:t>311</w:t>
      </w:r>
      <w:r>
        <w:t xml:space="preserve"> </w:t>
      </w:r>
      <w:r w:rsidR="00183900">
        <w:t>M</w:t>
      </w:r>
      <w:r>
        <w:t>inutes</w:t>
      </w:r>
      <w:r w:rsidR="00183900">
        <w:t>/Customer</w:t>
      </w:r>
    </w:p>
    <w:p w14:paraId="22F60898" w14:textId="474DA88A" w:rsidR="000F2FE6" w:rsidRDefault="000F2FE6" w:rsidP="00E66AF5">
      <w:pPr>
        <w:pStyle w:val="BulletList"/>
      </w:pPr>
      <w:r>
        <w:t xml:space="preserve">CAIDI: </w:t>
      </w:r>
      <w:r w:rsidR="00E03D95">
        <w:t>132</w:t>
      </w:r>
      <w:r>
        <w:t xml:space="preserve"> </w:t>
      </w:r>
      <w:r w:rsidR="00183900">
        <w:t>M</w:t>
      </w:r>
      <w:r>
        <w:t>inutes</w:t>
      </w:r>
      <w:r w:rsidR="00183900">
        <w:t>/Interruption</w:t>
      </w:r>
    </w:p>
    <w:p w14:paraId="66538048" w14:textId="2735B40C" w:rsidR="00BA7BB4" w:rsidRPr="005675F0" w:rsidRDefault="00270EC5" w:rsidP="00A2100A">
      <w:pPr>
        <w:pStyle w:val="Heading2"/>
        <w:numPr>
          <w:ilvl w:val="0"/>
          <w:numId w:val="20"/>
        </w:numPr>
        <w:rPr>
          <w:rFonts w:ascii="Franklin Gothic Book" w:eastAsia="Times New Roman" w:hAnsi="Franklin Gothic Book"/>
          <w:sz w:val="21"/>
          <w:szCs w:val="21"/>
        </w:rPr>
      </w:pPr>
      <w:bookmarkStart w:id="128" w:name="_Toc135748564"/>
      <w:bookmarkStart w:id="129" w:name="_Toc236903502"/>
      <w:r>
        <w:t>Impacts of Metrics on the Plan</w:t>
      </w:r>
      <w:bookmarkEnd w:id="128"/>
      <w:bookmarkEnd w:id="129"/>
    </w:p>
    <w:p w14:paraId="6FD427D6" w14:textId="719CF8FC" w:rsidR="00530050" w:rsidRDefault="00530050" w:rsidP="00E66AF5">
      <w:pPr>
        <w:pStyle w:val="BodyText"/>
      </w:pPr>
      <w:r>
        <w:t>As part of the annual Wildfire Mitigation Plan (WMP) review process, TDPUD evaluates the effectiveness and usefulness of each performance metric and makes adjustments</w:t>
      </w:r>
      <w:r w:rsidR="00473E48">
        <w:t>,</w:t>
      </w:r>
      <w:r>
        <w:t xml:space="preserve"> as necessary</w:t>
      </w:r>
      <w:r w:rsidR="00473E48">
        <w:t>,</w:t>
      </w:r>
      <w:r>
        <w:t xml:space="preserve"> to ensure the metrics provide meaningful insight into wildfire risk and mitigation efforts. Over time, TDPUD has refined several metrics and introduced new measures in an effort to identify those that provide the greatest value in evaluating program performance, operational effectiveness, and wildfire risk reduction. TDPUD will continue to review and refine its metrics as data collection capabilities improve and industry best practices evolve.</w:t>
      </w:r>
    </w:p>
    <w:p w14:paraId="39093407" w14:textId="65B8F7B6" w:rsidR="00530050" w:rsidRDefault="00530050" w:rsidP="00E66AF5">
      <w:pPr>
        <w:pStyle w:val="BodyText"/>
      </w:pPr>
      <w:r>
        <w:t>The data obtained through these metrics, combined with information from outage investigations, fire ignition reviews, vegetation management activities, weather monitoring, and reliability performance, is used to identify trends, prioritize mitigation efforts, and support risk-informed decision</w:t>
      </w:r>
      <w:r w:rsidR="00FC70B4">
        <w:t>-</w:t>
      </w:r>
      <w:r>
        <w:t>making. This information helps TDPUD target areas where additional wildfire prevention measures may be warranted, including enhanced vegetation management, system hardening investments, equipment replacement, animal protection measures, and other wildfire risk reduction initiatives.</w:t>
      </w:r>
    </w:p>
    <w:p w14:paraId="53210944" w14:textId="05189288" w:rsidR="00BA5360" w:rsidRDefault="00BA5360" w:rsidP="00A2100A">
      <w:pPr>
        <w:pStyle w:val="Heading2"/>
        <w:keepLines/>
        <w:numPr>
          <w:ilvl w:val="0"/>
          <w:numId w:val="20"/>
        </w:numPr>
      </w:pPr>
      <w:bookmarkStart w:id="130" w:name="_Toc135748565"/>
      <w:bookmarkStart w:id="131" w:name="_Toc236903503"/>
      <w:r>
        <w:lastRenderedPageBreak/>
        <w:t>Monitoring and Auditing the Plan</w:t>
      </w:r>
      <w:bookmarkEnd w:id="130"/>
      <w:bookmarkEnd w:id="131"/>
    </w:p>
    <w:p w14:paraId="73058607" w14:textId="5B4A9CD3" w:rsidR="00623DE1" w:rsidRDefault="003D1BE2" w:rsidP="00E66AF5">
      <w:pPr>
        <w:pStyle w:val="BodyText"/>
      </w:pPr>
      <w:r>
        <w:t>Internally</w:t>
      </w:r>
      <w:r w:rsidR="00BB7151">
        <w:t>,</w:t>
      </w:r>
      <w:r>
        <w:t xml:space="preserve"> the wildfire prevention strategies and programs described in the WMP are evaluated on an ongoing basis. TDPUD staff track the utility’s progress in completing wildfire prevention program goals. Th</w:t>
      </w:r>
      <w:r w:rsidR="00BB7151">
        <w:t>e</w:t>
      </w:r>
      <w:r>
        <w:t xml:space="preserve"> progress data</w:t>
      </w:r>
      <w:r w:rsidR="00715521">
        <w:t xml:space="preserve">, </w:t>
      </w:r>
      <w:r>
        <w:t>data regarding the metrics</w:t>
      </w:r>
      <w:r w:rsidR="00715521">
        <w:t>,</w:t>
      </w:r>
      <w:r>
        <w:t xml:space="preserve"> </w:t>
      </w:r>
      <w:r w:rsidR="00715521">
        <w:t xml:space="preserve">and </w:t>
      </w:r>
      <w:r>
        <w:t xml:space="preserve">outage information </w:t>
      </w:r>
      <w:r w:rsidR="00BB7151">
        <w:t>are</w:t>
      </w:r>
      <w:r>
        <w:t xml:space="preserve"> reviewed by the </w:t>
      </w:r>
      <w:r w:rsidR="00623DE1">
        <w:t xml:space="preserve">Electric </w:t>
      </w:r>
      <w:r w:rsidR="00C221DC">
        <w:t xml:space="preserve">Engineering and Operations </w:t>
      </w:r>
      <w:r w:rsidR="00623DE1">
        <w:t xml:space="preserve">Director. The Electric </w:t>
      </w:r>
      <w:r w:rsidR="00C221DC">
        <w:t xml:space="preserve">Engineering and Operations </w:t>
      </w:r>
      <w:r w:rsidR="00623DE1">
        <w:t>Director, or designee, will</w:t>
      </w:r>
      <w:r w:rsidR="00BB7151">
        <w:t>,</w:t>
      </w:r>
      <w:r w:rsidR="00623DE1">
        <w:t xml:space="preserve"> at least on a semi-annual basis, update the General Manager regarding the Plan’s implementation, identified deficiencies</w:t>
      </w:r>
      <w:r w:rsidR="00BB7151">
        <w:t>,</w:t>
      </w:r>
      <w:r w:rsidR="00623DE1">
        <w:t xml:space="preserve"> or recommendations for updating. Any critical or immediate concerns will be brought to TDPUD’s Board of Directors.</w:t>
      </w:r>
    </w:p>
    <w:p w14:paraId="40840BDC" w14:textId="56FFD15C" w:rsidR="00784578" w:rsidRDefault="003D1BE2" w:rsidP="00E66AF5">
      <w:pPr>
        <w:pStyle w:val="BodyText"/>
      </w:pPr>
      <w:r>
        <w:t>In addition to the ongoing internal review</w:t>
      </w:r>
      <w:r w:rsidR="00AE4790">
        <w:t>,</w:t>
      </w:r>
      <w:r>
        <w:t xml:space="preserve"> </w:t>
      </w:r>
      <w:r w:rsidR="009B1EBE">
        <w:t>TDPUD</w:t>
      </w:r>
      <w:r>
        <w:t xml:space="preserve"> presents the current WMP to its</w:t>
      </w:r>
      <w:r w:rsidR="00784578">
        <w:t xml:space="preserve"> Board of Directors</w:t>
      </w:r>
      <w:r>
        <w:t xml:space="preserve"> for review on an annual basis</w:t>
      </w:r>
      <w:r w:rsidR="00784578">
        <w:t xml:space="preserve"> in a public setting with agendized materials. Development of the </w:t>
      </w:r>
      <w:r w:rsidR="00411E7E">
        <w:t>P</w:t>
      </w:r>
      <w:r w:rsidR="00784578">
        <w:t xml:space="preserve">lan, along with the updates, is done collaboratively with </w:t>
      </w:r>
      <w:r w:rsidR="00EC2794">
        <w:t xml:space="preserve">the </w:t>
      </w:r>
      <w:r w:rsidR="00784578">
        <w:t>local emergency response and fire agency.</w:t>
      </w:r>
      <w:r w:rsidR="00212C06">
        <w:t xml:space="preserve"> </w:t>
      </w:r>
    </w:p>
    <w:p w14:paraId="637E75DE" w14:textId="16B96A17" w:rsidR="00BA5360" w:rsidRDefault="00BA5360" w:rsidP="00A2100A">
      <w:pPr>
        <w:pStyle w:val="Heading2"/>
        <w:numPr>
          <w:ilvl w:val="0"/>
          <w:numId w:val="20"/>
        </w:numPr>
      </w:pPr>
      <w:bookmarkStart w:id="132" w:name="_Toc135748566"/>
      <w:bookmarkStart w:id="133" w:name="_Toc236903504"/>
      <w:r>
        <w:t>Identifying and Correcting Deficiencies in the Plan</w:t>
      </w:r>
      <w:bookmarkEnd w:id="132"/>
      <w:bookmarkEnd w:id="133"/>
    </w:p>
    <w:p w14:paraId="4D2C5CF5" w14:textId="6B6067BE" w:rsidR="00784578" w:rsidRPr="00212C06" w:rsidRDefault="00117254" w:rsidP="00E66AF5">
      <w:pPr>
        <w:pStyle w:val="BodyText"/>
      </w:pPr>
      <w:r w:rsidRPr="00212C06">
        <w:t>TDPUD s</w:t>
      </w:r>
      <w:r w:rsidR="00784578" w:rsidRPr="00212C06">
        <w:t xml:space="preserve">taff have the role of vetting current procedures and recommending changes or enhancements to build upon non-optimized strategies in the Plan. </w:t>
      </w:r>
      <w:r w:rsidR="00623DE1" w:rsidRPr="00212C06">
        <w:t>TDPUD staff utilize the data (e.g.</w:t>
      </w:r>
      <w:r w:rsidR="00AF7971" w:rsidRPr="00212C06">
        <w:t>,</w:t>
      </w:r>
      <w:r w:rsidR="00791C8A">
        <w:t xml:space="preserve"> </w:t>
      </w:r>
      <w:r w:rsidR="00623DE1" w:rsidRPr="00212C06">
        <w:t xml:space="preserve">progress in completing prevention tasks) obtained during the ongoing review of its wildfire prevention programs to identify areas where additional work is needed, such </w:t>
      </w:r>
      <w:r w:rsidR="007D2A56" w:rsidRPr="00212C06">
        <w:t xml:space="preserve">as </w:t>
      </w:r>
      <w:r w:rsidR="00623DE1" w:rsidRPr="00212C06">
        <w:t>increasing clearance between wires and adjacent vegetation or removing dead trees, or areas where system upgrades need to be prioritized</w:t>
      </w:r>
      <w:r w:rsidR="007D2A56" w:rsidRPr="00212C06">
        <w:t>,</w:t>
      </w:r>
      <w:r w:rsidR="00623DE1" w:rsidRPr="00212C06">
        <w:t xml:space="preserve"> such as pole replacement or the installation of animal</w:t>
      </w:r>
      <w:r w:rsidR="00E66AF5">
        <w:t> </w:t>
      </w:r>
      <w:r w:rsidR="00623DE1" w:rsidRPr="00212C06">
        <w:t>deterrents.</w:t>
      </w:r>
      <w:r w:rsidR="00784578" w:rsidRPr="00212C06">
        <w:t xml:space="preserve"> </w:t>
      </w:r>
    </w:p>
    <w:p w14:paraId="3226D9F2" w14:textId="5F6FDF24" w:rsidR="00784578" w:rsidRPr="00212C06" w:rsidRDefault="00784578" w:rsidP="00E66AF5">
      <w:pPr>
        <w:pStyle w:val="BodyText"/>
      </w:pPr>
      <w:r w:rsidRPr="00212C06">
        <w:t xml:space="preserve">The Electric </w:t>
      </w:r>
      <w:r w:rsidR="00C221DC">
        <w:t>Engineering and Operations</w:t>
      </w:r>
      <w:r w:rsidR="00C221DC" w:rsidRPr="00212C06">
        <w:t xml:space="preserve"> </w:t>
      </w:r>
      <w:r w:rsidRPr="00212C06">
        <w:t xml:space="preserve">Director, or their designee, will be responsible for spearheading discussions on correcting deficiencies when updating the Plan for its annual presentation to the Board. This is done in collaboration with sister utilities and joint-action groups such as </w:t>
      </w:r>
      <w:r w:rsidR="005C322A" w:rsidRPr="00212C06">
        <w:t>the California Municipal Utilities Association</w:t>
      </w:r>
      <w:r w:rsidRPr="00212C06">
        <w:t xml:space="preserve">, </w:t>
      </w:r>
      <w:r w:rsidR="005C322A" w:rsidRPr="00212C06">
        <w:t>Northern California Power Agency</w:t>
      </w:r>
      <w:r w:rsidRPr="00212C06">
        <w:t xml:space="preserve">, and </w:t>
      </w:r>
      <w:r w:rsidR="005C322A" w:rsidRPr="00212C06">
        <w:t>Southern California Public Power Authority</w:t>
      </w:r>
      <w:r w:rsidRPr="00212C06">
        <w:t>. All stakeholders are empowered to suggest improvement opportunities, including, but not limited to</w:t>
      </w:r>
      <w:r w:rsidR="003A0978" w:rsidRPr="00212C06">
        <w:t>,</w:t>
      </w:r>
      <w:r w:rsidRPr="00212C06">
        <w:t xml:space="preserve"> field crews</w:t>
      </w:r>
      <w:r w:rsidR="003A0978" w:rsidRPr="00212C06">
        <w:t>,</w:t>
      </w:r>
      <w:r w:rsidRPr="00212C06">
        <w:t xml:space="preserve"> management</w:t>
      </w:r>
      <w:r w:rsidR="003A0978" w:rsidRPr="00212C06">
        <w:t>,</w:t>
      </w:r>
      <w:r w:rsidRPr="00212C06">
        <w:t xml:space="preserve"> auditors</w:t>
      </w:r>
      <w:r w:rsidR="003A0978" w:rsidRPr="00212C06">
        <w:t>,</w:t>
      </w:r>
      <w:r w:rsidRPr="00212C06">
        <w:t xml:space="preserve"> fire safety professionals</w:t>
      </w:r>
      <w:r w:rsidR="003A0978" w:rsidRPr="00212C06">
        <w:t>,</w:t>
      </w:r>
      <w:r w:rsidRPr="00212C06">
        <w:t xml:space="preserve"> and members of the public.</w:t>
      </w:r>
    </w:p>
    <w:p w14:paraId="259194BA" w14:textId="24CC5356" w:rsidR="00BA5360" w:rsidRDefault="00BA5360" w:rsidP="00A2100A">
      <w:pPr>
        <w:pStyle w:val="Heading2"/>
        <w:numPr>
          <w:ilvl w:val="0"/>
          <w:numId w:val="20"/>
        </w:numPr>
      </w:pPr>
      <w:bookmarkStart w:id="134" w:name="_Toc135748567"/>
      <w:bookmarkStart w:id="135" w:name="_Toc236903505"/>
      <w:r>
        <w:t>Monitoring the Effectiveness of Inspections</w:t>
      </w:r>
      <w:bookmarkEnd w:id="134"/>
      <w:bookmarkEnd w:id="135"/>
    </w:p>
    <w:p w14:paraId="5970B6E5" w14:textId="04B3E3A8" w:rsidR="00784578" w:rsidRDefault="009B1EBE" w:rsidP="00E66AF5">
      <w:pPr>
        <w:pStyle w:val="BodyText"/>
      </w:pPr>
      <w:r>
        <w:t>TDPUD</w:t>
      </w:r>
      <w:r w:rsidR="00784578">
        <w:t xml:space="preserve"> currently utilizes GO</w:t>
      </w:r>
      <w:r w:rsidR="00AE4790">
        <w:t xml:space="preserve"> </w:t>
      </w:r>
      <w:r w:rsidR="00784578">
        <w:t>95 and GO</w:t>
      </w:r>
      <w:r w:rsidR="00AE4790">
        <w:t xml:space="preserve"> </w:t>
      </w:r>
      <w:r w:rsidR="00784578">
        <w:t xml:space="preserve">165, respectively, as its guide to inspect its system. Field staff routinely patrol the service territory and correct deficiencies as they are encountered. </w:t>
      </w:r>
      <w:r>
        <w:t>TDPUD</w:t>
      </w:r>
      <w:r w:rsidR="00784578">
        <w:t xml:space="preserve"> tracks deficiencies that are repaired upon discovery within its GIS and consistent with the guidelines of GO 95 and </w:t>
      </w:r>
      <w:r w:rsidR="00AE4790">
        <w:t xml:space="preserve">GO </w:t>
      </w:r>
      <w:r w:rsidR="00784578">
        <w:t>165, respectively. Further, deficiencies that cannot be repaired upon discovery are assigned a priority level</w:t>
      </w:r>
      <w:r w:rsidR="0049785B">
        <w:t xml:space="preserve"> based upon Electric Operation Manager review</w:t>
      </w:r>
      <w:r w:rsidR="00784578">
        <w:t xml:space="preserve">. </w:t>
      </w:r>
      <w:r w:rsidR="0049785B">
        <w:t>TDPUD</w:t>
      </w:r>
      <w:r w:rsidR="002B68BF">
        <w:t xml:space="preserve"> </w:t>
      </w:r>
      <w:r w:rsidR="00C221DC">
        <w:t xml:space="preserve">continues </w:t>
      </w:r>
      <w:r w:rsidR="002B68BF">
        <w:t>to investigate</w:t>
      </w:r>
      <w:r w:rsidR="0049785B">
        <w:t xml:space="preserve"> a more formally documented process where deficiencies are assigned a priority level upon field review.</w:t>
      </w:r>
      <w:r w:rsidR="00784578">
        <w:t xml:space="preserve"> The repairs </w:t>
      </w:r>
      <w:r w:rsidR="0049785B">
        <w:t xml:space="preserve">will be </w:t>
      </w:r>
      <w:r w:rsidR="00784578">
        <w:t xml:space="preserve">redefined as Level 1 (highest), Level 2 (moderate), or Level 3 (lowest) as defined by GO 95, Rule </w:t>
      </w:r>
      <w:r w:rsidR="00623DE1">
        <w:t>18,</w:t>
      </w:r>
      <w:r w:rsidR="00784578">
        <w:t xml:space="preserve"> with the discovery, remedy</w:t>
      </w:r>
      <w:r w:rsidR="00BE2A4B">
        <w:t>,</w:t>
      </w:r>
      <w:r w:rsidR="00784578">
        <w:t xml:space="preserve"> and </w:t>
      </w:r>
      <w:r w:rsidR="00784578">
        <w:lastRenderedPageBreak/>
        <w:t xml:space="preserve">supporting documentation tracked within </w:t>
      </w:r>
      <w:r>
        <w:t>TDPUD</w:t>
      </w:r>
      <w:r w:rsidR="00784578">
        <w:t xml:space="preserve">’s GIS. </w:t>
      </w:r>
      <w:r w:rsidR="00A53104">
        <w:t xml:space="preserve">Once this </w:t>
      </w:r>
      <w:r w:rsidR="00D34043">
        <w:t xml:space="preserve">improvement </w:t>
      </w:r>
      <w:r w:rsidR="00A53104">
        <w:t xml:space="preserve">is </w:t>
      </w:r>
      <w:r w:rsidR="00BE2A4B">
        <w:t xml:space="preserve">in </w:t>
      </w:r>
      <w:r w:rsidR="00A53104">
        <w:t xml:space="preserve">place, deficiencies and repairs can be </w:t>
      </w:r>
      <w:r w:rsidR="00D34043">
        <w:t>tracked according to priority level</w:t>
      </w:r>
      <w:r w:rsidR="00A53104">
        <w:t>.</w:t>
      </w:r>
    </w:p>
    <w:p w14:paraId="52F26C07" w14:textId="043163B9" w:rsidR="00784578" w:rsidRDefault="00784578" w:rsidP="00E66AF5">
      <w:pPr>
        <w:pStyle w:val="BodyText"/>
      </w:pPr>
      <w:r>
        <w:t xml:space="preserve">Monitoring the effectiveness of inspection practices will occur through ongoing tracking and annual review of </w:t>
      </w:r>
      <w:r w:rsidR="00442CCD">
        <w:t>TDPUD’s</w:t>
      </w:r>
      <w:r>
        <w:t xml:space="preserve"> findings</w:t>
      </w:r>
      <w:r w:rsidR="00442CCD">
        <w:t>,</w:t>
      </w:r>
      <w:r>
        <w:t xml:space="preserve"> including deficiencies found and corrective actions taken. The Electric Operations Manager or their designee supervises the </w:t>
      </w:r>
      <w:r w:rsidR="00087CC4">
        <w:t>VMP</w:t>
      </w:r>
      <w:r w:rsidR="00442CCD">
        <w:t>,</w:t>
      </w:r>
      <w:r>
        <w:t xml:space="preserve"> all routine fieldwork</w:t>
      </w:r>
      <w:r w:rsidR="00442CCD">
        <w:t>,</w:t>
      </w:r>
      <w:r>
        <w:t xml:space="preserve"> and equipment and line inspections. Related strategies that mitigate wildfire risk will be identified and proposed within the next iteration of the Plan. Aggregating </w:t>
      </w:r>
      <w:r w:rsidR="003A0978">
        <w:t>these</w:t>
      </w:r>
      <w:r>
        <w:t xml:space="preserve"> data will guide future decision-making </w:t>
      </w:r>
      <w:r w:rsidR="002B68BF">
        <w:t>in</w:t>
      </w:r>
      <w:r>
        <w:t xml:space="preserve"> the direction of the wildfire mitigation strategy</w:t>
      </w:r>
      <w:r w:rsidR="0056217B">
        <w:t>,</w:t>
      </w:r>
      <w:r>
        <w:t xml:space="preserve"> with the intention that incidents will become less frequent or less hazardous system</w:t>
      </w:r>
      <w:r w:rsidR="000F0380">
        <w:t>-</w:t>
      </w:r>
      <w:r>
        <w:t xml:space="preserve">wide. </w:t>
      </w:r>
    </w:p>
    <w:p w14:paraId="17654A95" w14:textId="7991226C" w:rsidR="00BA5360" w:rsidRDefault="00BA5360" w:rsidP="00A2100A">
      <w:pPr>
        <w:pStyle w:val="Heading2"/>
        <w:numPr>
          <w:ilvl w:val="0"/>
          <w:numId w:val="20"/>
        </w:numPr>
      </w:pPr>
      <w:bookmarkStart w:id="136" w:name="_Toc135748568"/>
      <w:bookmarkStart w:id="137" w:name="_Toc236903506"/>
      <w:r>
        <w:t>Independent Auditor</w:t>
      </w:r>
      <w:bookmarkEnd w:id="136"/>
      <w:bookmarkEnd w:id="137"/>
    </w:p>
    <w:p w14:paraId="7F5B4B9F" w14:textId="77777777" w:rsidR="007329B9" w:rsidRPr="008E7323" w:rsidRDefault="007329B9" w:rsidP="007329B9">
      <w:pPr>
        <w:pStyle w:val="isselectedend"/>
        <w:rPr>
          <w:rFonts w:ascii="Century Gothic" w:eastAsiaTheme="minorEastAsia" w:hAnsi="Century Gothic" w:cstheme="minorBidi"/>
          <w:sz w:val="20"/>
          <w:szCs w:val="20"/>
        </w:rPr>
      </w:pPr>
      <w:r w:rsidRPr="008E7323">
        <w:rPr>
          <w:rFonts w:ascii="Century Gothic" w:eastAsiaTheme="minorEastAsia" w:hAnsi="Century Gothic" w:cstheme="minorBidi"/>
          <w:sz w:val="20"/>
          <w:szCs w:val="20"/>
        </w:rPr>
        <w:t>TDPUD utilizes a two-step review process for comprehensive updates to its Wildfire Mitigation Plan. The process includes a Comprehensive Review followed by an Independent Evaluation.</w:t>
      </w:r>
    </w:p>
    <w:p w14:paraId="6C711B21" w14:textId="77777777" w:rsidR="007329B9" w:rsidRPr="008E7323" w:rsidRDefault="007329B9" w:rsidP="007329B9">
      <w:pPr>
        <w:pStyle w:val="isselectedend"/>
        <w:rPr>
          <w:rFonts w:ascii="Century Gothic" w:eastAsiaTheme="minorEastAsia" w:hAnsi="Century Gothic" w:cstheme="minorBidi"/>
          <w:sz w:val="20"/>
          <w:szCs w:val="20"/>
        </w:rPr>
      </w:pPr>
      <w:r w:rsidRPr="008E7323">
        <w:rPr>
          <w:rFonts w:ascii="Century Gothic" w:eastAsiaTheme="minorEastAsia" w:hAnsi="Century Gothic" w:cstheme="minorBidi"/>
          <w:sz w:val="20"/>
          <w:szCs w:val="20"/>
        </w:rPr>
        <w:t>As the first step, TDPUD contracted with Dudek to conduct a Comprehensive Review of the 2026 WMP. The Comprehensive Review evaluated the Plan for alignment with applicable statutory requirements, industry practices, and opportunities for continued improvement. TDPUD considered the findings and recommendations from the Comprehensive Review in developing the 2026 WMP.</w:t>
      </w:r>
    </w:p>
    <w:p w14:paraId="4A2AB14E" w14:textId="77777777" w:rsidR="007329B9" w:rsidRPr="008E7323" w:rsidRDefault="007329B9" w:rsidP="007329B9">
      <w:pPr>
        <w:pStyle w:val="isselectedend"/>
        <w:rPr>
          <w:rFonts w:ascii="Century Gothic" w:eastAsiaTheme="minorEastAsia" w:hAnsi="Century Gothic" w:cstheme="minorBidi"/>
          <w:sz w:val="20"/>
          <w:szCs w:val="20"/>
        </w:rPr>
      </w:pPr>
      <w:r w:rsidRPr="008E7323">
        <w:rPr>
          <w:rFonts w:ascii="Century Gothic" w:eastAsiaTheme="minorEastAsia" w:hAnsi="Century Gothic" w:cstheme="minorBidi"/>
          <w:sz w:val="20"/>
          <w:szCs w:val="20"/>
        </w:rPr>
        <w:t>As the second step, Public Utilities Code Section 8387(c) requires TDPUD to contract with a qualified independent evaluator with experience in assessing the safe operation of electrical infrastructure to review and assess the comprehensiveness of the WMP. For the 2026 WMP, TDPUD contracted with L J Manz Consulting Inc. to perform the Independent Evaluation. The Independent Evaluator’s report is made available on TDPUD’s website and presented to TDPUD’s Board at a public meeting as required by law.</w:t>
      </w:r>
    </w:p>
    <w:p w14:paraId="62E0E1F6" w14:textId="77777777" w:rsidR="007329B9" w:rsidRPr="008E7323" w:rsidRDefault="007329B9" w:rsidP="007329B9">
      <w:pPr>
        <w:pStyle w:val="isselectedend"/>
        <w:rPr>
          <w:rFonts w:ascii="Century Gothic" w:eastAsiaTheme="minorEastAsia" w:hAnsi="Century Gothic" w:cstheme="minorBidi"/>
          <w:sz w:val="20"/>
          <w:szCs w:val="20"/>
        </w:rPr>
      </w:pPr>
      <w:r w:rsidRPr="008E7323">
        <w:rPr>
          <w:rFonts w:ascii="Century Gothic" w:eastAsiaTheme="minorEastAsia" w:hAnsi="Century Gothic" w:cstheme="minorBidi"/>
          <w:sz w:val="20"/>
          <w:szCs w:val="20"/>
        </w:rPr>
        <w:t>Navigant Consulting conducted the Independent Evaluation of TDPUD’s WMP in 2019, and Guidehouse conducted the Independent Evaluation in 2023. Both evaluations concluded that TDPUD’s WMP appropriately addressed the applicable requirements of Public Utilities Code Section 8387 and was comprehensive.</w:t>
      </w:r>
    </w:p>
    <w:p w14:paraId="68499865" w14:textId="77777777" w:rsidR="007329B9" w:rsidRPr="008E7323" w:rsidRDefault="007329B9" w:rsidP="007329B9">
      <w:pPr>
        <w:pStyle w:val="NormalWeb"/>
        <w:rPr>
          <w:rFonts w:ascii="Century Gothic" w:eastAsiaTheme="minorEastAsia" w:hAnsi="Century Gothic" w:cstheme="minorBidi"/>
          <w:sz w:val="20"/>
          <w:szCs w:val="20"/>
        </w:rPr>
      </w:pPr>
      <w:r w:rsidRPr="008E7323">
        <w:rPr>
          <w:rFonts w:ascii="Century Gothic" w:eastAsiaTheme="minorEastAsia" w:hAnsi="Century Gothic" w:cstheme="minorBidi"/>
          <w:sz w:val="20"/>
          <w:szCs w:val="20"/>
        </w:rPr>
        <w:t>TDPUD considered the findings and recommendations from the Comprehensive Review and Independent Evaluation, along with recommendations from prior evaluations, in finalizing the 2026 WMP. TDPUD will continue to utilize this two-step review process for future comprehensive updates to its WMP.</w:t>
      </w:r>
    </w:p>
    <w:p w14:paraId="2BA7FCBA" w14:textId="4B955558" w:rsidR="00BA5360" w:rsidRDefault="00870278" w:rsidP="003B5CDE">
      <w:pPr>
        <w:pStyle w:val="Heading1"/>
      </w:pPr>
      <w:bookmarkStart w:id="138" w:name="_Toc135748569"/>
      <w:bookmarkStart w:id="139" w:name="_Toc236903507"/>
      <w:r>
        <w:t>I</w:t>
      </w:r>
      <w:r w:rsidR="00EE4AAD">
        <w:t>X.</w:t>
      </w:r>
      <w:r w:rsidR="00EE4AAD">
        <w:tab/>
      </w:r>
      <w:r w:rsidR="000D6660">
        <w:t>WMP</w:t>
      </w:r>
      <w:r w:rsidR="00BA5360">
        <w:t xml:space="preserve"> Adoption Process</w:t>
      </w:r>
      <w:bookmarkEnd w:id="138"/>
      <w:bookmarkEnd w:id="139"/>
    </w:p>
    <w:p w14:paraId="063F9A6D" w14:textId="493E9231" w:rsidR="00C64C6C" w:rsidRPr="00212C06" w:rsidRDefault="00C64C6C" w:rsidP="00E66AF5">
      <w:pPr>
        <w:pStyle w:val="BodyText"/>
      </w:pPr>
      <w:r w:rsidRPr="00212C06">
        <w:t>Annually</w:t>
      </w:r>
      <w:r w:rsidR="00AE4790" w:rsidRPr="00212C06">
        <w:t>,</w:t>
      </w:r>
      <w:r w:rsidRPr="00212C06">
        <w:t xml:space="preserve"> </w:t>
      </w:r>
      <w:r w:rsidR="009B1EBE" w:rsidRPr="00212C06">
        <w:t>TDPUD</w:t>
      </w:r>
      <w:r w:rsidRPr="00212C06">
        <w:t xml:space="preserve"> presents WMP revisions to the Board for approval </w:t>
      </w:r>
      <w:r w:rsidR="00020652" w:rsidRPr="00212C06">
        <w:t xml:space="preserve">before the end of </w:t>
      </w:r>
      <w:r w:rsidRPr="00212C06">
        <w:t>J</w:t>
      </w:r>
      <w:r w:rsidR="002B68BF">
        <w:t>uly</w:t>
      </w:r>
      <w:r w:rsidRPr="00212C06">
        <w:t xml:space="preserve"> of each year prior to submitting the WMP to the Wildfire Safety Advisory Board by </w:t>
      </w:r>
      <w:r w:rsidR="002B68BF">
        <w:t>September</w:t>
      </w:r>
      <w:r w:rsidRPr="00212C06">
        <w:t xml:space="preserve"> </w:t>
      </w:r>
      <w:r w:rsidR="00020652" w:rsidRPr="00212C06">
        <w:t xml:space="preserve">1st </w:t>
      </w:r>
      <w:r w:rsidRPr="00212C06">
        <w:t>of the same year. Board meetings are typically held on the first Wednesday of the month</w:t>
      </w:r>
      <w:r w:rsidR="0056217B">
        <w:t>,</w:t>
      </w:r>
      <w:r w:rsidRPr="00212C06">
        <w:t xml:space="preserve"> and the meetings are open to the public </w:t>
      </w:r>
      <w:r w:rsidR="003948D6" w:rsidRPr="00212C06">
        <w:t>except for</w:t>
      </w:r>
      <w:r w:rsidRPr="00212C06">
        <w:t xml:space="preserve"> closed sessions. Members of the public can attend </w:t>
      </w:r>
      <w:r w:rsidRPr="00212C06">
        <w:lastRenderedPageBreak/>
        <w:t xml:space="preserve">the Board </w:t>
      </w:r>
      <w:r w:rsidR="004C1653" w:rsidRPr="00212C06">
        <w:t>m</w:t>
      </w:r>
      <w:r w:rsidRPr="00212C06">
        <w:t xml:space="preserve">eeting in person. Board </w:t>
      </w:r>
      <w:r w:rsidR="004C1653" w:rsidRPr="00212C06">
        <w:t>m</w:t>
      </w:r>
      <w:r w:rsidRPr="00212C06">
        <w:t xml:space="preserve">eeting agendas include </w:t>
      </w:r>
      <w:r w:rsidR="004C1653" w:rsidRPr="00212C06">
        <w:t xml:space="preserve">an </w:t>
      </w:r>
      <w:r w:rsidRPr="00212C06">
        <w:t xml:space="preserve">attached agenda report, such </w:t>
      </w:r>
      <w:r w:rsidR="004C1653" w:rsidRPr="00212C06">
        <w:t xml:space="preserve">as </w:t>
      </w:r>
      <w:r w:rsidRPr="00212C06">
        <w:t xml:space="preserve">the one that presents the WMP to the </w:t>
      </w:r>
      <w:r w:rsidR="00791C8A" w:rsidRPr="00212C06">
        <w:t>Board</w:t>
      </w:r>
      <w:r w:rsidR="0056217B">
        <w:t>,</w:t>
      </w:r>
      <w:r w:rsidR="00791C8A" w:rsidRPr="00212C06">
        <w:t xml:space="preserve"> and</w:t>
      </w:r>
      <w:r w:rsidRPr="00212C06">
        <w:t xml:space="preserve"> are available online on the TDPUD website</w:t>
      </w:r>
      <w:r w:rsidR="009F6A6E">
        <w:t xml:space="preserve"> (www.tdpud.org)</w:t>
      </w:r>
      <w:r w:rsidRPr="00212C06">
        <w:t>.</w:t>
      </w:r>
    </w:p>
    <w:p w14:paraId="5ADE3AF2" w14:textId="007B2EFB" w:rsidR="003948D6" w:rsidRDefault="003948D6" w:rsidP="00E66AF5">
      <w:pPr>
        <w:pStyle w:val="BodyText"/>
      </w:pPr>
      <w:r>
        <w:t xml:space="preserve">Board members </w:t>
      </w:r>
      <w:r w:rsidR="00020652">
        <w:t>receive the WMP</w:t>
      </w:r>
      <w:r>
        <w:t xml:space="preserve"> prior to the meeting date</w:t>
      </w:r>
      <w:r w:rsidR="00020652">
        <w:t xml:space="preserve"> as part of the public Board packet</w:t>
      </w:r>
      <w:r>
        <w:t>. During the meeting</w:t>
      </w:r>
      <w:r w:rsidR="00381DD1">
        <w:t>,</w:t>
      </w:r>
      <w:r>
        <w:t xml:space="preserve"> TDPUD staff present the </w:t>
      </w:r>
      <w:r w:rsidR="00411E7E">
        <w:t>WMP</w:t>
      </w:r>
      <w:r>
        <w:t xml:space="preserve"> to the Board as </w:t>
      </w:r>
      <w:r w:rsidR="0056217B">
        <w:t xml:space="preserve">an </w:t>
      </w:r>
      <w:r w:rsidR="00381DD1">
        <w:t>a</w:t>
      </w:r>
      <w:r>
        <w:t xml:space="preserve">ction </w:t>
      </w:r>
      <w:r w:rsidR="00381DD1">
        <w:t>i</w:t>
      </w:r>
      <w:r>
        <w:t>tem</w:t>
      </w:r>
      <w:r w:rsidR="0056217B">
        <w:t>,</w:t>
      </w:r>
      <w:r>
        <w:t xml:space="preserve"> </w:t>
      </w:r>
      <w:r w:rsidR="00381DD1">
        <w:t>and</w:t>
      </w:r>
      <w:r>
        <w:t xml:space="preserve"> Board members provid</w:t>
      </w:r>
      <w:r w:rsidR="00381DD1">
        <w:t>e</w:t>
      </w:r>
      <w:r>
        <w:t xml:space="preserve"> comment</w:t>
      </w:r>
      <w:r w:rsidR="00381DD1">
        <w:t>s</w:t>
      </w:r>
      <w:r>
        <w:t xml:space="preserve"> when the presentation ends. Board member comments are followed by a period of public comment where the Board opens the meeting for public comment on the WMP. The WMP is either adopted by vote by the </w:t>
      </w:r>
      <w:r w:rsidR="004C1653">
        <w:t>B</w:t>
      </w:r>
      <w:r>
        <w:t>oard or returned to TDPUD for revision if there are comments that cannot be resolved during the meeting.</w:t>
      </w:r>
    </w:p>
    <w:p w14:paraId="40868528" w14:textId="59752AA9" w:rsidR="00C64C6C" w:rsidRPr="00C64C6C" w:rsidRDefault="003948D6" w:rsidP="00E66AF5">
      <w:pPr>
        <w:pStyle w:val="BodyText"/>
      </w:pPr>
      <w:r>
        <w:t>The</w:t>
      </w:r>
      <w:r w:rsidR="00C64C6C" w:rsidRPr="00C64C6C">
        <w:t xml:space="preserve"> final </w:t>
      </w:r>
      <w:r w:rsidR="00AF5EE9">
        <w:t>a</w:t>
      </w:r>
      <w:r w:rsidR="00C64C6C" w:rsidRPr="00C64C6C">
        <w:t xml:space="preserve">doption </w:t>
      </w:r>
      <w:r>
        <w:t xml:space="preserve">of </w:t>
      </w:r>
      <w:r w:rsidR="00C64C6C" w:rsidRPr="00C64C6C">
        <w:t xml:space="preserve">the </w:t>
      </w:r>
      <w:r w:rsidR="00661DD0" w:rsidRPr="00C64C6C">
        <w:t>202</w:t>
      </w:r>
      <w:r w:rsidR="00915486">
        <w:t>5</w:t>
      </w:r>
      <w:r w:rsidR="00661DD0" w:rsidRPr="00C64C6C">
        <w:t xml:space="preserve"> </w:t>
      </w:r>
      <w:r w:rsidR="00C64C6C" w:rsidRPr="00C64C6C">
        <w:t>WMP</w:t>
      </w:r>
      <w:r>
        <w:t xml:space="preserve"> </w:t>
      </w:r>
      <w:r w:rsidRPr="00C64C6C">
        <w:t xml:space="preserve">by the Board </w:t>
      </w:r>
      <w:r>
        <w:t>was done</w:t>
      </w:r>
      <w:r w:rsidR="00C64C6C" w:rsidRPr="00C64C6C">
        <w:t xml:space="preserve"> on </w:t>
      </w:r>
      <w:r w:rsidR="00C64C6C" w:rsidRPr="00D5070F">
        <w:rPr>
          <w:b/>
          <w:bCs/>
        </w:rPr>
        <w:t>J</w:t>
      </w:r>
      <w:r w:rsidR="00915486" w:rsidRPr="00D5070F">
        <w:rPr>
          <w:b/>
          <w:bCs/>
        </w:rPr>
        <w:t>u</w:t>
      </w:r>
      <w:r w:rsidR="00C57C63" w:rsidRPr="00D5070F">
        <w:rPr>
          <w:b/>
          <w:bCs/>
        </w:rPr>
        <w:t>ne</w:t>
      </w:r>
      <w:r w:rsidR="00915486" w:rsidRPr="00D5070F">
        <w:rPr>
          <w:b/>
          <w:bCs/>
        </w:rPr>
        <w:t xml:space="preserve"> </w:t>
      </w:r>
      <w:r w:rsidR="00D5070F" w:rsidRPr="00D5070F">
        <w:rPr>
          <w:b/>
          <w:bCs/>
        </w:rPr>
        <w:t>4</w:t>
      </w:r>
      <w:r w:rsidR="00661DD0" w:rsidRPr="00D5070F">
        <w:rPr>
          <w:b/>
          <w:bCs/>
        </w:rPr>
        <w:t>, 202</w:t>
      </w:r>
      <w:r w:rsidR="00A85083" w:rsidRPr="00D5070F">
        <w:rPr>
          <w:b/>
          <w:bCs/>
        </w:rPr>
        <w:t>5</w:t>
      </w:r>
      <w:r w:rsidR="00C64C6C" w:rsidRPr="00D5070F">
        <w:t>.</w:t>
      </w:r>
      <w:r w:rsidR="00020652">
        <w:t xml:space="preserve"> A similar schedule is anticipated for </w:t>
      </w:r>
      <w:r w:rsidR="00661DD0">
        <w:t>202</w:t>
      </w:r>
      <w:r w:rsidR="00A85083">
        <w:t>6</w:t>
      </w:r>
      <w:r w:rsidR="00661DD0">
        <w:t xml:space="preserve"> </w:t>
      </w:r>
      <w:r w:rsidR="00020652">
        <w:t>adoption.</w:t>
      </w:r>
    </w:p>
    <w:bookmarkStart w:id="140" w:name="_Toc236903508" w:displacedByCustomXml="next"/>
    <w:bookmarkStart w:id="141" w:name="_Toc135748570" w:displacedByCustomXml="next"/>
    <w:bookmarkStart w:id="142" w:name="_Hlk133246063" w:displacedByCustomXml="next"/>
    <w:sdt>
      <w:sdtPr>
        <w:rPr>
          <w:rFonts w:ascii="Times New Roman" w:hAnsi="Times New Roman"/>
          <w:b w:val="0"/>
          <w:bCs w:val="0"/>
          <w:caps w:val="0"/>
          <w:color w:val="auto"/>
          <w:spacing w:val="0"/>
          <w:sz w:val="20"/>
          <w:szCs w:val="24"/>
        </w:rPr>
        <w:id w:val="159515785"/>
        <w:docPartObj>
          <w:docPartGallery w:val="Bibliographies"/>
          <w:docPartUnique/>
        </w:docPartObj>
      </w:sdtPr>
      <w:sdtEndPr>
        <w:rPr>
          <w:rFonts w:ascii="Century Gothic" w:hAnsi="Century Gothic"/>
          <w:szCs w:val="20"/>
        </w:rPr>
      </w:sdtEndPr>
      <w:sdtContent>
        <w:p w14:paraId="49ED3F79" w14:textId="547ECF24" w:rsidR="003B6165" w:rsidRDefault="00EE4AAD" w:rsidP="003B5CDE">
          <w:pPr>
            <w:pStyle w:val="Heading1"/>
          </w:pPr>
          <w:r>
            <w:t>X.</w:t>
          </w:r>
          <w:r>
            <w:tab/>
            <w:t>R</w:t>
          </w:r>
          <w:r w:rsidR="003B6165">
            <w:t>eferences</w:t>
          </w:r>
          <w:bookmarkEnd w:id="141"/>
          <w:bookmarkEnd w:id="140"/>
        </w:p>
        <w:p w14:paraId="4D4F4AD3" w14:textId="32082C18" w:rsidR="005675F0" w:rsidRDefault="005675F0" w:rsidP="00FC6407">
          <w:pPr>
            <w:pStyle w:val="ReferenceList"/>
            <w:rPr>
              <w:noProof/>
            </w:rPr>
          </w:pPr>
          <w:r>
            <w:rPr>
              <w:noProof/>
            </w:rPr>
            <w:t>Carlson, A.</w:t>
          </w:r>
          <w:r w:rsidR="00D112C8">
            <w:rPr>
              <w:noProof/>
            </w:rPr>
            <w:t>R</w:t>
          </w:r>
          <w:r>
            <w:rPr>
              <w:noProof/>
            </w:rPr>
            <w:t>.</w:t>
          </w:r>
          <w:r w:rsidR="00D112C8">
            <w:rPr>
              <w:noProof/>
            </w:rPr>
            <w:t xml:space="preserve">, </w:t>
          </w:r>
          <w:r w:rsidR="00D112C8" w:rsidRPr="00D112C8">
            <w:rPr>
              <w:noProof/>
            </w:rPr>
            <w:t>D.P. Helmers, T.J. Hawbaker, M.H. Mockrin</w:t>
          </w:r>
          <w:r w:rsidR="00D112C8">
            <w:rPr>
              <w:noProof/>
            </w:rPr>
            <w:t>,</w:t>
          </w:r>
          <w:r w:rsidR="00D112C8" w:rsidRPr="00D112C8">
            <w:rPr>
              <w:noProof/>
            </w:rPr>
            <w:t xml:space="preserve"> and V.C.</w:t>
          </w:r>
          <w:r w:rsidR="00D112C8">
            <w:rPr>
              <w:noProof/>
            </w:rPr>
            <w:t xml:space="preserve"> </w:t>
          </w:r>
          <w:r w:rsidR="00D112C8" w:rsidRPr="00D112C8">
            <w:rPr>
              <w:noProof/>
            </w:rPr>
            <w:t>Radeloff</w:t>
          </w:r>
          <w:r w:rsidR="00D112C8">
            <w:rPr>
              <w:noProof/>
            </w:rPr>
            <w:t>.</w:t>
          </w:r>
          <w:r w:rsidR="00D112C8" w:rsidRPr="00D112C8">
            <w:rPr>
              <w:noProof/>
            </w:rPr>
            <w:t xml:space="preserve"> </w:t>
          </w:r>
          <w:r>
            <w:rPr>
              <w:noProof/>
            </w:rPr>
            <w:t xml:space="preserve">2022. </w:t>
          </w:r>
          <w:r w:rsidR="00D112C8">
            <w:rPr>
              <w:noProof/>
            </w:rPr>
            <w:t>“</w:t>
          </w:r>
          <w:r w:rsidRPr="009D1596">
            <w:rPr>
              <w:noProof/>
            </w:rPr>
            <w:t>Wildland-urban interface maps for the conterminous U.S. based on 125 million building locations</w:t>
          </w:r>
          <w:r>
            <w:rPr>
              <w:noProof/>
            </w:rPr>
            <w:t>.</w:t>
          </w:r>
          <w:r w:rsidR="00D112C8">
            <w:rPr>
              <w:noProof/>
            </w:rPr>
            <w:t>”</w:t>
          </w:r>
          <w:r>
            <w:rPr>
              <w:noProof/>
            </w:rPr>
            <w:t xml:space="preserve"> Retrieved from USGS ScienceBase Catalog: https://www.sciencebase.gov/</w:t>
          </w:r>
          <w:r w:rsidR="005D3D98">
            <w:rPr>
              <w:noProof/>
            </w:rPr>
            <w:br/>
          </w:r>
          <w:r>
            <w:rPr>
              <w:noProof/>
            </w:rPr>
            <w:t>catalog/item/617bfb43d34ea58c3c70038f</w:t>
          </w:r>
          <w:r w:rsidR="00D112C8">
            <w:rPr>
              <w:noProof/>
            </w:rPr>
            <w:t>.</w:t>
          </w:r>
        </w:p>
        <w:p w14:paraId="75F65ED6" w14:textId="02D5DF8C" w:rsidR="005675F0" w:rsidRDefault="005675F0" w:rsidP="00FC6407">
          <w:pPr>
            <w:pStyle w:val="ReferenceList"/>
            <w:rPr>
              <w:noProof/>
            </w:rPr>
          </w:pPr>
          <w:r>
            <w:rPr>
              <w:noProof/>
            </w:rPr>
            <w:t xml:space="preserve">Town of Truckee Planning Division. 2020. </w:t>
          </w:r>
          <w:r>
            <w:rPr>
              <w:i/>
              <w:iCs/>
              <w:noProof/>
            </w:rPr>
            <w:t>Climate Ready Truckee</w:t>
          </w:r>
          <w:r w:rsidR="002839E0">
            <w:rPr>
              <w:i/>
              <w:iCs/>
              <w:noProof/>
            </w:rPr>
            <w:t>:</w:t>
          </w:r>
          <w:r>
            <w:rPr>
              <w:i/>
              <w:iCs/>
              <w:noProof/>
            </w:rPr>
            <w:t xml:space="preserve"> A Climate Change Adaptation Plan.</w:t>
          </w:r>
          <w:r>
            <w:rPr>
              <w:noProof/>
            </w:rPr>
            <w:t xml:space="preserve"> Truckee</w:t>
          </w:r>
          <w:r w:rsidR="003A0978">
            <w:rPr>
              <w:noProof/>
            </w:rPr>
            <w:t>, California</w:t>
          </w:r>
          <w:r>
            <w:rPr>
              <w:noProof/>
            </w:rPr>
            <w:t>: Town of Truc</w:t>
          </w:r>
          <w:r w:rsidR="003A0978">
            <w:rPr>
              <w:noProof/>
            </w:rPr>
            <w:t>k</w:t>
          </w:r>
          <w:r>
            <w:rPr>
              <w:noProof/>
            </w:rPr>
            <w:t>ee</w:t>
          </w:r>
          <w:r w:rsidR="002839E0">
            <w:rPr>
              <w:noProof/>
            </w:rPr>
            <w:t xml:space="preserve"> Planning Division</w:t>
          </w:r>
          <w:r>
            <w:rPr>
              <w:noProof/>
            </w:rPr>
            <w:t>.</w:t>
          </w:r>
          <w:r w:rsidR="00D112C8">
            <w:rPr>
              <w:noProof/>
            </w:rPr>
            <w:t xml:space="preserve"> July 2020.</w:t>
          </w:r>
        </w:p>
        <w:p w14:paraId="2DA8F188" w14:textId="4926F653" w:rsidR="003B6165" w:rsidRDefault="00622C52" w:rsidP="00FC6407">
          <w:pPr>
            <w:pStyle w:val="ReferenceList"/>
          </w:pPr>
        </w:p>
      </w:sdtContent>
    </w:sdt>
    <w:bookmarkEnd w:id="142" w:displacedByCustomXml="prev"/>
    <w:bookmarkStart w:id="143" w:name="_Toc81228462" w:displacedByCustomXml="prev"/>
    <w:bookmarkEnd w:id="143"/>
    <w:p w14:paraId="431A95F4" w14:textId="77777777" w:rsidR="00F05CC0" w:rsidRDefault="00841723" w:rsidP="00841723">
      <w:pPr>
        <w:sectPr w:rsidR="00F05CC0" w:rsidSect="001D7993">
          <w:headerReference w:type="default" r:id="rId31"/>
          <w:footerReference w:type="default" r:id="rId32"/>
          <w:headerReference w:type="first" r:id="rId33"/>
          <w:footerReference w:type="first" r:id="rId34"/>
          <w:pgSz w:w="12240" w:h="15840" w:code="1"/>
          <w:pgMar w:top="1440" w:right="1440" w:bottom="1440" w:left="1440" w:header="720" w:footer="720" w:gutter="0"/>
          <w:pgNumType w:start="1"/>
          <w:cols w:space="720"/>
          <w:titlePg/>
          <w:docGrid w:linePitch="360"/>
        </w:sectPr>
      </w:pPr>
      <w:r>
        <w:br w:type="page"/>
      </w:r>
    </w:p>
    <w:p w14:paraId="03DBE07F" w14:textId="362BC494" w:rsidR="000C013F" w:rsidRPr="00B7066A" w:rsidRDefault="000C013F" w:rsidP="005F4962">
      <w:pPr>
        <w:pStyle w:val="Appendix"/>
      </w:pPr>
      <w:r w:rsidRPr="00B7066A">
        <w:lastRenderedPageBreak/>
        <w:t xml:space="preserve">Appendix </w:t>
      </w:r>
      <w:r w:rsidR="009B1EBE">
        <w:t>A</w:t>
      </w:r>
    </w:p>
    <w:p w14:paraId="6335C3C0" w14:textId="3648BF6D" w:rsidR="00E66AF5" w:rsidRDefault="000C013F" w:rsidP="005F4962">
      <w:pPr>
        <w:pStyle w:val="AppendixTitle"/>
      </w:pPr>
      <w:bookmarkStart w:id="144" w:name="_Toc133523198"/>
      <w:bookmarkStart w:id="145" w:name="_Toc236837855"/>
      <w:r w:rsidRPr="00177745">
        <w:t xml:space="preserve">CPUC High Fire Threat </w:t>
      </w:r>
      <w:r w:rsidR="00622855">
        <w:t>District</w:t>
      </w:r>
      <w:r w:rsidRPr="00177745">
        <w:t xml:space="preserve"> Map for </w:t>
      </w:r>
      <w:r w:rsidR="00622855">
        <w:t xml:space="preserve">the </w:t>
      </w:r>
      <w:r w:rsidRPr="00177745">
        <w:t>Truckee Donner Public Utility</w:t>
      </w:r>
      <w:bookmarkEnd w:id="144"/>
      <w:bookmarkEnd w:id="145"/>
    </w:p>
    <w:p w14:paraId="1D6594C9" w14:textId="77777777" w:rsidR="00E66AF5" w:rsidRDefault="00E66AF5" w:rsidP="00E66AF5">
      <w:pPr>
        <w:sectPr w:rsidR="00E66AF5" w:rsidSect="00FC3924">
          <w:footerReference w:type="first" r:id="rId35"/>
          <w:pgSz w:w="12240" w:h="15840" w:code="1"/>
          <w:pgMar w:top="1440" w:right="1440" w:bottom="1440" w:left="1440" w:header="720" w:footer="720" w:gutter="0"/>
          <w:cols w:space="720"/>
          <w:titlePg/>
          <w:docGrid w:linePitch="360"/>
        </w:sectPr>
      </w:pPr>
      <w:r>
        <w:br w:type="page"/>
      </w:r>
    </w:p>
    <w:p w14:paraId="6340361D" w14:textId="5D6AF5DF" w:rsidR="00791C8A" w:rsidRPr="00791C8A" w:rsidRDefault="00791C8A" w:rsidP="00E66AF5">
      <w:pPr>
        <w:pStyle w:val="graphic"/>
      </w:pPr>
      <w:r w:rsidRPr="00791C8A">
        <w:rPr>
          <w:noProof/>
        </w:rPr>
        <w:lastRenderedPageBreak/>
        <w:drawing>
          <wp:inline distT="0" distB="0" distL="0" distR="0" wp14:anchorId="6B67482C" wp14:editId="20043DD5">
            <wp:extent cx="7663363" cy="5234994"/>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7674194" cy="5242393"/>
                    </a:xfrm>
                    <a:prstGeom prst="rect">
                      <a:avLst/>
                    </a:prstGeom>
                  </pic:spPr>
                </pic:pic>
              </a:graphicData>
            </a:graphic>
          </wp:inline>
        </w:drawing>
      </w:r>
    </w:p>
    <w:p w14:paraId="5D09AEB2" w14:textId="77777777" w:rsidR="00E66AF5" w:rsidRDefault="00841723">
      <w:pPr>
        <w:sectPr w:rsidR="00E66AF5" w:rsidSect="00CB7D34">
          <w:footerReference w:type="first" r:id="rId37"/>
          <w:pgSz w:w="15840" w:h="12240" w:orient="landscape" w:code="1"/>
          <w:pgMar w:top="1440" w:right="1440" w:bottom="1440" w:left="1440" w:header="720" w:footer="720" w:gutter="0"/>
          <w:pgNumType w:start="1"/>
          <w:cols w:space="720"/>
          <w:titlePg/>
          <w:docGrid w:linePitch="360"/>
        </w:sectPr>
      </w:pPr>
      <w:r>
        <w:br w:type="page"/>
      </w:r>
    </w:p>
    <w:p w14:paraId="4BBBD3A2" w14:textId="51B7C50F" w:rsidR="00841723" w:rsidRPr="00B7066A" w:rsidRDefault="00841723" w:rsidP="005F4962">
      <w:pPr>
        <w:pStyle w:val="Appendix"/>
      </w:pPr>
      <w:r w:rsidRPr="00B7066A">
        <w:lastRenderedPageBreak/>
        <w:t xml:space="preserve">Appendix </w:t>
      </w:r>
      <w:r>
        <w:t>B</w:t>
      </w:r>
    </w:p>
    <w:p w14:paraId="7FB2C477" w14:textId="638D1D44" w:rsidR="00841723" w:rsidRPr="00177745" w:rsidRDefault="00841723" w:rsidP="005F4962">
      <w:pPr>
        <w:pStyle w:val="AppendixTitle"/>
      </w:pPr>
      <w:bookmarkStart w:id="146" w:name="_Toc133523199"/>
      <w:bookmarkStart w:id="147" w:name="_Toc236837856"/>
      <w:r w:rsidRPr="00177745">
        <w:t>Prevailing Wind Map</w:t>
      </w:r>
      <w:bookmarkEnd w:id="146"/>
      <w:bookmarkEnd w:id="147"/>
    </w:p>
    <w:p w14:paraId="17E3D88D" w14:textId="77777777" w:rsidR="00E66AF5" w:rsidRDefault="00E66AF5">
      <w:pPr>
        <w:sectPr w:rsidR="00E66AF5" w:rsidSect="00FC3924">
          <w:footerReference w:type="first" r:id="rId38"/>
          <w:pgSz w:w="12240" w:h="15840" w:code="1"/>
          <w:pgMar w:top="1440" w:right="1440" w:bottom="1440" w:left="1440" w:header="720" w:footer="720" w:gutter="0"/>
          <w:cols w:space="720"/>
          <w:titlePg/>
          <w:docGrid w:linePitch="360"/>
        </w:sectPr>
      </w:pPr>
    </w:p>
    <w:p w14:paraId="20B4A8B7" w14:textId="77777777" w:rsidR="00E66AF5" w:rsidRDefault="00791C8A" w:rsidP="00E66AF5">
      <w:pPr>
        <w:pStyle w:val="graphic"/>
        <w:rPr>
          <w:rFonts w:ascii="Avenir Next LT Pro" w:hAnsi="Avenir Next LT Pro"/>
          <w:color w:val="0F2B4D"/>
          <w:sz w:val="48"/>
          <w:szCs w:val="72"/>
        </w:rPr>
        <w:sectPr w:rsidR="00E66AF5" w:rsidSect="00CB7D34">
          <w:footerReference w:type="first" r:id="rId39"/>
          <w:pgSz w:w="15840" w:h="12240" w:orient="landscape" w:code="1"/>
          <w:pgMar w:top="1440" w:right="1440" w:bottom="1440" w:left="1440" w:header="720" w:footer="720" w:gutter="0"/>
          <w:pgNumType w:start="1"/>
          <w:cols w:space="720"/>
          <w:titlePg/>
          <w:docGrid w:linePitch="360"/>
        </w:sectPr>
      </w:pPr>
      <w:r w:rsidRPr="00E66AF5">
        <w:rPr>
          <w:noProof/>
        </w:rPr>
        <w:lastRenderedPageBreak/>
        <w:drawing>
          <wp:inline distT="0" distB="0" distL="0" distR="0" wp14:anchorId="48322B5C" wp14:editId="07208FCC">
            <wp:extent cx="8499874" cy="579190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8499874" cy="5791901"/>
                    </a:xfrm>
                    <a:prstGeom prst="rect">
                      <a:avLst/>
                    </a:prstGeom>
                  </pic:spPr>
                </pic:pic>
              </a:graphicData>
            </a:graphic>
          </wp:inline>
        </w:drawing>
      </w:r>
    </w:p>
    <w:p w14:paraId="4D321E48" w14:textId="11D02106" w:rsidR="00841723" w:rsidRPr="00B7066A" w:rsidRDefault="00841723" w:rsidP="005F4962">
      <w:pPr>
        <w:pStyle w:val="Appendix"/>
      </w:pPr>
      <w:r w:rsidRPr="00B7066A">
        <w:lastRenderedPageBreak/>
        <w:t xml:space="preserve">Appendix </w:t>
      </w:r>
      <w:r w:rsidR="001369BC">
        <w:t>c</w:t>
      </w:r>
    </w:p>
    <w:p w14:paraId="16C08B3C" w14:textId="1459A043" w:rsidR="001B420C" w:rsidRDefault="001E0060" w:rsidP="00E66AF5">
      <w:pPr>
        <w:pStyle w:val="AppendixTitle"/>
        <w:keepNext w:val="0"/>
        <w:keepLines w:val="0"/>
      </w:pPr>
      <w:bookmarkStart w:id="148" w:name="_Toc133523201"/>
      <w:bookmarkStart w:id="149" w:name="_Toc236837857"/>
      <w:r w:rsidRPr="001A72F7">
        <w:t>Vegetation Management Program</w:t>
      </w:r>
      <w:bookmarkEnd w:id="148"/>
      <w:bookmarkEnd w:id="149"/>
    </w:p>
    <w:p w14:paraId="4D65EB27" w14:textId="77777777" w:rsidR="001B420C" w:rsidRDefault="001B420C">
      <w:pPr>
        <w:spacing w:before="0" w:after="0" w:line="240" w:lineRule="auto"/>
        <w:rPr>
          <w:rFonts w:ascii="Century Gothic" w:hAnsi="Century Gothic"/>
          <w:sz w:val="40"/>
          <w:szCs w:val="40"/>
        </w:rPr>
      </w:pPr>
      <w:r>
        <w:br w:type="page"/>
      </w:r>
    </w:p>
    <w:p w14:paraId="146C4FA1" w14:textId="0EEC3976" w:rsidR="001B420C" w:rsidRPr="001B420C" w:rsidRDefault="001B420C" w:rsidP="001B420C">
      <w:pPr>
        <w:pStyle w:val="graphic"/>
        <w:spacing w:before="0" w:after="0"/>
      </w:pPr>
      <w:r w:rsidRPr="00791C8A">
        <w:rPr>
          <w:noProof/>
        </w:rPr>
        <w:lastRenderedPageBreak/>
        <w:drawing>
          <wp:anchor distT="0" distB="0" distL="114300" distR="114300" simplePos="0" relativeHeight="251671040" behindDoc="0" locked="0" layoutInCell="1" allowOverlap="1" wp14:anchorId="17651A0B" wp14:editId="65707042">
            <wp:simplePos x="914400" y="914400"/>
            <wp:positionH relativeFrom="margin">
              <wp:align>center</wp:align>
            </wp:positionH>
            <wp:positionV relativeFrom="margin">
              <wp:align>center</wp:align>
            </wp:positionV>
            <wp:extent cx="6617724" cy="865632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6617724" cy="8656320"/>
                    </a:xfrm>
                    <a:prstGeom prst="rect">
                      <a:avLst/>
                    </a:prstGeom>
                  </pic:spPr>
                </pic:pic>
              </a:graphicData>
            </a:graphic>
          </wp:anchor>
        </w:drawing>
      </w:r>
    </w:p>
    <w:p w14:paraId="25F270DE" w14:textId="0849FA20" w:rsidR="00791C8A" w:rsidRDefault="00791C8A" w:rsidP="00791C8A">
      <w:r w:rsidRPr="00791C8A">
        <w:rPr>
          <w:noProof/>
        </w:rPr>
        <w:lastRenderedPageBreak/>
        <w:drawing>
          <wp:anchor distT="0" distB="0" distL="114300" distR="114300" simplePos="0" relativeHeight="251672064" behindDoc="0" locked="0" layoutInCell="1" allowOverlap="1" wp14:anchorId="190D6110" wp14:editId="57319868">
            <wp:simplePos x="914400" y="914400"/>
            <wp:positionH relativeFrom="margin">
              <wp:align>center</wp:align>
            </wp:positionH>
            <wp:positionV relativeFrom="margin">
              <wp:align>center</wp:align>
            </wp:positionV>
            <wp:extent cx="6725090" cy="8541099"/>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28A0092B-C50C-407E-A947-70E740481C1C}">
                          <a14:useLocalDpi xmlns:a14="http://schemas.microsoft.com/office/drawing/2010/main" val="0"/>
                        </a:ext>
                      </a:extLst>
                    </a:blip>
                    <a:stretch>
                      <a:fillRect/>
                    </a:stretch>
                  </pic:blipFill>
                  <pic:spPr>
                    <a:xfrm>
                      <a:off x="0" y="0"/>
                      <a:ext cx="6725090" cy="8541099"/>
                    </a:xfrm>
                    <a:prstGeom prst="rect">
                      <a:avLst/>
                    </a:prstGeom>
                  </pic:spPr>
                </pic:pic>
              </a:graphicData>
            </a:graphic>
          </wp:anchor>
        </w:drawing>
      </w:r>
    </w:p>
    <w:p w14:paraId="09B8DC4D" w14:textId="223E4AD0" w:rsidR="00791C8A" w:rsidRDefault="00791C8A" w:rsidP="00791C8A">
      <w:r w:rsidRPr="00791C8A">
        <w:rPr>
          <w:noProof/>
        </w:rPr>
        <w:lastRenderedPageBreak/>
        <w:drawing>
          <wp:anchor distT="0" distB="0" distL="114300" distR="114300" simplePos="0" relativeHeight="251673088" behindDoc="0" locked="0" layoutInCell="1" allowOverlap="1" wp14:anchorId="4AC8C2B0" wp14:editId="4FEA5EA4">
            <wp:simplePos x="914400" y="914400"/>
            <wp:positionH relativeFrom="margin">
              <wp:align>center</wp:align>
            </wp:positionH>
            <wp:positionV relativeFrom="margin">
              <wp:align>center</wp:align>
            </wp:positionV>
            <wp:extent cx="6541477" cy="876655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28A0092B-C50C-407E-A947-70E740481C1C}">
                          <a14:useLocalDpi xmlns:a14="http://schemas.microsoft.com/office/drawing/2010/main" val="0"/>
                        </a:ext>
                      </a:extLst>
                    </a:blip>
                    <a:stretch>
                      <a:fillRect/>
                    </a:stretch>
                  </pic:blipFill>
                  <pic:spPr>
                    <a:xfrm>
                      <a:off x="0" y="0"/>
                      <a:ext cx="6541477" cy="8766550"/>
                    </a:xfrm>
                    <a:prstGeom prst="rect">
                      <a:avLst/>
                    </a:prstGeom>
                  </pic:spPr>
                </pic:pic>
              </a:graphicData>
            </a:graphic>
          </wp:anchor>
        </w:drawing>
      </w:r>
    </w:p>
    <w:p w14:paraId="7EB5B541" w14:textId="7FBEBF6F" w:rsidR="00791C8A" w:rsidRDefault="00791C8A" w:rsidP="00791C8A">
      <w:r w:rsidRPr="00791C8A">
        <w:rPr>
          <w:noProof/>
        </w:rPr>
        <w:lastRenderedPageBreak/>
        <w:drawing>
          <wp:anchor distT="0" distB="0" distL="114300" distR="114300" simplePos="0" relativeHeight="251674112" behindDoc="0" locked="0" layoutInCell="1" allowOverlap="1" wp14:anchorId="53C2F14C" wp14:editId="0EA3C83E">
            <wp:simplePos x="914400" y="914400"/>
            <wp:positionH relativeFrom="margin">
              <wp:align>center</wp:align>
            </wp:positionH>
            <wp:positionV relativeFrom="margin">
              <wp:align>center</wp:align>
            </wp:positionV>
            <wp:extent cx="6501284" cy="8191618"/>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28A0092B-C50C-407E-A947-70E740481C1C}">
                          <a14:useLocalDpi xmlns:a14="http://schemas.microsoft.com/office/drawing/2010/main" val="0"/>
                        </a:ext>
                      </a:extLst>
                    </a:blip>
                    <a:stretch>
                      <a:fillRect/>
                    </a:stretch>
                  </pic:blipFill>
                  <pic:spPr>
                    <a:xfrm>
                      <a:off x="0" y="0"/>
                      <a:ext cx="6501284" cy="8191618"/>
                    </a:xfrm>
                    <a:prstGeom prst="rect">
                      <a:avLst/>
                    </a:prstGeom>
                  </pic:spPr>
                </pic:pic>
              </a:graphicData>
            </a:graphic>
          </wp:anchor>
        </w:drawing>
      </w:r>
    </w:p>
    <w:p w14:paraId="2B5CA262" w14:textId="6ABBA106" w:rsidR="00791C8A" w:rsidRDefault="00791C8A" w:rsidP="00791C8A">
      <w:r w:rsidRPr="00791C8A">
        <w:rPr>
          <w:noProof/>
        </w:rPr>
        <w:lastRenderedPageBreak/>
        <w:drawing>
          <wp:anchor distT="0" distB="0" distL="114300" distR="114300" simplePos="0" relativeHeight="251675136" behindDoc="0" locked="0" layoutInCell="1" allowOverlap="1" wp14:anchorId="3B1D4A35" wp14:editId="49572F5A">
            <wp:simplePos x="914400" y="914400"/>
            <wp:positionH relativeFrom="margin">
              <wp:align>center</wp:align>
            </wp:positionH>
            <wp:positionV relativeFrom="margin">
              <wp:align>center</wp:align>
            </wp:positionV>
            <wp:extent cx="6420897" cy="8170978"/>
            <wp:effectExtent l="0" t="0" r="0" b="1905"/>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6420897" cy="8170978"/>
                    </a:xfrm>
                    <a:prstGeom prst="rect">
                      <a:avLst/>
                    </a:prstGeom>
                  </pic:spPr>
                </pic:pic>
              </a:graphicData>
            </a:graphic>
          </wp:anchor>
        </w:drawing>
      </w:r>
    </w:p>
    <w:p w14:paraId="21017876" w14:textId="198A7A13" w:rsidR="00791C8A" w:rsidRDefault="00791C8A" w:rsidP="00791C8A">
      <w:r w:rsidRPr="00791C8A">
        <w:rPr>
          <w:noProof/>
        </w:rPr>
        <w:lastRenderedPageBreak/>
        <w:drawing>
          <wp:anchor distT="0" distB="0" distL="114300" distR="114300" simplePos="0" relativeHeight="251676160" behindDoc="0" locked="0" layoutInCell="1" allowOverlap="1" wp14:anchorId="7079F32B" wp14:editId="7ED49A4A">
            <wp:simplePos x="914400" y="914400"/>
            <wp:positionH relativeFrom="margin">
              <wp:align>center</wp:align>
            </wp:positionH>
            <wp:positionV relativeFrom="margin">
              <wp:align>center</wp:align>
            </wp:positionV>
            <wp:extent cx="6672105" cy="8295049"/>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val="0"/>
                        </a:ext>
                      </a:extLst>
                    </a:blip>
                    <a:stretch>
                      <a:fillRect/>
                    </a:stretch>
                  </pic:blipFill>
                  <pic:spPr>
                    <a:xfrm>
                      <a:off x="0" y="0"/>
                      <a:ext cx="6672105" cy="8295049"/>
                    </a:xfrm>
                    <a:prstGeom prst="rect">
                      <a:avLst/>
                    </a:prstGeom>
                  </pic:spPr>
                </pic:pic>
              </a:graphicData>
            </a:graphic>
          </wp:anchor>
        </w:drawing>
      </w:r>
    </w:p>
    <w:p w14:paraId="6777BBB2" w14:textId="03257A0C" w:rsidR="00791C8A" w:rsidRDefault="00791C8A" w:rsidP="00791C8A">
      <w:r w:rsidRPr="00791C8A">
        <w:rPr>
          <w:noProof/>
        </w:rPr>
        <w:lastRenderedPageBreak/>
        <w:drawing>
          <wp:anchor distT="0" distB="0" distL="114300" distR="114300" simplePos="0" relativeHeight="251677184" behindDoc="0" locked="0" layoutInCell="1" allowOverlap="1" wp14:anchorId="4FC7D4D5" wp14:editId="3D22D167">
            <wp:simplePos x="914400" y="914400"/>
            <wp:positionH relativeFrom="margin">
              <wp:align>center</wp:align>
            </wp:positionH>
            <wp:positionV relativeFrom="margin">
              <wp:align>center</wp:align>
            </wp:positionV>
            <wp:extent cx="6662057" cy="8472265"/>
            <wp:effectExtent l="0" t="0" r="5715" b="508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28A0092B-C50C-407E-A947-70E740481C1C}">
                          <a14:useLocalDpi xmlns:a14="http://schemas.microsoft.com/office/drawing/2010/main" val="0"/>
                        </a:ext>
                      </a:extLst>
                    </a:blip>
                    <a:stretch>
                      <a:fillRect/>
                    </a:stretch>
                  </pic:blipFill>
                  <pic:spPr>
                    <a:xfrm>
                      <a:off x="0" y="0"/>
                      <a:ext cx="6662057" cy="8472265"/>
                    </a:xfrm>
                    <a:prstGeom prst="rect">
                      <a:avLst/>
                    </a:prstGeom>
                  </pic:spPr>
                </pic:pic>
              </a:graphicData>
            </a:graphic>
          </wp:anchor>
        </w:drawing>
      </w:r>
    </w:p>
    <w:p w14:paraId="648BA50E" w14:textId="6351E202" w:rsidR="00637271" w:rsidRDefault="00637271" w:rsidP="00791C8A">
      <w:r w:rsidRPr="00637271">
        <w:rPr>
          <w:noProof/>
        </w:rPr>
        <w:lastRenderedPageBreak/>
        <w:drawing>
          <wp:anchor distT="0" distB="0" distL="114300" distR="114300" simplePos="0" relativeHeight="251678208" behindDoc="0" locked="0" layoutInCell="1" allowOverlap="1" wp14:anchorId="575849B5" wp14:editId="36A6CD74">
            <wp:simplePos x="914400" y="914400"/>
            <wp:positionH relativeFrom="margin">
              <wp:align>center</wp:align>
            </wp:positionH>
            <wp:positionV relativeFrom="margin">
              <wp:align>center</wp:align>
            </wp:positionV>
            <wp:extent cx="6656471" cy="8470760"/>
            <wp:effectExtent l="0" t="0" r="0" b="6985"/>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28A0092B-C50C-407E-A947-70E740481C1C}">
                          <a14:useLocalDpi xmlns:a14="http://schemas.microsoft.com/office/drawing/2010/main" val="0"/>
                        </a:ext>
                      </a:extLst>
                    </a:blip>
                    <a:stretch>
                      <a:fillRect/>
                    </a:stretch>
                  </pic:blipFill>
                  <pic:spPr>
                    <a:xfrm>
                      <a:off x="0" y="0"/>
                      <a:ext cx="6656471" cy="8470760"/>
                    </a:xfrm>
                    <a:prstGeom prst="rect">
                      <a:avLst/>
                    </a:prstGeom>
                  </pic:spPr>
                </pic:pic>
              </a:graphicData>
            </a:graphic>
          </wp:anchor>
        </w:drawing>
      </w:r>
    </w:p>
    <w:p w14:paraId="1338FF3F" w14:textId="6BBF80FB" w:rsidR="00637271" w:rsidRDefault="00637271" w:rsidP="00791C8A">
      <w:r w:rsidRPr="00637271">
        <w:rPr>
          <w:noProof/>
        </w:rPr>
        <w:lastRenderedPageBreak/>
        <w:drawing>
          <wp:anchor distT="0" distB="0" distL="114300" distR="114300" simplePos="0" relativeHeight="251679232" behindDoc="0" locked="0" layoutInCell="1" allowOverlap="1" wp14:anchorId="2CC401D0" wp14:editId="5AA3E62E">
            <wp:simplePos x="914400" y="914400"/>
            <wp:positionH relativeFrom="margin">
              <wp:align>center</wp:align>
            </wp:positionH>
            <wp:positionV relativeFrom="margin">
              <wp:align>center</wp:align>
            </wp:positionV>
            <wp:extent cx="6662057" cy="8321602"/>
            <wp:effectExtent l="0" t="0" r="5715" b="381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28A0092B-C50C-407E-A947-70E740481C1C}">
                          <a14:useLocalDpi xmlns:a14="http://schemas.microsoft.com/office/drawing/2010/main" val="0"/>
                        </a:ext>
                      </a:extLst>
                    </a:blip>
                    <a:stretch>
                      <a:fillRect/>
                    </a:stretch>
                  </pic:blipFill>
                  <pic:spPr>
                    <a:xfrm>
                      <a:off x="0" y="0"/>
                      <a:ext cx="6662057" cy="8321602"/>
                    </a:xfrm>
                    <a:prstGeom prst="rect">
                      <a:avLst/>
                    </a:prstGeom>
                  </pic:spPr>
                </pic:pic>
              </a:graphicData>
            </a:graphic>
          </wp:anchor>
        </w:drawing>
      </w:r>
    </w:p>
    <w:p w14:paraId="7A2345F4" w14:textId="77FE7534" w:rsidR="00637271" w:rsidRDefault="00637271" w:rsidP="00A01221">
      <w:pPr>
        <w:pStyle w:val="graphic"/>
      </w:pPr>
      <w:r w:rsidRPr="00A01221">
        <w:rPr>
          <w:noProof/>
        </w:rPr>
        <w:lastRenderedPageBreak/>
        <w:drawing>
          <wp:anchor distT="0" distB="0" distL="114300" distR="114300" simplePos="0" relativeHeight="251680256" behindDoc="0" locked="0" layoutInCell="1" allowOverlap="1" wp14:anchorId="77E34C04" wp14:editId="439164E1">
            <wp:simplePos x="914400" y="914400"/>
            <wp:positionH relativeFrom="margin">
              <wp:align>center</wp:align>
            </wp:positionH>
            <wp:positionV relativeFrom="margin">
              <wp:align>center</wp:align>
            </wp:positionV>
            <wp:extent cx="6691161" cy="8792308"/>
            <wp:effectExtent l="0" t="0" r="0" b="889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28A0092B-C50C-407E-A947-70E740481C1C}">
                          <a14:useLocalDpi xmlns:a14="http://schemas.microsoft.com/office/drawing/2010/main" val="0"/>
                        </a:ext>
                      </a:extLst>
                    </a:blip>
                    <a:stretch>
                      <a:fillRect/>
                    </a:stretch>
                  </pic:blipFill>
                  <pic:spPr>
                    <a:xfrm>
                      <a:off x="0" y="0"/>
                      <a:ext cx="6691161" cy="8792308"/>
                    </a:xfrm>
                    <a:prstGeom prst="rect">
                      <a:avLst/>
                    </a:prstGeom>
                  </pic:spPr>
                </pic:pic>
              </a:graphicData>
            </a:graphic>
          </wp:anchor>
        </w:drawing>
      </w:r>
    </w:p>
    <w:p w14:paraId="5AFF7A18" w14:textId="66F2F976" w:rsidR="00A01221" w:rsidRPr="00A01221" w:rsidRDefault="00A01221" w:rsidP="001B420C">
      <w:pPr>
        <w:pStyle w:val="graphic"/>
        <w:jc w:val="left"/>
      </w:pPr>
      <w:r w:rsidRPr="00A01221">
        <w:rPr>
          <w:noProof/>
        </w:rPr>
        <w:lastRenderedPageBreak/>
        <w:drawing>
          <wp:anchor distT="0" distB="0" distL="114300" distR="114300" simplePos="0" relativeHeight="251681280" behindDoc="0" locked="0" layoutInCell="1" allowOverlap="1" wp14:anchorId="1259067A" wp14:editId="4FD10F7C">
            <wp:simplePos x="914400" y="914400"/>
            <wp:positionH relativeFrom="margin">
              <wp:align>center</wp:align>
            </wp:positionH>
            <wp:positionV relativeFrom="margin">
              <wp:align>center</wp:align>
            </wp:positionV>
            <wp:extent cx="6162196" cy="7776755"/>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28A0092B-C50C-407E-A947-70E740481C1C}">
                          <a14:useLocalDpi xmlns:a14="http://schemas.microsoft.com/office/drawing/2010/main" val="0"/>
                        </a:ext>
                      </a:extLst>
                    </a:blip>
                    <a:stretch>
                      <a:fillRect/>
                    </a:stretch>
                  </pic:blipFill>
                  <pic:spPr>
                    <a:xfrm>
                      <a:off x="0" y="0"/>
                      <a:ext cx="6162196" cy="7776755"/>
                    </a:xfrm>
                    <a:prstGeom prst="rect">
                      <a:avLst/>
                    </a:prstGeom>
                  </pic:spPr>
                </pic:pic>
              </a:graphicData>
            </a:graphic>
          </wp:anchor>
        </w:drawing>
      </w:r>
    </w:p>
    <w:p w14:paraId="37665BC6" w14:textId="77777777" w:rsidR="00CB7D34" w:rsidRDefault="00637271" w:rsidP="001B420C">
      <w:pPr>
        <w:pStyle w:val="graphic"/>
        <w:sectPr w:rsidR="00CB7D34" w:rsidSect="00FC3924">
          <w:footerReference w:type="default" r:id="rId52"/>
          <w:footerReference w:type="first" r:id="rId53"/>
          <w:pgSz w:w="12240" w:h="15840" w:code="1"/>
          <w:pgMar w:top="1440" w:right="1440" w:bottom="1440" w:left="1440" w:header="720" w:footer="720" w:gutter="0"/>
          <w:cols w:space="720"/>
          <w:titlePg/>
          <w:docGrid w:linePitch="360"/>
        </w:sectPr>
      </w:pPr>
      <w:r w:rsidRPr="00637271">
        <w:rPr>
          <w:noProof/>
        </w:rPr>
        <w:lastRenderedPageBreak/>
        <w:drawing>
          <wp:anchor distT="0" distB="0" distL="114300" distR="114300" simplePos="0" relativeHeight="251682304" behindDoc="0" locked="0" layoutInCell="1" allowOverlap="1" wp14:anchorId="2AEEBC65" wp14:editId="576720AF">
            <wp:simplePos x="914400" y="914400"/>
            <wp:positionH relativeFrom="margin">
              <wp:align>center</wp:align>
            </wp:positionH>
            <wp:positionV relativeFrom="margin">
              <wp:align>center</wp:align>
            </wp:positionV>
            <wp:extent cx="6652009" cy="8485806"/>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28A0092B-C50C-407E-A947-70E740481C1C}">
                          <a14:useLocalDpi xmlns:a14="http://schemas.microsoft.com/office/drawing/2010/main" val="0"/>
                        </a:ext>
                      </a:extLst>
                    </a:blip>
                    <a:stretch>
                      <a:fillRect/>
                    </a:stretch>
                  </pic:blipFill>
                  <pic:spPr>
                    <a:xfrm>
                      <a:off x="0" y="0"/>
                      <a:ext cx="6652009" cy="8485806"/>
                    </a:xfrm>
                    <a:prstGeom prst="rect">
                      <a:avLst/>
                    </a:prstGeom>
                  </pic:spPr>
                </pic:pic>
              </a:graphicData>
            </a:graphic>
          </wp:anchor>
        </w:drawing>
      </w:r>
    </w:p>
    <w:p w14:paraId="1F3F37EA" w14:textId="7D3E0D9D" w:rsidR="001C2CAB" w:rsidRPr="00B7066A" w:rsidRDefault="001C2CAB" w:rsidP="005B403F">
      <w:pPr>
        <w:pStyle w:val="Appendix"/>
      </w:pPr>
      <w:r w:rsidRPr="00B7066A">
        <w:lastRenderedPageBreak/>
        <w:t>Appendix</w:t>
      </w:r>
      <w:r>
        <w:t xml:space="preserve"> D</w:t>
      </w:r>
      <w:r w:rsidRPr="00B7066A">
        <w:t xml:space="preserve"> </w:t>
      </w:r>
    </w:p>
    <w:p w14:paraId="7C85772C" w14:textId="134A0749" w:rsidR="004C0E67" w:rsidRDefault="00A15545" w:rsidP="005F4962">
      <w:pPr>
        <w:pStyle w:val="AppendixTitle"/>
      </w:pPr>
      <w:bookmarkStart w:id="150" w:name="_Toc236837858"/>
      <w:r>
        <w:t>Pre</w:t>
      </w:r>
      <w:r w:rsidR="00FC5A53">
        <w:t>e</w:t>
      </w:r>
      <w:r>
        <w:t>mptive Power Shutoff</w:t>
      </w:r>
      <w:bookmarkEnd w:id="150"/>
      <w:r w:rsidR="004C0E67">
        <w:t xml:space="preserve"> </w:t>
      </w:r>
    </w:p>
    <w:p w14:paraId="3EF57A98" w14:textId="77777777" w:rsidR="00CB7D34" w:rsidRDefault="004C0E67" w:rsidP="0054550A">
      <w:pPr>
        <w:pStyle w:val="AppendixTitle"/>
      </w:pPr>
      <w:bookmarkStart w:id="151" w:name="_Toc236837859"/>
      <w:r>
        <w:t>Standard Operating Procedure</w:t>
      </w:r>
      <w:bookmarkEnd w:id="151"/>
    </w:p>
    <w:p w14:paraId="6A6CDE13" w14:textId="77777777" w:rsidR="00CB7D34" w:rsidRDefault="00E66AF5" w:rsidP="00CB7D34">
      <w:pPr>
        <w:sectPr w:rsidR="00CB7D34" w:rsidSect="00FC3924">
          <w:pgSz w:w="12240" w:h="15840" w:code="1"/>
          <w:pgMar w:top="1440" w:right="1440" w:bottom="1440" w:left="1440" w:header="720" w:footer="720" w:gutter="0"/>
          <w:cols w:space="720"/>
          <w:titlePg/>
          <w:docGrid w:linePitch="360"/>
        </w:sectPr>
      </w:pPr>
      <w:r>
        <w:br w:type="page"/>
      </w:r>
    </w:p>
    <w:p w14:paraId="77D0CED2" w14:textId="284076F8" w:rsidR="00DD1798" w:rsidRPr="00B25EAB" w:rsidRDefault="00DD1798" w:rsidP="00DD1798">
      <w:pPr>
        <w:jc w:val="center"/>
        <w:rPr>
          <w:rFonts w:ascii="Calibri" w:hAnsi="Calibri" w:cs="Calibri"/>
          <w:b/>
          <w:i/>
          <w:sz w:val="48"/>
          <w:szCs w:val="48"/>
        </w:rPr>
      </w:pPr>
      <w:r>
        <w:rPr>
          <w:rFonts w:ascii="Calibri" w:hAnsi="Calibri" w:cs="Calibri"/>
          <w:b/>
          <w:i/>
          <w:noProof/>
          <w:color w:val="0027A2"/>
          <w:sz w:val="56"/>
          <w:szCs w:val="56"/>
        </w:rPr>
        <w:lastRenderedPageBreak/>
        <w:drawing>
          <wp:inline distT="0" distB="0" distL="0" distR="0" wp14:anchorId="462796CB" wp14:editId="1E2697FB">
            <wp:extent cx="4333240" cy="1030605"/>
            <wp:effectExtent l="0" t="0" r="0" b="0"/>
            <wp:docPr id="42123890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333240" cy="1030605"/>
                    </a:xfrm>
                    <a:prstGeom prst="rect">
                      <a:avLst/>
                    </a:prstGeom>
                    <a:noFill/>
                    <a:ln>
                      <a:noFill/>
                    </a:ln>
                  </pic:spPr>
                </pic:pic>
              </a:graphicData>
            </a:graphic>
          </wp:inline>
        </w:drawing>
      </w:r>
    </w:p>
    <w:p w14:paraId="209B4FC4" w14:textId="60F56FED" w:rsidR="00DD1798" w:rsidRPr="00A96DC5" w:rsidRDefault="00DD1798" w:rsidP="005F4962">
      <w:pPr>
        <w:pStyle w:val="Title"/>
      </w:pPr>
      <w:r w:rsidRPr="00A96DC5">
        <w:t>Preemptive Power Shutoff (PPS)</w:t>
      </w:r>
    </w:p>
    <w:p w14:paraId="014FE740" w14:textId="77777777" w:rsidR="00DD1798" w:rsidRPr="0006019E" w:rsidRDefault="00DD1798" w:rsidP="00DD1798">
      <w:pPr>
        <w:jc w:val="both"/>
        <w:rPr>
          <w:rFonts w:ascii="Arial Black" w:hAnsi="Arial Black"/>
          <w:sz w:val="28"/>
        </w:rPr>
      </w:pPr>
      <w:r>
        <w:rPr>
          <w:rFonts w:ascii="Arial Black" w:hAnsi="Arial Black"/>
          <w:sz w:val="28"/>
        </w:rPr>
        <w:t>_________________________________________________________________</w:t>
      </w:r>
    </w:p>
    <w:p w14:paraId="20738783" w14:textId="3B3F6D7E" w:rsidR="00DD1798" w:rsidRPr="000A05F6" w:rsidRDefault="00A833F4" w:rsidP="005B403F">
      <w:pPr>
        <w:pStyle w:val="Appendices-Heading1"/>
      </w:pPr>
      <w:r>
        <w:t xml:space="preserve">A. </w:t>
      </w:r>
      <w:r w:rsidR="00DD1798" w:rsidRPr="000A05F6">
        <w:t>Purpose and Overview</w:t>
      </w:r>
    </w:p>
    <w:p w14:paraId="0B226E75" w14:textId="10C60A1C" w:rsidR="00DD1798" w:rsidRPr="000A05F6" w:rsidRDefault="00DD1798" w:rsidP="00E66AF5">
      <w:pPr>
        <w:pStyle w:val="BodyText"/>
      </w:pPr>
      <w:r w:rsidRPr="000A05F6">
        <w:t xml:space="preserve">This Standard Operating Procedure, effective </w:t>
      </w:r>
      <w:r>
        <w:t>07/02/2025</w:t>
      </w:r>
      <w:r w:rsidRPr="000A05F6">
        <w:t>, outlines the Truckee Donner Public Utility District (TDPUD) operational framework for implementing Preemptive Power Shutoffs (PPS). PPS will be employed only as a last resort, when all other mitigation measures are deemed insufficient to protect the public from significant risks posed by TDPUD facilities if not de-energized. These risks may include, but are not limited to, wildfire ignition, public safety hazards, or threats to critical infrastructure.</w:t>
      </w:r>
    </w:p>
    <w:p w14:paraId="42F42504" w14:textId="77777777" w:rsidR="00DD1798" w:rsidRPr="000A05F6" w:rsidRDefault="00DD1798" w:rsidP="00E66AF5">
      <w:pPr>
        <w:pStyle w:val="BodyText"/>
      </w:pPr>
      <w:r w:rsidRPr="000A05F6">
        <w:t>By temporarily de-energizing specific portions of the electric distribution system under defined environmental and operational conditions, TDPUD aims to protect public safety, preserve critical infrastructure, and support emergency response efforts. This procedure establishes the criteria, roles, responsibilities, and communication protocols necessary to execute a controlled and coordinated de-energization and restoration process.</w:t>
      </w:r>
    </w:p>
    <w:p w14:paraId="2B3CF23B" w14:textId="77777777" w:rsidR="00DD1798" w:rsidRPr="000A05F6" w:rsidRDefault="00DD1798" w:rsidP="00E66AF5">
      <w:pPr>
        <w:pStyle w:val="BodyText"/>
      </w:pPr>
      <w:r w:rsidRPr="000A05F6">
        <w:t>PPS events are initiated based on real-time weather data, field observations, system conditions, and risk assessments, in conjunction with input from internal operations staff, fire agencies, and emergency management partners. Restoration of power will be conducted as safely and swiftly as conditions allow, following thorough inspections to verify system integrity and safety.</w:t>
      </w:r>
    </w:p>
    <w:p w14:paraId="5C258ADD" w14:textId="77777777" w:rsidR="00DD1798" w:rsidRPr="000A05F6" w:rsidRDefault="00DD1798" w:rsidP="00E66AF5">
      <w:pPr>
        <w:pStyle w:val="BodyText"/>
      </w:pPr>
      <w:r w:rsidRPr="000A05F6">
        <w:t>During a Preemptive Power Shutoff (PPS) event, the Water Department plays a critical role in maintaining essential services by ensuring continuous access to safe and reliable water. Emergency generators are already installed at key pumping and treatment facilities and are tested regularly to ensure operational readiness. In advance of anticipated shutoffs, water storage tanks will be verified and filled to maximum capacity to ensure an adequate supply is available throughout the duration of the event. These preparedness measures help safeguard public health, support firefighting efforts, and strengthen the community’s resilience during power outages.</w:t>
      </w:r>
    </w:p>
    <w:p w14:paraId="274D1A6D" w14:textId="77777777" w:rsidR="00DD1798" w:rsidRPr="000A05F6" w:rsidRDefault="00DD1798" w:rsidP="00E66AF5">
      <w:pPr>
        <w:pStyle w:val="BodyText"/>
      </w:pPr>
      <w:r w:rsidRPr="000A05F6">
        <w:t>This SOP is intended to ensure a consistent and transparent approach to PPS decision-making, with a focus on public safety, interagency coordination, and customer awareness.</w:t>
      </w:r>
    </w:p>
    <w:p w14:paraId="268A75DC" w14:textId="52CE44C8" w:rsidR="00DD1798" w:rsidRPr="000A05F6" w:rsidRDefault="00A833F4" w:rsidP="005B403F">
      <w:pPr>
        <w:pStyle w:val="Appendices-Heading1"/>
      </w:pPr>
      <w:r>
        <w:lastRenderedPageBreak/>
        <w:t xml:space="preserve">B. </w:t>
      </w:r>
      <w:r w:rsidR="00DD1798" w:rsidRPr="000A05F6">
        <w:t>Roles and Responsibilities</w:t>
      </w:r>
    </w:p>
    <w:p w14:paraId="28D84F9E" w14:textId="187E8D1F" w:rsidR="00DD1798" w:rsidRPr="00A96DC5" w:rsidRDefault="00DD1798" w:rsidP="00E66AF5">
      <w:pPr>
        <w:pStyle w:val="BodyText"/>
      </w:pPr>
      <w:r w:rsidRPr="00A96DC5">
        <w:t>During a Preemptive Power Shutoff (PPS) event, TDPUD will utilize the Incident Command System (ICS) structure to manage and coordinate response efforts. An Incident Commander (IC) will be designated to lead the overall event response. Supporting ICS roles will include an Operations Section Chief to oversee field activities</w:t>
      </w:r>
      <w:r w:rsidR="00B505F4">
        <w:t xml:space="preserve"> and</w:t>
      </w:r>
      <w:r w:rsidR="00B505F4" w:rsidRPr="00A96DC5">
        <w:t xml:space="preserve"> </w:t>
      </w:r>
      <w:r w:rsidRPr="00A96DC5">
        <w:t>a Planning Section Chief to manage situational awareness, coordinate the de-energization process, and establish restoration priorities. A Logistics Section Chief will coordinate resources and operational support, while a Finance/Administration Section Chief will be responsible for cost tracking, timekeeping, and documentation. A Public Information Officer (PIO), Safety Officer, and Liaison Officer will also be assigned to ensure effective communication, regulatory compliance, and coordination with external stakeholders. Additional personnel may be assigned to ICS roles</w:t>
      </w:r>
      <w:r w:rsidR="00B505F4">
        <w:t>,</w:t>
      </w:r>
      <w:r w:rsidRPr="00A96DC5">
        <w:t xml:space="preserve"> as necessary</w:t>
      </w:r>
      <w:r w:rsidR="00B505F4">
        <w:t>,</w:t>
      </w:r>
      <w:r w:rsidRPr="00A96DC5">
        <w:t xml:space="preserve"> to support a scalable and efficient response.</w:t>
      </w:r>
    </w:p>
    <w:p w14:paraId="52D49E09" w14:textId="48BB642B" w:rsidR="00A833F4" w:rsidRPr="00E66AF5" w:rsidRDefault="00DD1798" w:rsidP="005B403F">
      <w:pPr>
        <w:pStyle w:val="Appendices-Heading2"/>
      </w:pPr>
      <w:r w:rsidRPr="00A96DC5">
        <w:t>Incident Commander</w:t>
      </w:r>
    </w:p>
    <w:p w14:paraId="13B71F93" w14:textId="3E36AE97" w:rsidR="00DD1798" w:rsidRPr="00A96DC5" w:rsidRDefault="00DD1798" w:rsidP="00E66AF5">
      <w:pPr>
        <w:pStyle w:val="BodyText"/>
      </w:pPr>
      <w:r w:rsidRPr="00A96DC5">
        <w:t>The Incident Commander (IC) provides strategic oversight and leads TDPUD’s response during a PPS event, ensuring coordination across all ICS functions and alignment with District objectives. Responsibilities include:</w:t>
      </w:r>
    </w:p>
    <w:p w14:paraId="734308E4" w14:textId="77777777" w:rsidR="00DD1798" w:rsidRPr="00A96DC5" w:rsidRDefault="00DD1798" w:rsidP="00E66AF5">
      <w:pPr>
        <w:pStyle w:val="BulletList"/>
      </w:pPr>
      <w:r w:rsidRPr="00A96DC5">
        <w:t>Maintaining situational awareness of weather and fire risk conditions that may necessitate a PPS</w:t>
      </w:r>
    </w:p>
    <w:p w14:paraId="6DB8FF66" w14:textId="77777777" w:rsidR="00DD1798" w:rsidRPr="00A96DC5" w:rsidRDefault="00DD1798" w:rsidP="00E66AF5">
      <w:pPr>
        <w:pStyle w:val="BulletList"/>
      </w:pPr>
      <w:r w:rsidRPr="00A96DC5">
        <w:t>Initiating PPS protocols when defined triggers are met, and informing Command and General Staff to support decision-making</w:t>
      </w:r>
    </w:p>
    <w:p w14:paraId="6D2ACD89" w14:textId="77777777" w:rsidR="00DD1798" w:rsidRPr="00A96DC5" w:rsidRDefault="00DD1798" w:rsidP="00E66AF5">
      <w:pPr>
        <w:pStyle w:val="BulletList"/>
      </w:pPr>
      <w:r w:rsidRPr="00A96DC5">
        <w:t>Approving and overseeing system de-energization and restoration activities based on input from the Operations and Planning Section Chiefs, and in consultation with the Weather and Risk Intelligence Consultant</w:t>
      </w:r>
    </w:p>
    <w:p w14:paraId="4BEF33CC" w14:textId="77777777" w:rsidR="00E66AF5" w:rsidRDefault="00DD1798" w:rsidP="00E66AF5">
      <w:pPr>
        <w:pStyle w:val="BulletList"/>
      </w:pPr>
      <w:r w:rsidRPr="00A96DC5">
        <w:t>Ensuring alignment with District</w:t>
      </w:r>
      <w:r w:rsidR="004977A9">
        <w:t>-wide</w:t>
      </w:r>
      <w:r w:rsidRPr="00A96DC5">
        <w:t xml:space="preserve"> safety, regulatory, and customer service objectives</w:t>
      </w:r>
    </w:p>
    <w:p w14:paraId="1E1BE6C0" w14:textId="4A481F8D" w:rsidR="00DD1798" w:rsidRPr="00A96DC5" w:rsidRDefault="00DD1798" w:rsidP="00E66AF5">
      <w:pPr>
        <w:pStyle w:val="BulletList"/>
      </w:pPr>
      <w:r w:rsidRPr="00A96DC5">
        <w:t>Supporting high-level internal and external communications in coordination with the Public Information Officer (PIO)</w:t>
      </w:r>
    </w:p>
    <w:p w14:paraId="2F700F78" w14:textId="5F45E6B3" w:rsidR="00DD1798" w:rsidRPr="00A96DC5" w:rsidRDefault="00DD1798" w:rsidP="00E66AF5">
      <w:pPr>
        <w:pStyle w:val="BulletList"/>
      </w:pPr>
      <w:r w:rsidRPr="00A96DC5">
        <w:t>Coordinating with Section Chiefs and Command Staff to ensure an effective and unified</w:t>
      </w:r>
      <w:r w:rsidR="00E66AF5">
        <w:t> </w:t>
      </w:r>
      <w:r w:rsidRPr="00A96DC5">
        <w:t>response</w:t>
      </w:r>
    </w:p>
    <w:p w14:paraId="790E3F83" w14:textId="77777777" w:rsidR="00DD1798" w:rsidRPr="00A96DC5" w:rsidRDefault="00DD1798" w:rsidP="00E66AF5">
      <w:pPr>
        <w:pStyle w:val="BulletList"/>
      </w:pPr>
      <w:r w:rsidRPr="00A96DC5">
        <w:t>Reviewing and endorsing post-event reports, corrective actions, and continuous improvement efforts</w:t>
      </w:r>
    </w:p>
    <w:p w14:paraId="32A78B63" w14:textId="77777777" w:rsidR="00DD1798" w:rsidRPr="00A96DC5" w:rsidRDefault="00DD1798" w:rsidP="00E66AF5">
      <w:pPr>
        <w:pStyle w:val="BulletList"/>
      </w:pPr>
      <w:r w:rsidRPr="00A96DC5">
        <w:t>Serving as the primary point of contact for all system-level decisions during a PPS event</w:t>
      </w:r>
    </w:p>
    <w:p w14:paraId="508EC2C2" w14:textId="77777777" w:rsidR="00A833F4" w:rsidRDefault="00DD1798" w:rsidP="005B403F">
      <w:pPr>
        <w:pStyle w:val="Appendices-Heading2"/>
      </w:pPr>
      <w:r w:rsidRPr="00A96DC5">
        <w:t>Public Information Officer (PIO)</w:t>
      </w:r>
    </w:p>
    <w:p w14:paraId="3B11F583" w14:textId="60B5E84D" w:rsidR="00DD1798" w:rsidRPr="00A96DC5" w:rsidRDefault="00DD1798" w:rsidP="00E66AF5">
      <w:pPr>
        <w:pStyle w:val="BodyText"/>
      </w:pPr>
      <w:r w:rsidRPr="00A96DC5">
        <w:t xml:space="preserve">Reporting to the Incident Commander (IC), </w:t>
      </w:r>
      <w:r>
        <w:t>t</w:t>
      </w:r>
      <w:r w:rsidRPr="00A96DC5">
        <w:t>he Public Information Officer (PIO) oversees external communications and strategic coordination with stakeholders throughout the PPS event. Responsibilities include:</w:t>
      </w:r>
    </w:p>
    <w:p w14:paraId="3B04674D" w14:textId="77777777" w:rsidR="00DD1798" w:rsidRPr="00A96DC5" w:rsidRDefault="00DD1798" w:rsidP="00E66AF5">
      <w:pPr>
        <w:pStyle w:val="BulletList"/>
      </w:pPr>
      <w:r w:rsidRPr="00A96DC5">
        <w:t>Coordinating logistics and support for Community Resource Centers (CRCs) and related community outreach efforts in collaboration with the Logistics Section Chief</w:t>
      </w:r>
    </w:p>
    <w:p w14:paraId="171555B1" w14:textId="77777777" w:rsidR="00E66AF5" w:rsidRDefault="00DD1798" w:rsidP="00E66AF5">
      <w:pPr>
        <w:pStyle w:val="BulletList"/>
      </w:pPr>
      <w:r w:rsidRPr="00A96DC5">
        <w:t>Organizing and delivering community briefings and public updates</w:t>
      </w:r>
    </w:p>
    <w:p w14:paraId="32FBBE1B" w14:textId="7271E970" w:rsidR="00DD1798" w:rsidRPr="00A96DC5" w:rsidRDefault="00DD1798" w:rsidP="00E66AF5">
      <w:pPr>
        <w:pStyle w:val="BulletList"/>
      </w:pPr>
      <w:r w:rsidRPr="00A96DC5">
        <w:lastRenderedPageBreak/>
        <w:t>Ensuring local leaders, organizations, and stakeholders are kept informed with timely and accurate information</w:t>
      </w:r>
    </w:p>
    <w:p w14:paraId="7EB8D012" w14:textId="77777777" w:rsidR="00DD1798" w:rsidRPr="00A96DC5" w:rsidRDefault="00DD1798" w:rsidP="00E66AF5">
      <w:pPr>
        <w:pStyle w:val="BulletList"/>
      </w:pPr>
      <w:r w:rsidRPr="00A96DC5">
        <w:t>Working directly with community leaders to provide situational updates and ensure alignment of messaging</w:t>
      </w:r>
    </w:p>
    <w:p w14:paraId="13134092" w14:textId="77777777" w:rsidR="00DD1798" w:rsidRPr="00A96DC5" w:rsidRDefault="00DD1798" w:rsidP="00E66AF5">
      <w:pPr>
        <w:pStyle w:val="BulletList"/>
      </w:pPr>
      <w:r w:rsidRPr="00A96DC5">
        <w:t>Leading the public and media communications strategy, including content development and dissemination</w:t>
      </w:r>
    </w:p>
    <w:p w14:paraId="64A0E898" w14:textId="77777777" w:rsidR="00DD1798" w:rsidRPr="00A96DC5" w:rsidRDefault="00DD1798" w:rsidP="00E66AF5">
      <w:pPr>
        <w:pStyle w:val="BulletList"/>
      </w:pPr>
      <w:r w:rsidRPr="00A96DC5">
        <w:t>Coordinating closely with the Incident Commander, Operations and Planning Section Chiefs, and Liaison Officer to ensure message consistency</w:t>
      </w:r>
    </w:p>
    <w:p w14:paraId="0C07FAF8" w14:textId="21154F90" w:rsidR="00DD1798" w:rsidRPr="00A96DC5" w:rsidRDefault="00DD1798" w:rsidP="00E66AF5">
      <w:pPr>
        <w:pStyle w:val="BulletList"/>
      </w:pPr>
      <w:r w:rsidRPr="00A96DC5">
        <w:t>Managing official communications with local, regional, and regulatory stakeholders</w:t>
      </w:r>
      <w:r w:rsidR="00B505F4">
        <w:t>,</w:t>
      </w:r>
      <w:r w:rsidRPr="00A96DC5">
        <w:t xml:space="preserve"> as</w:t>
      </w:r>
      <w:r w:rsidR="00E66AF5">
        <w:t> </w:t>
      </w:r>
      <w:r w:rsidRPr="00A96DC5">
        <w:t>appropriate</w:t>
      </w:r>
    </w:p>
    <w:p w14:paraId="2933B737" w14:textId="77777777" w:rsidR="00DD1798" w:rsidRPr="00A96DC5" w:rsidRDefault="00DD1798" w:rsidP="00E66AF5">
      <w:pPr>
        <w:pStyle w:val="BulletList"/>
      </w:pPr>
      <w:r w:rsidRPr="00A96DC5">
        <w:t>Ensuring that communication records, updates, and reports are documented and archived for internal review and external compliance</w:t>
      </w:r>
    </w:p>
    <w:p w14:paraId="6CD121F1" w14:textId="77777777" w:rsidR="00A833F4" w:rsidRDefault="00DD1798" w:rsidP="005B403F">
      <w:pPr>
        <w:pStyle w:val="Appendices-Heading2"/>
      </w:pPr>
      <w:r w:rsidRPr="00A96DC5">
        <w:t>Communications Unit Leader</w:t>
      </w:r>
    </w:p>
    <w:p w14:paraId="2004615B" w14:textId="28851F46" w:rsidR="00DD1798" w:rsidRPr="00A96DC5" w:rsidRDefault="00DD1798" w:rsidP="00E66AF5">
      <w:pPr>
        <w:pStyle w:val="BodyText"/>
      </w:pPr>
      <w:r w:rsidRPr="00A96DC5">
        <w:t>Reporting to the Public Information Officer (PIO), the Communications Unit Leader is responsible for supporting the development and dissemination of information to the public, customers, and media during all phases of a PPS event. Responsibilities include:</w:t>
      </w:r>
    </w:p>
    <w:p w14:paraId="6317AE22" w14:textId="77777777" w:rsidR="00DD1798" w:rsidRPr="00E66AF5" w:rsidRDefault="00DD1798" w:rsidP="00E66AF5">
      <w:pPr>
        <w:pStyle w:val="BulletList"/>
      </w:pPr>
      <w:r w:rsidRPr="00E66AF5">
        <w:t>Drafting public messages, alerts, and updates for review and approval by the PIO</w:t>
      </w:r>
    </w:p>
    <w:p w14:paraId="1E803288" w14:textId="77777777" w:rsidR="00DD1798" w:rsidRPr="00E66AF5" w:rsidRDefault="00DD1798" w:rsidP="00E66AF5">
      <w:pPr>
        <w:pStyle w:val="BulletList"/>
      </w:pPr>
      <w:r w:rsidRPr="00E66AF5">
        <w:t>Coordinating with ICS sections to ensure consistent and accurate messaging</w:t>
      </w:r>
    </w:p>
    <w:p w14:paraId="371F5FA0" w14:textId="77777777" w:rsidR="00DD1798" w:rsidRPr="00E66AF5" w:rsidRDefault="00DD1798" w:rsidP="00E66AF5">
      <w:pPr>
        <w:pStyle w:val="BulletList"/>
      </w:pPr>
      <w:r w:rsidRPr="00E66AF5">
        <w:t>Assisting with customer notifications and community outreach efforts</w:t>
      </w:r>
    </w:p>
    <w:p w14:paraId="49A45D42" w14:textId="77777777" w:rsidR="00DD1798" w:rsidRPr="00E66AF5" w:rsidRDefault="00DD1798" w:rsidP="00E66AF5">
      <w:pPr>
        <w:pStyle w:val="BulletList"/>
      </w:pPr>
      <w:r w:rsidRPr="00E66AF5">
        <w:t>Serving as a designated spokesperson for media or public communications when assigned by the PIO</w:t>
      </w:r>
    </w:p>
    <w:p w14:paraId="419A888A" w14:textId="77777777" w:rsidR="00DD1798" w:rsidRPr="00E66AF5" w:rsidRDefault="00DD1798" w:rsidP="00E66AF5">
      <w:pPr>
        <w:pStyle w:val="BulletList"/>
      </w:pPr>
      <w:r w:rsidRPr="00E66AF5">
        <w:t>Managing digital communication platforms, including social media channels and the TDPUD website</w:t>
      </w:r>
    </w:p>
    <w:p w14:paraId="6074EE9F" w14:textId="77777777" w:rsidR="00DD1798" w:rsidRPr="00E66AF5" w:rsidRDefault="00DD1798" w:rsidP="00E66AF5">
      <w:pPr>
        <w:pStyle w:val="BulletList"/>
      </w:pPr>
      <w:r w:rsidRPr="00E66AF5">
        <w:t>Posting real-time updates and monitoring community feedback and inquiries across digital platforms</w:t>
      </w:r>
    </w:p>
    <w:p w14:paraId="00F33776" w14:textId="77777777" w:rsidR="00DD1798" w:rsidRPr="00E66AF5" w:rsidRDefault="00DD1798" w:rsidP="00E66AF5">
      <w:pPr>
        <w:pStyle w:val="BulletList"/>
      </w:pPr>
      <w:r w:rsidRPr="00E66AF5">
        <w:t>Escalating significant public questions or concerns from online sources to the PIO for response and follow-up</w:t>
      </w:r>
    </w:p>
    <w:p w14:paraId="25D50B10" w14:textId="77777777" w:rsidR="00A833F4" w:rsidRDefault="00DD1798" w:rsidP="005B403F">
      <w:pPr>
        <w:pStyle w:val="Appendices-Heading2"/>
      </w:pPr>
      <w:r w:rsidRPr="00A96DC5">
        <w:t>Safety/Liaison Officer</w:t>
      </w:r>
    </w:p>
    <w:p w14:paraId="4ECDCFD0" w14:textId="2D1EADDA" w:rsidR="00DD1798" w:rsidRPr="00A96DC5" w:rsidRDefault="00DD1798" w:rsidP="00E66AF5">
      <w:pPr>
        <w:pStyle w:val="BodyText"/>
      </w:pPr>
      <w:r w:rsidRPr="00A96DC5">
        <w:t>Reporting to the Incident Commander (IC), the Safety/Liaison Officer plays a key role in safeguarding public and employee safety, supporting wildfire risk mitigation, and ensuring effective coordination with external stakeholders. Responsibilities include:</w:t>
      </w:r>
    </w:p>
    <w:p w14:paraId="48AA4ED8" w14:textId="77777777" w:rsidR="00DD1798" w:rsidRPr="00E66AF5" w:rsidRDefault="00DD1798" w:rsidP="00E66AF5">
      <w:pPr>
        <w:pStyle w:val="BulletList"/>
      </w:pPr>
      <w:r w:rsidRPr="00E66AF5">
        <w:t>Ensuring timely notifications to public safety partners, critical infrastructure contacts, and external agencies</w:t>
      </w:r>
    </w:p>
    <w:p w14:paraId="489F8265" w14:textId="77777777" w:rsidR="00DD1798" w:rsidRPr="00E66AF5" w:rsidRDefault="00DD1798" w:rsidP="00E66AF5">
      <w:pPr>
        <w:pStyle w:val="BulletList"/>
      </w:pPr>
      <w:r w:rsidRPr="00E66AF5">
        <w:t>Monitoring compliance with internal safety protocols, regulatory requirements, and documentation standards</w:t>
      </w:r>
    </w:p>
    <w:p w14:paraId="2A5A32EF" w14:textId="77777777" w:rsidR="00DD1798" w:rsidRPr="00E66AF5" w:rsidRDefault="00DD1798" w:rsidP="00E66AF5">
      <w:pPr>
        <w:pStyle w:val="BulletList"/>
      </w:pPr>
      <w:r w:rsidRPr="00E66AF5">
        <w:t>Identifying and communicating operational risks, safety concerns, or stakeholder issues to the Incident Commander and Public Information Officer (PIO)</w:t>
      </w:r>
    </w:p>
    <w:p w14:paraId="6160D749" w14:textId="77777777" w:rsidR="00DD1798" w:rsidRPr="00E66AF5" w:rsidRDefault="00DD1798" w:rsidP="008238A1">
      <w:pPr>
        <w:pStyle w:val="BulletList"/>
      </w:pPr>
      <w:r w:rsidRPr="00E66AF5">
        <w:t>Supporting initiatives that protect the health and safety of employees, the public, and response personnel during PPS events</w:t>
      </w:r>
    </w:p>
    <w:p w14:paraId="5B2FEAE7" w14:textId="77777777" w:rsidR="00DD1798" w:rsidRPr="00A96DC5" w:rsidRDefault="00DD1798" w:rsidP="008238A1">
      <w:pPr>
        <w:pStyle w:val="BulletListFinal"/>
      </w:pPr>
      <w:r w:rsidRPr="00A96DC5">
        <w:lastRenderedPageBreak/>
        <w:t xml:space="preserve">Maintaining and updating risk and compliance contact lists, distribution records, and coordination protocols. </w:t>
      </w:r>
    </w:p>
    <w:p w14:paraId="54A6C7F7" w14:textId="77777777" w:rsidR="00A833F4" w:rsidRDefault="00DD1798" w:rsidP="005B403F">
      <w:pPr>
        <w:pStyle w:val="Appendices-Heading2"/>
      </w:pPr>
      <w:r w:rsidRPr="00A96DC5">
        <w:t>Operations Section Chief</w:t>
      </w:r>
    </w:p>
    <w:p w14:paraId="16C32A05" w14:textId="1D9443AE" w:rsidR="00DD1798" w:rsidRPr="00A96DC5" w:rsidRDefault="00DD1798" w:rsidP="00E66AF5">
      <w:pPr>
        <w:pStyle w:val="BodyText"/>
      </w:pPr>
      <w:r w:rsidRPr="00A96DC5">
        <w:t>Reporting to the Incident Commander (IC), the Operations Section Chief is responsible for managing and directing all tactical field operations during a PPS event, including electric and water system operations. This role ensures real-time coordination between field crews, system operators, and support personnel to safely execute de-energization, maintain essential services, and carry out restoration activities. Responsibilities include:</w:t>
      </w:r>
    </w:p>
    <w:p w14:paraId="582FC567" w14:textId="77777777" w:rsidR="00DD1798" w:rsidRPr="00A96DC5" w:rsidRDefault="00DD1798" w:rsidP="00E66AF5">
      <w:pPr>
        <w:pStyle w:val="BulletList"/>
      </w:pPr>
      <w:r w:rsidRPr="00A96DC5">
        <w:t>Monitoring weather and fire risk conditions to support informed operational decisions</w:t>
      </w:r>
    </w:p>
    <w:p w14:paraId="3BB4D41D" w14:textId="306284AE" w:rsidR="00DD1798" w:rsidRPr="008238A1" w:rsidRDefault="00DD1798" w:rsidP="008238A1">
      <w:pPr>
        <w:pStyle w:val="BulletList"/>
      </w:pPr>
      <w:r w:rsidRPr="00A96DC5">
        <w:t xml:space="preserve">Overseeing </w:t>
      </w:r>
      <w:r w:rsidRPr="008238A1">
        <w:t>system-wide de-energization and restoration efforts across electric and water</w:t>
      </w:r>
      <w:r w:rsidR="00E66AF5" w:rsidRPr="008238A1">
        <w:t> </w:t>
      </w:r>
      <w:r w:rsidRPr="008238A1">
        <w:t>infrastructure</w:t>
      </w:r>
    </w:p>
    <w:p w14:paraId="233A3241" w14:textId="77777777" w:rsidR="00DD1798" w:rsidRPr="008238A1" w:rsidRDefault="00DD1798" w:rsidP="008238A1">
      <w:pPr>
        <w:pStyle w:val="BulletList"/>
      </w:pPr>
      <w:r w:rsidRPr="008238A1">
        <w:t>Updating and maintaining the Outage Management System (OMS) with accurate system status and restoration information</w:t>
      </w:r>
    </w:p>
    <w:p w14:paraId="0AA6B9AA" w14:textId="506CEED3" w:rsidR="00DD1798" w:rsidRPr="008238A1" w:rsidRDefault="00DD1798" w:rsidP="008238A1">
      <w:pPr>
        <w:pStyle w:val="BulletList"/>
      </w:pPr>
      <w:r w:rsidRPr="008238A1">
        <w:t xml:space="preserve">Initiating patrols and step restoration protocols following an </w:t>
      </w:r>
      <w:r w:rsidR="00B505F4" w:rsidRPr="008238A1">
        <w:t>“</w:t>
      </w:r>
      <w:r w:rsidRPr="008238A1">
        <w:t>all clear</w:t>
      </w:r>
      <w:r w:rsidR="00B505F4" w:rsidRPr="008238A1">
        <w:t>”</w:t>
      </w:r>
      <w:r w:rsidRPr="008238A1">
        <w:t xml:space="preserve"> determination</w:t>
      </w:r>
    </w:p>
    <w:p w14:paraId="392D5E43" w14:textId="77777777" w:rsidR="00DD1798" w:rsidRPr="008238A1" w:rsidRDefault="00DD1798" w:rsidP="008238A1">
      <w:pPr>
        <w:pStyle w:val="BulletList"/>
      </w:pPr>
      <w:r w:rsidRPr="008238A1">
        <w:t>Ensuring accurate and timely updates to the Outage Management System (OMS)</w:t>
      </w:r>
    </w:p>
    <w:p w14:paraId="1C861053" w14:textId="77777777" w:rsidR="00DD1798" w:rsidRPr="008238A1" w:rsidRDefault="00DD1798" w:rsidP="008238A1">
      <w:pPr>
        <w:pStyle w:val="BulletList"/>
      </w:pPr>
      <w:r w:rsidRPr="008238A1">
        <w:t>Directing electric and water field crews to support system stability, hazard mitigation, and restoration priorities</w:t>
      </w:r>
    </w:p>
    <w:p w14:paraId="5E2D0DC7" w14:textId="77777777" w:rsidR="00DD1798" w:rsidRPr="008238A1" w:rsidRDefault="00DD1798" w:rsidP="008238A1">
      <w:pPr>
        <w:pStyle w:val="BulletList"/>
      </w:pPr>
      <w:r w:rsidRPr="008238A1">
        <w:t>Identifying impacted circuits, service areas, and customer groups for both electric and water systems</w:t>
      </w:r>
    </w:p>
    <w:p w14:paraId="01766C08" w14:textId="77777777" w:rsidR="00DD1798" w:rsidRPr="008238A1" w:rsidRDefault="00DD1798" w:rsidP="008238A1">
      <w:pPr>
        <w:pStyle w:val="BulletList"/>
      </w:pPr>
      <w:r w:rsidRPr="008238A1">
        <w:t>Coordinating with the Planning Section Chief to align field operations with restoration strategies and resource planning</w:t>
      </w:r>
    </w:p>
    <w:p w14:paraId="371B0F20" w14:textId="77777777" w:rsidR="00DD1798" w:rsidRPr="008238A1" w:rsidRDefault="00DD1798" w:rsidP="008238A1">
      <w:pPr>
        <w:pStyle w:val="BulletList"/>
      </w:pPr>
      <w:r w:rsidRPr="008238A1">
        <w:t>Communicating operational status, field conditions, and system needs to the Incident Commander and Command Staff</w:t>
      </w:r>
    </w:p>
    <w:p w14:paraId="24201C83" w14:textId="77777777" w:rsidR="00DD1798" w:rsidRPr="008238A1" w:rsidRDefault="00DD1798" w:rsidP="008238A1">
      <w:pPr>
        <w:pStyle w:val="BulletList"/>
      </w:pPr>
      <w:r w:rsidRPr="008238A1">
        <w:t>Ensuring water system continuity by maintaining pressure and supply, supported by emergency generation</w:t>
      </w:r>
    </w:p>
    <w:p w14:paraId="7EF2A361" w14:textId="77777777" w:rsidR="00DD1798" w:rsidRPr="008238A1" w:rsidRDefault="00DD1798" w:rsidP="00D15A98">
      <w:pPr>
        <w:pStyle w:val="BulletList"/>
      </w:pPr>
      <w:r w:rsidRPr="008238A1">
        <w:t xml:space="preserve">Deploying water personnel and resources to assist with field logistics, hazard identification, and cross-functional restoration activities </w:t>
      </w:r>
    </w:p>
    <w:p w14:paraId="3D72BF9E" w14:textId="77777777" w:rsidR="00DD1798" w:rsidRPr="00A96DC5" w:rsidRDefault="00DD1798" w:rsidP="00D15A98">
      <w:pPr>
        <w:pStyle w:val="BulletListFinal"/>
      </w:pPr>
      <w:r w:rsidRPr="00A96DC5">
        <w:t>Working with the Logistics Section to provide vehicles, equipment, and other material support, and to ensure continued access to and functionality of critical infrastructure throughout all phases of the PPS event</w:t>
      </w:r>
    </w:p>
    <w:p w14:paraId="5BABDAC7" w14:textId="77777777" w:rsidR="00A833F4" w:rsidRDefault="00DD1798" w:rsidP="005B403F">
      <w:pPr>
        <w:pStyle w:val="Appendices-Heading2"/>
      </w:pPr>
      <w:r w:rsidRPr="00A96DC5">
        <w:t>Planning Section Chief</w:t>
      </w:r>
    </w:p>
    <w:p w14:paraId="4F5EEA0A" w14:textId="4E88C181" w:rsidR="00DD1798" w:rsidRPr="00A96DC5" w:rsidRDefault="00DD1798" w:rsidP="00E66AF5">
      <w:pPr>
        <w:pStyle w:val="BodyText"/>
      </w:pPr>
      <w:r w:rsidRPr="00A96DC5">
        <w:t>Reporting to the Incident Commander (IC), the Planning Section Chief is responsible for situational analysis, strategic planning, and coordination of restoration priorities for both electric and water systems during a PPS event. This role ensures that engineering data, system assessments, and operational intelligence are used to guide safe and effective decision-making. Responsibilities include:</w:t>
      </w:r>
    </w:p>
    <w:p w14:paraId="074569F0" w14:textId="77777777" w:rsidR="00DD1798" w:rsidRPr="00A96DC5" w:rsidRDefault="00DD1798" w:rsidP="00E66AF5">
      <w:pPr>
        <w:pStyle w:val="BulletList"/>
      </w:pPr>
      <w:r w:rsidRPr="00A96DC5">
        <w:t>Monitoring weather and fire risk conditions and supporting PPS initiation when defined triggers are met</w:t>
      </w:r>
    </w:p>
    <w:p w14:paraId="0CFDC9AC" w14:textId="77777777" w:rsidR="00DD1798" w:rsidRPr="00A96DC5" w:rsidRDefault="00DD1798" w:rsidP="00E66AF5">
      <w:pPr>
        <w:pStyle w:val="BulletList"/>
      </w:pPr>
      <w:r w:rsidRPr="00A96DC5">
        <w:t>Analyzing and defining impacted areas using system data, weather intelligence, and fire risk indicators</w:t>
      </w:r>
    </w:p>
    <w:p w14:paraId="7F2E88C6" w14:textId="77777777" w:rsidR="00DD1798" w:rsidRPr="00D15A98" w:rsidRDefault="00DD1798" w:rsidP="00D15A98">
      <w:pPr>
        <w:pStyle w:val="BulletList"/>
      </w:pPr>
      <w:r w:rsidRPr="00D15A98">
        <w:lastRenderedPageBreak/>
        <w:t>Coordinating with the Operations Section Chief to align field activities with engineering and restoration priorities</w:t>
      </w:r>
    </w:p>
    <w:p w14:paraId="37420419" w14:textId="3668740D" w:rsidR="00DD1798" w:rsidRPr="00D15A98" w:rsidRDefault="00DD1798" w:rsidP="00D15A98">
      <w:pPr>
        <w:pStyle w:val="BulletList"/>
      </w:pPr>
      <w:r w:rsidRPr="00D15A98">
        <w:t xml:space="preserve">Supporting the initiation of patrol and step restoration activities following the issuance of an </w:t>
      </w:r>
      <w:r w:rsidR="00B505F4" w:rsidRPr="00D15A98">
        <w:t>“</w:t>
      </w:r>
      <w:r w:rsidRPr="00D15A98">
        <w:t>all clear</w:t>
      </w:r>
      <w:r w:rsidR="00B505F4" w:rsidRPr="00D15A98">
        <w:t>”</w:t>
      </w:r>
    </w:p>
    <w:p w14:paraId="7AA409C5" w14:textId="77777777" w:rsidR="00DD1798" w:rsidRPr="00D15A98" w:rsidRDefault="00DD1798" w:rsidP="00D15A98">
      <w:pPr>
        <w:pStyle w:val="BulletList"/>
      </w:pPr>
      <w:r w:rsidRPr="00D15A98">
        <w:t>Assist Operations Section with updating and maintaining the Outage Management System (OMS) with accurate system status and restoration information</w:t>
      </w:r>
    </w:p>
    <w:p w14:paraId="0217D0D8" w14:textId="77777777" w:rsidR="00DD1798" w:rsidRPr="00D15A98" w:rsidRDefault="00DD1798" w:rsidP="00D15A98">
      <w:pPr>
        <w:pStyle w:val="BulletList"/>
      </w:pPr>
      <w:r w:rsidRPr="00D15A98">
        <w:t>Prioritizing restoration efforts based on critical infrastructure, system integrity, and community needs</w:t>
      </w:r>
    </w:p>
    <w:p w14:paraId="66B38EC3" w14:textId="5B1ED1A5" w:rsidR="00DD1798" w:rsidRPr="00D15A98" w:rsidRDefault="00DD1798" w:rsidP="00D15A98">
      <w:pPr>
        <w:pStyle w:val="BulletList"/>
      </w:pPr>
      <w:r w:rsidRPr="00D15A98">
        <w:t>Conducting and documenting engineering assessments for both electric and water</w:t>
      </w:r>
      <w:r w:rsidR="00E66AF5" w:rsidRPr="00D15A98">
        <w:t> </w:t>
      </w:r>
      <w:r w:rsidRPr="00D15A98">
        <w:t>infrastructure</w:t>
      </w:r>
    </w:p>
    <w:p w14:paraId="1178B3B3" w14:textId="77777777" w:rsidR="00DD1798" w:rsidRPr="00D15A98" w:rsidRDefault="00DD1798" w:rsidP="00D15A98">
      <w:pPr>
        <w:pStyle w:val="BulletList"/>
      </w:pPr>
      <w:r w:rsidRPr="00D15A98">
        <w:t>Developing restoration strategies that maintain system balance and ensure reliability post-event</w:t>
      </w:r>
    </w:p>
    <w:p w14:paraId="5E9290E0" w14:textId="77777777" w:rsidR="00DD1798" w:rsidRPr="00D15A98" w:rsidRDefault="00DD1798" w:rsidP="00D15A98">
      <w:pPr>
        <w:pStyle w:val="BulletList"/>
      </w:pPr>
      <w:r w:rsidRPr="00D15A98">
        <w:t>Planning for water system continuity, including verification of tank levels, pump station functionality, and emergency water supply strategies</w:t>
      </w:r>
    </w:p>
    <w:p w14:paraId="37CCB9B7" w14:textId="77777777" w:rsidR="00DD1798" w:rsidRPr="00D15A98" w:rsidRDefault="00DD1798" w:rsidP="00D15A98">
      <w:pPr>
        <w:pStyle w:val="BulletList"/>
      </w:pPr>
      <w:r w:rsidRPr="00D15A98">
        <w:t>Coordinating with the Logistics Section to ensure that restoration plans account for accessibility, resource allocation, and personnel deployment</w:t>
      </w:r>
    </w:p>
    <w:p w14:paraId="43FD813D" w14:textId="77777777" w:rsidR="00DD1798" w:rsidRPr="00D15A98" w:rsidRDefault="00DD1798" w:rsidP="00D15A98">
      <w:pPr>
        <w:pStyle w:val="BulletList"/>
      </w:pPr>
      <w:r w:rsidRPr="00D15A98">
        <w:t>Providing timely updates and forward-looking projections to the Incident Commander and Command Staff to support informed decision-making</w:t>
      </w:r>
    </w:p>
    <w:p w14:paraId="6F53E03E" w14:textId="77777777" w:rsidR="00DD1798" w:rsidRPr="00A96DC5" w:rsidRDefault="00DD1798" w:rsidP="00D15A98">
      <w:pPr>
        <w:pStyle w:val="BulletListFinal"/>
      </w:pPr>
      <w:r w:rsidRPr="00A96DC5">
        <w:t>Preparing and maintaining necessary ICS reports, including status updates, incident action plans, and post-event documentation</w:t>
      </w:r>
    </w:p>
    <w:p w14:paraId="339B7439" w14:textId="77777777" w:rsidR="00DD1798" w:rsidRPr="00A96DC5" w:rsidRDefault="00DD1798" w:rsidP="005B403F">
      <w:pPr>
        <w:pStyle w:val="Appendices-Heading2"/>
      </w:pPr>
      <w:r w:rsidRPr="00A96DC5">
        <w:t>Logistics Section Chief</w:t>
      </w:r>
    </w:p>
    <w:p w14:paraId="6DC670DE" w14:textId="77777777" w:rsidR="00DD1798" w:rsidRPr="00A96DC5" w:rsidRDefault="00DD1798" w:rsidP="00D15A98">
      <w:pPr>
        <w:pStyle w:val="BodyText"/>
      </w:pPr>
      <w:r w:rsidRPr="00A96DC5">
        <w:t>Reporting to the Incident Commander (IC), the Logistics Section Chief is responsible for providing all necessary support services during a PPS event, including personnel accommodations, equipment supply, and resource coordination. This role ensures field crews and command staff have the tools, transportation, and facilities needed to sustain safe and effective operations. Responsibilities include:</w:t>
      </w:r>
    </w:p>
    <w:p w14:paraId="70E4DD65" w14:textId="77777777" w:rsidR="00DD1798" w:rsidRPr="00A96DC5" w:rsidRDefault="00DD1798" w:rsidP="00D15A98">
      <w:pPr>
        <w:pStyle w:val="BulletList"/>
      </w:pPr>
      <w:r w:rsidRPr="00A96DC5">
        <w:t>Coordinating procurement and distribution of equipment, fuel, and materials</w:t>
      </w:r>
    </w:p>
    <w:p w14:paraId="170E6980" w14:textId="77777777" w:rsidR="00DD1798" w:rsidRPr="00A96DC5" w:rsidRDefault="00DD1798" w:rsidP="00D15A98">
      <w:pPr>
        <w:pStyle w:val="BulletList"/>
      </w:pPr>
      <w:r w:rsidRPr="00A96DC5">
        <w:t>Securing lodging and meals for deployed personnel</w:t>
      </w:r>
    </w:p>
    <w:p w14:paraId="1EF20614" w14:textId="77777777" w:rsidR="00DD1798" w:rsidRPr="00A96DC5" w:rsidRDefault="00DD1798" w:rsidP="00D15A98">
      <w:pPr>
        <w:pStyle w:val="BulletList"/>
      </w:pPr>
      <w:r w:rsidRPr="00A96DC5">
        <w:t>Managing staging areas, rest locations, and Incident Command Post facilities</w:t>
      </w:r>
    </w:p>
    <w:p w14:paraId="45DFF80B" w14:textId="77777777" w:rsidR="00DD1798" w:rsidRPr="00A96DC5" w:rsidRDefault="00DD1798" w:rsidP="00D15A98">
      <w:pPr>
        <w:pStyle w:val="BulletList"/>
      </w:pPr>
      <w:r w:rsidRPr="00A96DC5">
        <w:t>Overseeing transportation logistics and field support vehicles</w:t>
      </w:r>
    </w:p>
    <w:p w14:paraId="3C3BA27A" w14:textId="77777777" w:rsidR="00DD1798" w:rsidRPr="00A96DC5" w:rsidRDefault="00DD1798" w:rsidP="00D15A98">
      <w:pPr>
        <w:pStyle w:val="BulletListFinal"/>
      </w:pPr>
      <w:r w:rsidRPr="00A96DC5">
        <w:t>Supporting crew health and safety through medical readiness and basic care</w:t>
      </w:r>
    </w:p>
    <w:p w14:paraId="7FD65F68" w14:textId="77777777" w:rsidR="00A833F4" w:rsidRDefault="00DD1798" w:rsidP="005B403F">
      <w:pPr>
        <w:pStyle w:val="Appendices-Heading2"/>
      </w:pPr>
      <w:r w:rsidRPr="00A96DC5">
        <w:t>Customer Outreach Unit Leader</w:t>
      </w:r>
    </w:p>
    <w:p w14:paraId="41707E5F" w14:textId="6B26AABB" w:rsidR="00DD1798" w:rsidRPr="00A96DC5" w:rsidRDefault="00DD1798" w:rsidP="00D15A98">
      <w:pPr>
        <w:pStyle w:val="BodyText"/>
      </w:pPr>
      <w:r w:rsidRPr="00A96DC5">
        <w:t>Reporting to the Public Information Officer (PIO), the Customer Outreach Unit Leader is responsible for coordinating frontline customer communications and ensuring consistent, targeted outreach to all customer segments during a PPS event. This role includes responsibilities typically handled by a Key Accounts Liaison, providing focused communication to critical and high-impact customers. Responsibilities include:</w:t>
      </w:r>
    </w:p>
    <w:p w14:paraId="13ACDF93" w14:textId="77777777" w:rsidR="00DD1798" w:rsidRPr="00A96DC5" w:rsidRDefault="00DD1798" w:rsidP="00D15A98">
      <w:pPr>
        <w:pStyle w:val="BulletList"/>
      </w:pPr>
      <w:r w:rsidRPr="00A96DC5">
        <w:t>Coordinating closely with the Communications Unit Leader to ensure alignment between public messaging and direct customer outreach</w:t>
      </w:r>
    </w:p>
    <w:p w14:paraId="6A09D4CE" w14:textId="77777777" w:rsidR="00DD1798" w:rsidRPr="00A96DC5" w:rsidRDefault="00DD1798" w:rsidP="00D15A98">
      <w:pPr>
        <w:pStyle w:val="BulletList"/>
      </w:pPr>
      <w:r w:rsidRPr="00A96DC5">
        <w:lastRenderedPageBreak/>
        <w:t>Managing proactive outreach to Medical Baseline customers and other vulnerable populations, ensuring timely notifications, resource information, and support</w:t>
      </w:r>
    </w:p>
    <w:p w14:paraId="1635CAD7" w14:textId="77777777" w:rsidR="00DD1798" w:rsidRPr="00A96DC5" w:rsidRDefault="00DD1798" w:rsidP="00D15A98">
      <w:pPr>
        <w:pStyle w:val="BulletList"/>
      </w:pPr>
      <w:r w:rsidRPr="00A96DC5">
        <w:t>Serving as the primary point of contact for high-impact accounts such as hospitals, emergency services, schools, and essential infrastructure providers</w:t>
      </w:r>
    </w:p>
    <w:p w14:paraId="28B35214" w14:textId="77777777" w:rsidR="00DD1798" w:rsidRPr="00A96DC5" w:rsidRDefault="00DD1798" w:rsidP="00D15A98">
      <w:pPr>
        <w:pStyle w:val="BulletList"/>
      </w:pPr>
      <w:r w:rsidRPr="00A96DC5">
        <w:t>Tracking and documenting all customer interactions, inquiries, and support efforts for post-event review and regulatory reporting</w:t>
      </w:r>
    </w:p>
    <w:p w14:paraId="0260970C" w14:textId="77777777" w:rsidR="00DD1798" w:rsidRPr="00A96DC5" w:rsidRDefault="00DD1798" w:rsidP="00D15A98">
      <w:pPr>
        <w:pStyle w:val="BulletList"/>
      </w:pPr>
      <w:r w:rsidRPr="00A96DC5">
        <w:t>Monitoring incoming customer feedback from all communication channels (phone, email, social media, web) and escalating critical issues or trends to the PIO</w:t>
      </w:r>
    </w:p>
    <w:p w14:paraId="4E8F494D" w14:textId="77777777" w:rsidR="00DD1798" w:rsidRPr="00A96DC5" w:rsidRDefault="00DD1798" w:rsidP="00D15A98">
      <w:pPr>
        <w:pStyle w:val="BulletList"/>
      </w:pPr>
      <w:r w:rsidRPr="00A96DC5">
        <w:t>Supporting the development and distribution of FAQs, service bulletins, and direct customer notifications based on current conditions and customer concerns</w:t>
      </w:r>
    </w:p>
    <w:p w14:paraId="69FBF3AD" w14:textId="77777777" w:rsidR="00DD1798" w:rsidRPr="00D15A98" w:rsidRDefault="00DD1798" w:rsidP="00D15A98">
      <w:pPr>
        <w:pStyle w:val="BulletListFinal"/>
      </w:pPr>
      <w:r w:rsidRPr="00D15A98">
        <w:t xml:space="preserve">Assisting in the deployment, monitoring, and troubleshooting of customer notification tools and systems to ensure reliable and timely outreach. </w:t>
      </w:r>
    </w:p>
    <w:p w14:paraId="4307CD2B" w14:textId="77777777" w:rsidR="00A833F4" w:rsidRDefault="00DD1798" w:rsidP="005B403F">
      <w:pPr>
        <w:pStyle w:val="Appendices-Heading2"/>
      </w:pPr>
      <w:r w:rsidRPr="00A96DC5">
        <w:t>Finance/Administration Section</w:t>
      </w:r>
    </w:p>
    <w:p w14:paraId="44045AA1" w14:textId="03B8FD7D" w:rsidR="00DD1798" w:rsidRPr="00A96DC5" w:rsidRDefault="00DD1798" w:rsidP="00D15A98">
      <w:pPr>
        <w:pStyle w:val="BodyText"/>
      </w:pPr>
      <w:r>
        <w:t>Re</w:t>
      </w:r>
      <w:r w:rsidRPr="00A96DC5">
        <w:t>porting to the Incident Commander (IC), the Finance/Administration Section Chief oversees all financial and administrative functions to ensure accurate cost tracking, timekeeping, and documentation throughout the PPS event.</w:t>
      </w:r>
      <w:r>
        <w:t xml:space="preserve"> </w:t>
      </w:r>
      <w:r w:rsidRPr="00A96DC5">
        <w:t>Responsibilities include:</w:t>
      </w:r>
    </w:p>
    <w:p w14:paraId="7615B17F" w14:textId="77777777" w:rsidR="00DD1798" w:rsidRPr="00A96DC5" w:rsidRDefault="00DD1798" w:rsidP="00D15A98">
      <w:pPr>
        <w:pStyle w:val="BulletList"/>
      </w:pPr>
      <w:r w:rsidRPr="00A96DC5">
        <w:t>Tracking labor hours, equipment usage, and materials costs associated with PPS response and recovery</w:t>
      </w:r>
    </w:p>
    <w:p w14:paraId="39475245" w14:textId="77777777" w:rsidR="00DD1798" w:rsidRPr="00A96DC5" w:rsidRDefault="00DD1798" w:rsidP="00D15A98">
      <w:pPr>
        <w:pStyle w:val="BulletList"/>
      </w:pPr>
      <w:r w:rsidRPr="00A96DC5">
        <w:t>Coordinating with the Logistics and Operations Sections to gather cost data and resource usage in real time</w:t>
      </w:r>
    </w:p>
    <w:p w14:paraId="002BE1BC" w14:textId="77777777" w:rsidR="00DD1798" w:rsidRPr="00A96DC5" w:rsidRDefault="00DD1798" w:rsidP="00D15A98">
      <w:pPr>
        <w:pStyle w:val="BulletList"/>
      </w:pPr>
      <w:r w:rsidRPr="00A96DC5">
        <w:t>Developing and maintaining cost reports, expenditure summaries, and resource allocation records</w:t>
      </w:r>
    </w:p>
    <w:p w14:paraId="2E7F9368" w14:textId="77777777" w:rsidR="00DD1798" w:rsidRPr="00A96DC5" w:rsidRDefault="00DD1798" w:rsidP="00D15A98">
      <w:pPr>
        <w:pStyle w:val="BulletList"/>
      </w:pPr>
      <w:r w:rsidRPr="00A96DC5">
        <w:t>Supporting procurement and reimbursement efforts by ensuring documentation aligns with applicable funding or regulatory requirements</w:t>
      </w:r>
    </w:p>
    <w:p w14:paraId="6F46D9C4" w14:textId="77777777" w:rsidR="00DD1798" w:rsidRPr="00A96DC5" w:rsidRDefault="00DD1798" w:rsidP="00D15A98">
      <w:pPr>
        <w:pStyle w:val="BulletList"/>
      </w:pPr>
      <w:r w:rsidRPr="00A96DC5">
        <w:t>Managing timekeeping processes and personnel tracking for all ICS participants</w:t>
      </w:r>
    </w:p>
    <w:p w14:paraId="0C1D2C64" w14:textId="7A5AEB7F" w:rsidR="00DD1798" w:rsidRPr="00A96DC5" w:rsidRDefault="00DD1798" w:rsidP="00D15A98">
      <w:pPr>
        <w:pStyle w:val="BulletList"/>
      </w:pPr>
      <w:r w:rsidRPr="00A96DC5">
        <w:t>Preparing financial documentation needed for post-event reporting, audits, and agency</w:t>
      </w:r>
      <w:r w:rsidR="00D15A98">
        <w:t> </w:t>
      </w:r>
      <w:r w:rsidRPr="00A96DC5">
        <w:t>reviews</w:t>
      </w:r>
    </w:p>
    <w:p w14:paraId="563CB94A" w14:textId="77777777" w:rsidR="00DD1798" w:rsidRPr="00A96DC5" w:rsidRDefault="00DD1798" w:rsidP="00D15A98">
      <w:pPr>
        <w:pStyle w:val="BulletList"/>
      </w:pPr>
      <w:r w:rsidRPr="00A96DC5">
        <w:t>Completing and submitting all required ICS financial and administrative forms (e.g., ICS 214, ICS 213RR, ICS 219 as applicable)</w:t>
      </w:r>
    </w:p>
    <w:p w14:paraId="729D383A" w14:textId="77777777" w:rsidR="00DD1798" w:rsidRPr="00A96DC5" w:rsidRDefault="00DD1798" w:rsidP="00D15A98">
      <w:pPr>
        <w:pStyle w:val="BulletListFinal"/>
      </w:pPr>
      <w:r w:rsidRPr="00A96DC5">
        <w:t>Coordinating with the Administrative Support Unit to maintain accurate, complete, and accessible event records</w:t>
      </w:r>
    </w:p>
    <w:p w14:paraId="7FE9C80D" w14:textId="77777777" w:rsidR="00A833F4" w:rsidRDefault="00DD1798" w:rsidP="005B403F">
      <w:pPr>
        <w:pStyle w:val="Appendices-Heading2"/>
      </w:pPr>
      <w:r w:rsidRPr="00A96DC5">
        <w:t>Administrative Support Unit</w:t>
      </w:r>
    </w:p>
    <w:p w14:paraId="1482FBF0" w14:textId="6AE15F3A" w:rsidR="00DD1798" w:rsidRPr="00A96DC5" w:rsidRDefault="00DD1798" w:rsidP="00D15A98">
      <w:pPr>
        <w:pStyle w:val="BodyText"/>
      </w:pPr>
      <w:r w:rsidRPr="00A96DC5">
        <w:t>Reporting to the Finance/Administration Section Chief, the Administrative Support Unit provides critical support services to ensure documentation is accurate, meetings are well-coordinated, and event records are maintained throughout the PPS life</w:t>
      </w:r>
      <w:r w:rsidR="004977A9">
        <w:t xml:space="preserve"> cycle</w:t>
      </w:r>
      <w:r w:rsidRPr="00A96DC5">
        <w:t>. Responsibilities include:</w:t>
      </w:r>
    </w:p>
    <w:p w14:paraId="0007EB33" w14:textId="513ABCEE" w:rsidR="00DD1798" w:rsidRPr="00A96DC5" w:rsidRDefault="00DD1798" w:rsidP="00D15A98">
      <w:pPr>
        <w:pStyle w:val="BulletList"/>
      </w:pPr>
      <w:r w:rsidRPr="00A96DC5">
        <w:t>Scheduling and facilitating internal coordination meetings and external stakeholder</w:t>
      </w:r>
      <w:r w:rsidR="00A01221">
        <w:t> </w:t>
      </w:r>
      <w:r w:rsidRPr="00A96DC5">
        <w:t>briefings</w:t>
      </w:r>
    </w:p>
    <w:p w14:paraId="4AD6C22B" w14:textId="77777777" w:rsidR="00DD1798" w:rsidRPr="00A96DC5" w:rsidRDefault="00DD1798" w:rsidP="00D15A98">
      <w:pPr>
        <w:pStyle w:val="BulletList"/>
      </w:pPr>
      <w:r w:rsidRPr="00A96DC5">
        <w:t>Supporting the planning and execution of community briefings and public-facing updates in coordination with the Public Information Officer (PIO)</w:t>
      </w:r>
    </w:p>
    <w:p w14:paraId="2BE3BFC5" w14:textId="77777777" w:rsidR="00DD1798" w:rsidRPr="00A96DC5" w:rsidRDefault="00DD1798" w:rsidP="00D15A98">
      <w:pPr>
        <w:pStyle w:val="BulletList"/>
      </w:pPr>
      <w:r w:rsidRPr="00A96DC5">
        <w:lastRenderedPageBreak/>
        <w:t>Assisting with the preparation, organization, and completion of all event-related documentation and post-event reports</w:t>
      </w:r>
    </w:p>
    <w:p w14:paraId="5B40A901" w14:textId="77777777" w:rsidR="00DD1798" w:rsidRPr="00A96DC5" w:rsidRDefault="00DD1798" w:rsidP="00D15A98">
      <w:pPr>
        <w:pStyle w:val="BulletList"/>
      </w:pPr>
      <w:r w:rsidRPr="00A96DC5">
        <w:t>Coordinating data collection efforts, tracking issues, and compiling notes for inclusion in after-action reviews and debriefs</w:t>
      </w:r>
    </w:p>
    <w:p w14:paraId="5AA06D4B" w14:textId="77777777" w:rsidR="00DD1798" w:rsidRPr="00A96DC5" w:rsidRDefault="00DD1798" w:rsidP="00D15A98">
      <w:pPr>
        <w:pStyle w:val="BulletList"/>
      </w:pPr>
      <w:r w:rsidRPr="00A96DC5">
        <w:t>Maintaining document control to ensure consistency, accessibility, and compliance with internal procedures and ICS standards</w:t>
      </w:r>
    </w:p>
    <w:p w14:paraId="578DBF98" w14:textId="77777777" w:rsidR="00DD1798" w:rsidRPr="00A96DC5" w:rsidRDefault="00DD1798" w:rsidP="00D15A98">
      <w:pPr>
        <w:pStyle w:val="BulletListFinal"/>
      </w:pPr>
      <w:r w:rsidRPr="00A96DC5">
        <w:t>Completing and filing required ICS administrative forms (e.g., ICS 214 Unit Log, ICS 221 Demobilization Check-Out) in coordination with section staff</w:t>
      </w:r>
    </w:p>
    <w:p w14:paraId="16A8100B" w14:textId="2E3F75BA" w:rsidR="00DD1798" w:rsidRDefault="00B97DBE" w:rsidP="005B403F">
      <w:pPr>
        <w:pStyle w:val="Appendices-Heading1"/>
      </w:pPr>
      <w:r>
        <w:t>C. Preemptive Power Shutoff Phases</w:t>
      </w:r>
    </w:p>
    <w:p w14:paraId="622BF59E" w14:textId="784488CC" w:rsidR="00DD1798" w:rsidRPr="003923E4" w:rsidRDefault="00DD1798" w:rsidP="005B403F">
      <w:pPr>
        <w:pStyle w:val="Appendices-Heading2"/>
      </w:pPr>
      <w:r w:rsidRPr="000A05F6">
        <w:t>Phase 1 - Potential PPS</w:t>
      </w:r>
    </w:p>
    <w:p w14:paraId="4B7A93A0" w14:textId="77777777" w:rsidR="00DD1798" w:rsidRPr="000A05F6" w:rsidRDefault="00DD1798" w:rsidP="00DD1798">
      <w:pPr>
        <w:rPr>
          <w:rFonts w:ascii="Arial" w:hAnsi="Arial" w:cs="Arial"/>
          <w:i/>
          <w:iCs/>
          <w:color w:val="FF0000"/>
        </w:rPr>
      </w:pPr>
      <w:r w:rsidRPr="000A05F6">
        <w:rPr>
          <w:rFonts w:ascii="Arial" w:hAnsi="Arial" w:cs="Arial"/>
          <w:b/>
          <w:bCs/>
          <w:i/>
          <w:iCs/>
          <w:color w:val="FF0000"/>
        </w:rPr>
        <w:t>72 HOURS UNTIL DE-ENERGIZATION</w:t>
      </w:r>
    </w:p>
    <w:p w14:paraId="387E4A2D" w14:textId="6AF8B94E" w:rsidR="00DD1798" w:rsidRPr="000A05F6" w:rsidRDefault="00DD1798" w:rsidP="00D15A98">
      <w:pPr>
        <w:pStyle w:val="BodyText"/>
      </w:pPr>
      <w:r w:rsidRPr="000A05F6">
        <w:t xml:space="preserve">This phase is initiated when weather forecasts indicate potential to meet de-energization thresholds. </w:t>
      </w:r>
      <w:r w:rsidR="000F0380">
        <w:t>Although</w:t>
      </w:r>
      <w:r w:rsidR="000F0380" w:rsidRPr="000A05F6">
        <w:t xml:space="preserve"> </w:t>
      </w:r>
      <w:r w:rsidRPr="000A05F6">
        <w:t>activation is not yet confirmed, conditions warrant increased readiness and interdepartmental coordination.</w:t>
      </w:r>
    </w:p>
    <w:p w14:paraId="25982B9D" w14:textId="77777777" w:rsidR="00DD1798" w:rsidRPr="000A05F6" w:rsidRDefault="00DD1798" w:rsidP="005F4962">
      <w:pPr>
        <w:pStyle w:val="Subheading1"/>
      </w:pPr>
      <w:r w:rsidRPr="000A05F6">
        <w:t>Phase 1 Assumptions</w:t>
      </w:r>
    </w:p>
    <w:p w14:paraId="59CDF396" w14:textId="77777777" w:rsidR="00DD1798" w:rsidRPr="000A05F6" w:rsidRDefault="00DD1798" w:rsidP="005B403F">
      <w:pPr>
        <w:pStyle w:val="BulletList"/>
      </w:pPr>
      <w:r w:rsidRPr="000A05F6">
        <w:t>Weather conditions may exceed thresholds within 72 hours of a potential PPS event.</w:t>
      </w:r>
    </w:p>
    <w:p w14:paraId="4D069B41" w14:textId="77777777" w:rsidR="00DD1798" w:rsidRPr="000A05F6" w:rsidRDefault="00DD1798" w:rsidP="005B403F">
      <w:pPr>
        <w:pStyle w:val="BulletList"/>
      </w:pPr>
      <w:r w:rsidRPr="000A05F6">
        <w:t>Forecast models show possible weakening or redirection of the weather system.</w:t>
      </w:r>
    </w:p>
    <w:p w14:paraId="117EFDAF" w14:textId="1337FEE6" w:rsidR="00DD1798" w:rsidRPr="000A05F6" w:rsidRDefault="00DD1798" w:rsidP="005B403F">
      <w:pPr>
        <w:pStyle w:val="BulletListFinal"/>
      </w:pPr>
      <w:r w:rsidRPr="000A05F6">
        <w:t xml:space="preserve">Risk level is moderate; potential exists but </w:t>
      </w:r>
      <w:r w:rsidR="000F0380">
        <w:t xml:space="preserve">is </w:t>
      </w:r>
      <w:r w:rsidRPr="000A05F6">
        <w:t>not guaranteed.</w:t>
      </w:r>
    </w:p>
    <w:p w14:paraId="4FD6D9B9" w14:textId="77777777" w:rsidR="00DD1798" w:rsidRPr="000A05F6" w:rsidRDefault="00DD1798" w:rsidP="005F4962">
      <w:pPr>
        <w:pStyle w:val="Subheading1"/>
      </w:pPr>
      <w:r w:rsidRPr="000A05F6">
        <w:t>Objectives</w:t>
      </w:r>
    </w:p>
    <w:p w14:paraId="006B5C10" w14:textId="77777777" w:rsidR="00DD1798" w:rsidRPr="000A05F6" w:rsidRDefault="00DD1798" w:rsidP="005B403F">
      <w:pPr>
        <w:pStyle w:val="BulletList"/>
      </w:pPr>
      <w:r w:rsidRPr="000A05F6">
        <w:t>Begin operational and communication readiness.</w:t>
      </w:r>
    </w:p>
    <w:p w14:paraId="31B77AB9" w14:textId="77777777" w:rsidR="00DD1798" w:rsidRPr="000A05F6" w:rsidRDefault="00DD1798" w:rsidP="005B403F">
      <w:pPr>
        <w:pStyle w:val="BulletList"/>
      </w:pPr>
      <w:r w:rsidRPr="000A05F6">
        <w:t>Establish coordination between internal departments and external stakeholders.</w:t>
      </w:r>
    </w:p>
    <w:p w14:paraId="66EBEBCA" w14:textId="1B4F7661" w:rsidR="00DD1798" w:rsidRDefault="00DD1798" w:rsidP="005B403F">
      <w:pPr>
        <w:pStyle w:val="BulletListFinal"/>
      </w:pPr>
      <w:r w:rsidRPr="000A05F6">
        <w:t>Prepare situational awareness tools, resource alignment, and notification templates</w:t>
      </w:r>
      <w:r w:rsidR="000F0380">
        <w:t>.</w:t>
      </w:r>
    </w:p>
    <w:p w14:paraId="3393B591" w14:textId="77777777" w:rsidR="00DD1798" w:rsidRPr="00E64383" w:rsidRDefault="00DD1798" w:rsidP="001B420C">
      <w:pPr>
        <w:pStyle w:val="Appendices-Heading3"/>
      </w:pPr>
      <w:r w:rsidRPr="00E64383">
        <w:t>Key Actions by Role</w:t>
      </w:r>
    </w:p>
    <w:p w14:paraId="2F3CBAE3" w14:textId="77777777" w:rsidR="00DD1798" w:rsidRPr="000A05F6" w:rsidRDefault="00DD1798" w:rsidP="005F4962">
      <w:pPr>
        <w:pStyle w:val="Subheading1"/>
      </w:pPr>
      <w:r w:rsidRPr="000A05F6">
        <w:t>Incident Commander (IC)</w:t>
      </w:r>
    </w:p>
    <w:p w14:paraId="47DA51BC" w14:textId="77777777" w:rsidR="00DD1798" w:rsidRPr="000A05F6" w:rsidRDefault="00DD1798" w:rsidP="00D15A98">
      <w:pPr>
        <w:pStyle w:val="BulletList"/>
      </w:pPr>
      <w:r w:rsidRPr="000A05F6">
        <w:t>Lead Phase 1 planning and coordination</w:t>
      </w:r>
    </w:p>
    <w:p w14:paraId="1D7E66C6" w14:textId="77777777" w:rsidR="00DD1798" w:rsidRPr="000A05F6" w:rsidRDefault="00DD1798" w:rsidP="00D15A98">
      <w:pPr>
        <w:pStyle w:val="BulletList"/>
      </w:pPr>
      <w:r w:rsidRPr="000A05F6">
        <w:t>Confirm weather and fire risk data; initiate Phase 1 procedures</w:t>
      </w:r>
    </w:p>
    <w:p w14:paraId="15398CBA" w14:textId="0D7AA581" w:rsidR="00DD1798" w:rsidRPr="000A05F6" w:rsidRDefault="00DD1798" w:rsidP="00D15A98">
      <w:pPr>
        <w:pStyle w:val="BulletList"/>
      </w:pPr>
      <w:r w:rsidRPr="000A05F6">
        <w:t>Notify General Manager and Command and General Staff of projected or met</w:t>
      </w:r>
      <w:r w:rsidR="005B403F">
        <w:t> </w:t>
      </w:r>
      <w:r w:rsidRPr="000A05F6">
        <w:t>thresholds</w:t>
      </w:r>
    </w:p>
    <w:p w14:paraId="5BD88A65" w14:textId="77777777" w:rsidR="00DD1798" w:rsidRPr="0082421A" w:rsidRDefault="00DD1798" w:rsidP="00D15A98">
      <w:pPr>
        <w:pStyle w:val="BulletList"/>
      </w:pPr>
      <w:r w:rsidRPr="000A05F6">
        <w:t>Provide go/no-go criteria for transition to Phase 2</w:t>
      </w:r>
    </w:p>
    <w:p w14:paraId="1D4221D4" w14:textId="77777777" w:rsidR="00DD1798" w:rsidRPr="000A05F6" w:rsidRDefault="00DD1798" w:rsidP="005F4962">
      <w:pPr>
        <w:pStyle w:val="Subheading1"/>
      </w:pPr>
      <w:r w:rsidRPr="000A05F6">
        <w:t>Operations Section Chief</w:t>
      </w:r>
    </w:p>
    <w:p w14:paraId="0D189364" w14:textId="77777777" w:rsidR="00DD1798" w:rsidRPr="000A05F6" w:rsidRDefault="00DD1798" w:rsidP="00D15A98">
      <w:pPr>
        <w:pStyle w:val="BulletList"/>
      </w:pPr>
      <w:r w:rsidRPr="000A05F6">
        <w:t>Coordinate with Planning Section Chief to identify at-risk electric circuits and critical water infrastructure</w:t>
      </w:r>
    </w:p>
    <w:p w14:paraId="02DB20D9" w14:textId="77777777" w:rsidR="00DD1798" w:rsidRPr="000A05F6" w:rsidRDefault="00DD1798" w:rsidP="00D15A98">
      <w:pPr>
        <w:pStyle w:val="BulletList"/>
      </w:pPr>
      <w:r w:rsidRPr="000A05F6">
        <w:t>Begin tactical restoration planning based on potential impact zones for both electric and water systems</w:t>
      </w:r>
    </w:p>
    <w:p w14:paraId="2B87DD2E" w14:textId="77777777" w:rsidR="00DD1798" w:rsidRPr="000A05F6" w:rsidRDefault="00DD1798" w:rsidP="00D15A98">
      <w:pPr>
        <w:pStyle w:val="BulletList"/>
      </w:pPr>
      <w:r w:rsidRPr="000A05F6">
        <w:lastRenderedPageBreak/>
        <w:t>Monitor Outage Management System (OMS) and weather inputs for trigger alignment</w:t>
      </w:r>
    </w:p>
    <w:p w14:paraId="163CF7F8" w14:textId="77777777" w:rsidR="00DD1798" w:rsidRPr="000A05F6" w:rsidRDefault="00DD1798" w:rsidP="00D15A98">
      <w:pPr>
        <w:pStyle w:val="BulletList"/>
      </w:pPr>
      <w:r w:rsidRPr="000A05F6">
        <w:t>Direct field crews to assess and support water system continuity, including generator checks, tank levels, and pump station status</w:t>
      </w:r>
    </w:p>
    <w:p w14:paraId="3C01AFCC" w14:textId="77777777" w:rsidR="00DD1798" w:rsidRPr="000A05F6" w:rsidRDefault="00DD1798" w:rsidP="00D15A98">
      <w:pPr>
        <w:pStyle w:val="BulletList"/>
      </w:pPr>
      <w:r w:rsidRPr="000A05F6">
        <w:t>Coordinate with Logistics to ensure availability of vehicles, equipment, and emergency fuel for both electric and water operations</w:t>
      </w:r>
    </w:p>
    <w:p w14:paraId="07F2712B" w14:textId="3BF0DC92" w:rsidR="00DD1798" w:rsidRDefault="00DD1798" w:rsidP="005B403F">
      <w:pPr>
        <w:pStyle w:val="BulletListFinal"/>
      </w:pPr>
      <w:r w:rsidRPr="000A05F6">
        <w:t>Deploy personnel to assist with pre-energization patrols and post-event restoration across utility functions</w:t>
      </w:r>
    </w:p>
    <w:p w14:paraId="7AEC3E62" w14:textId="77777777" w:rsidR="00DD1798" w:rsidRPr="000A05F6" w:rsidRDefault="00DD1798" w:rsidP="005F4962">
      <w:pPr>
        <w:pStyle w:val="Subheading1"/>
      </w:pPr>
      <w:r w:rsidRPr="000A05F6">
        <w:t>Planning Section Chief</w:t>
      </w:r>
    </w:p>
    <w:p w14:paraId="5422258B" w14:textId="77777777" w:rsidR="00DD1798" w:rsidRPr="000A05F6" w:rsidRDefault="00DD1798" w:rsidP="00D15A98">
      <w:pPr>
        <w:pStyle w:val="BulletList"/>
      </w:pPr>
      <w:r w:rsidRPr="000A05F6">
        <w:t>Generate initial impact maps and circuit exposure models for electric and water systems</w:t>
      </w:r>
    </w:p>
    <w:p w14:paraId="3D072DB9" w14:textId="77777777" w:rsidR="00DD1798" w:rsidRPr="000A05F6" w:rsidRDefault="00DD1798" w:rsidP="00D15A98">
      <w:pPr>
        <w:pStyle w:val="BulletList"/>
      </w:pPr>
      <w:r w:rsidRPr="000A05F6">
        <w:t>Establish de-energization and restoration prioritization criteria for electric and water infrastructure based on system integrity and customer needs</w:t>
      </w:r>
    </w:p>
    <w:p w14:paraId="5771DF15" w14:textId="77777777" w:rsidR="00DD1798" w:rsidRPr="000A05F6" w:rsidRDefault="00DD1798" w:rsidP="00D15A98">
      <w:pPr>
        <w:pStyle w:val="BulletList"/>
      </w:pPr>
      <w:r w:rsidRPr="000A05F6">
        <w:t>Update OMS and SCADA data as the forecast evolves</w:t>
      </w:r>
    </w:p>
    <w:p w14:paraId="46881068" w14:textId="77777777" w:rsidR="00DD1798" w:rsidRPr="000A05F6" w:rsidRDefault="00DD1798" w:rsidP="00D15A98">
      <w:pPr>
        <w:pStyle w:val="BulletList"/>
      </w:pPr>
      <w:r w:rsidRPr="000A05F6">
        <w:t>Verify SCADA setpoints for water storage tanks to maintain capacity during the event</w:t>
      </w:r>
    </w:p>
    <w:p w14:paraId="6CEA2F35" w14:textId="77777777" w:rsidR="00DD1798" w:rsidRPr="000A05F6" w:rsidRDefault="00DD1798" w:rsidP="00D15A98">
      <w:pPr>
        <w:pStyle w:val="BulletList"/>
      </w:pPr>
      <w:r w:rsidRPr="000A05F6">
        <w:t>Develop and maintain water system continuity strategies, including staffing plans, equipment readiness, and emergency response coordination</w:t>
      </w:r>
    </w:p>
    <w:p w14:paraId="6F2204C1" w14:textId="77777777" w:rsidR="00DD1798" w:rsidRDefault="00DD1798" w:rsidP="005B403F">
      <w:pPr>
        <w:pStyle w:val="BulletListFinal"/>
      </w:pPr>
      <w:r w:rsidRPr="000A05F6">
        <w:t>Coordinate with Operations and Logistics Sections to ensure resource alignment for water and electric restoration</w:t>
      </w:r>
    </w:p>
    <w:p w14:paraId="0A3BF540" w14:textId="77777777" w:rsidR="00DD1798" w:rsidRDefault="00DD1798" w:rsidP="005F4962">
      <w:pPr>
        <w:pStyle w:val="Subheading1"/>
      </w:pPr>
      <w:r w:rsidRPr="006952E6">
        <w:t>Logistics Section Chief</w:t>
      </w:r>
    </w:p>
    <w:p w14:paraId="393C4475" w14:textId="77777777" w:rsidR="00DD1798" w:rsidRPr="006952E6" w:rsidRDefault="00DD1798" w:rsidP="00D15A98">
      <w:pPr>
        <w:pStyle w:val="BulletList"/>
        <w:rPr>
          <w:b/>
          <w:bCs/>
        </w:rPr>
      </w:pPr>
      <w:r w:rsidRPr="006952E6">
        <w:t>Coordinate with Operations and Planning Sections to anticipate support needs for field deployment</w:t>
      </w:r>
    </w:p>
    <w:p w14:paraId="581B1CC9" w14:textId="77777777" w:rsidR="00DD1798" w:rsidRPr="006952E6" w:rsidRDefault="00DD1798" w:rsidP="00D15A98">
      <w:pPr>
        <w:pStyle w:val="BulletList"/>
      </w:pPr>
      <w:r w:rsidRPr="006952E6">
        <w:t>Arrange lodging and meals for field and support personnel during multi-day PPS events</w:t>
      </w:r>
    </w:p>
    <w:p w14:paraId="232C3485" w14:textId="77777777" w:rsidR="00DD1798" w:rsidRPr="006952E6" w:rsidRDefault="00DD1798" w:rsidP="00D15A98">
      <w:pPr>
        <w:pStyle w:val="BulletList"/>
      </w:pPr>
      <w:r w:rsidRPr="006952E6">
        <w:t>Procure and distribute necessary materials, tools, and emergency fuel to support electric and water operations</w:t>
      </w:r>
    </w:p>
    <w:p w14:paraId="71E7A290" w14:textId="77EEBE0A" w:rsidR="00DD1798" w:rsidRPr="006952E6" w:rsidRDefault="00DD1798" w:rsidP="00D15A98">
      <w:pPr>
        <w:pStyle w:val="BulletList"/>
      </w:pPr>
      <w:r w:rsidRPr="006952E6">
        <w:t>Manage staging areas, rest locations, and the Incident Command Post (ICP) to ensure</w:t>
      </w:r>
      <w:r w:rsidR="005B403F">
        <w:t> </w:t>
      </w:r>
      <w:r w:rsidRPr="006952E6">
        <w:t>readiness</w:t>
      </w:r>
    </w:p>
    <w:p w14:paraId="5E545CC1" w14:textId="460F8863" w:rsidR="00DD1798" w:rsidRPr="006952E6" w:rsidRDefault="00DD1798" w:rsidP="00D15A98">
      <w:pPr>
        <w:pStyle w:val="BulletList"/>
      </w:pPr>
      <w:r w:rsidRPr="006952E6">
        <w:t>Provide transportation logistics, including vehicle coordination and support for field</w:t>
      </w:r>
      <w:r w:rsidR="005B403F">
        <w:t> </w:t>
      </w:r>
      <w:r w:rsidRPr="006952E6">
        <w:t>mobility</w:t>
      </w:r>
    </w:p>
    <w:p w14:paraId="65774E6C" w14:textId="77777777" w:rsidR="00DD1798" w:rsidRPr="0082421A" w:rsidRDefault="00DD1798" w:rsidP="005B403F">
      <w:pPr>
        <w:pStyle w:val="BulletListFinal"/>
      </w:pPr>
      <w:r w:rsidRPr="006952E6">
        <w:t>Ensure availability of basic medical supplies and support for crew health and safety in the field</w:t>
      </w:r>
    </w:p>
    <w:p w14:paraId="2D087E2C" w14:textId="77777777" w:rsidR="00DD1798" w:rsidRPr="000A05F6" w:rsidRDefault="00DD1798" w:rsidP="005F4962">
      <w:pPr>
        <w:pStyle w:val="Subheading1"/>
      </w:pPr>
      <w:r w:rsidRPr="000A05F6">
        <w:t>Public Information Officer (PIO)</w:t>
      </w:r>
    </w:p>
    <w:p w14:paraId="39DD17E8" w14:textId="01CB2BA4" w:rsidR="00DD1798" w:rsidRPr="000A05F6" w:rsidRDefault="00DD1798" w:rsidP="00D15A98">
      <w:pPr>
        <w:pStyle w:val="BulletList"/>
      </w:pPr>
      <w:r w:rsidRPr="000A05F6">
        <w:t>Coordinate with the Communications Unit Leader on external awareness and media</w:t>
      </w:r>
      <w:r w:rsidR="005B403F">
        <w:t> </w:t>
      </w:r>
      <w:r w:rsidRPr="000A05F6">
        <w:t>content</w:t>
      </w:r>
    </w:p>
    <w:p w14:paraId="71EAE26A" w14:textId="77777777" w:rsidR="00DD1798" w:rsidRPr="000A05F6" w:rsidRDefault="00DD1798" w:rsidP="00D15A98">
      <w:pPr>
        <w:pStyle w:val="BulletList"/>
      </w:pPr>
      <w:r w:rsidRPr="000A05F6">
        <w:t>Maintain alignment with Safety/Liaison Officer to ensure message accuracy and regulatory consistency</w:t>
      </w:r>
    </w:p>
    <w:p w14:paraId="5AFCF31E" w14:textId="77777777" w:rsidR="00DD1798" w:rsidRPr="0082421A" w:rsidRDefault="00DD1798" w:rsidP="005B403F">
      <w:pPr>
        <w:pStyle w:val="BulletListFinal"/>
      </w:pPr>
      <w:r w:rsidRPr="000A05F6">
        <w:t>Prepare for Community Resource Center (CRC) activation, including initiating notifications, coordinating site readiness, and ensuring support resources are in place</w:t>
      </w:r>
    </w:p>
    <w:p w14:paraId="3507B46B" w14:textId="77777777" w:rsidR="00DD1798" w:rsidRPr="000A05F6" w:rsidRDefault="00DD1798" w:rsidP="005F4962">
      <w:pPr>
        <w:pStyle w:val="Subheading1"/>
      </w:pPr>
      <w:r w:rsidRPr="000A05F6">
        <w:t>Communications Unit Leader</w:t>
      </w:r>
    </w:p>
    <w:p w14:paraId="03A143A4" w14:textId="77777777" w:rsidR="00DD1798" w:rsidRPr="000A05F6" w:rsidRDefault="00DD1798" w:rsidP="00D15A98">
      <w:pPr>
        <w:pStyle w:val="BulletList"/>
      </w:pPr>
      <w:r w:rsidRPr="000A05F6">
        <w:t>Draft and review internal and external messaging templates</w:t>
      </w:r>
    </w:p>
    <w:p w14:paraId="5CACAB17" w14:textId="77777777" w:rsidR="00DD1798" w:rsidRPr="000A05F6" w:rsidRDefault="00DD1798" w:rsidP="00D15A98">
      <w:pPr>
        <w:pStyle w:val="BulletList"/>
      </w:pPr>
      <w:r w:rsidRPr="000A05F6">
        <w:t>Prepare and schedule updates for the website and social media platforms</w:t>
      </w:r>
    </w:p>
    <w:p w14:paraId="672C7A41" w14:textId="77777777" w:rsidR="00DD1798" w:rsidRPr="000A05F6" w:rsidRDefault="00DD1798" w:rsidP="00D15A98">
      <w:pPr>
        <w:pStyle w:val="BulletList"/>
      </w:pPr>
      <w:r w:rsidRPr="000A05F6">
        <w:t>Monitor digital platforms for public concerns, questions, or misinformation</w:t>
      </w:r>
    </w:p>
    <w:p w14:paraId="305AF4D8" w14:textId="77777777" w:rsidR="00DD1798" w:rsidRPr="0082421A" w:rsidRDefault="00DD1798" w:rsidP="00D15A98">
      <w:pPr>
        <w:pStyle w:val="BulletListFinal"/>
      </w:pPr>
      <w:r w:rsidRPr="000A05F6">
        <w:lastRenderedPageBreak/>
        <w:t>Support the PIO with message rollout, real-time tracking, and public feedback escalation</w:t>
      </w:r>
    </w:p>
    <w:p w14:paraId="2C6FC528" w14:textId="77777777" w:rsidR="00DD1798" w:rsidRPr="000A05F6" w:rsidRDefault="00DD1798" w:rsidP="005F4962">
      <w:pPr>
        <w:pStyle w:val="Subheading1"/>
      </w:pPr>
      <w:r w:rsidRPr="000A05F6">
        <w:t>Safety/Liaison Officer</w:t>
      </w:r>
    </w:p>
    <w:p w14:paraId="56EB5C55" w14:textId="77777777" w:rsidR="00DD1798" w:rsidRPr="000A05F6" w:rsidRDefault="00DD1798" w:rsidP="00D15A98">
      <w:pPr>
        <w:pStyle w:val="BulletList"/>
      </w:pPr>
      <w:r w:rsidRPr="000A05F6">
        <w:t>Verify initial regulatory requirements for PPS response</w:t>
      </w:r>
    </w:p>
    <w:p w14:paraId="1E4209B0" w14:textId="77777777" w:rsidR="00DD1798" w:rsidRPr="000A05F6" w:rsidRDefault="00DD1798" w:rsidP="00D15A98">
      <w:pPr>
        <w:pStyle w:val="BulletList"/>
      </w:pPr>
      <w:r w:rsidRPr="000A05F6">
        <w:t>Begin documentation of early-stage response actions for compliance tracking</w:t>
      </w:r>
    </w:p>
    <w:p w14:paraId="667A727C" w14:textId="7CF4526B" w:rsidR="00DD1798" w:rsidRPr="000A05F6" w:rsidRDefault="00DD1798" w:rsidP="00D15A98">
      <w:pPr>
        <w:pStyle w:val="BulletListFinal"/>
      </w:pPr>
      <w:r w:rsidRPr="000A05F6">
        <w:t>Ensure public and employee safety are reflected in all operational and communication</w:t>
      </w:r>
      <w:r w:rsidR="005B403F">
        <w:t> </w:t>
      </w:r>
      <w:r w:rsidRPr="000A05F6">
        <w:t>recommendations</w:t>
      </w:r>
    </w:p>
    <w:p w14:paraId="060F12E1" w14:textId="77777777" w:rsidR="00DD1798" w:rsidRPr="000A05F6" w:rsidRDefault="00DD1798" w:rsidP="005F4962">
      <w:pPr>
        <w:pStyle w:val="Subheading1"/>
      </w:pPr>
      <w:r w:rsidRPr="000A05F6">
        <w:t>Customer Outreach Unit Leader</w:t>
      </w:r>
    </w:p>
    <w:p w14:paraId="0B53FCC9" w14:textId="77777777" w:rsidR="00DD1798" w:rsidRPr="000A05F6" w:rsidRDefault="00DD1798" w:rsidP="00D15A98">
      <w:pPr>
        <w:pStyle w:val="BulletList"/>
      </w:pPr>
      <w:r w:rsidRPr="000A05F6">
        <w:t>Segment and assess customer types in projected impact zones</w:t>
      </w:r>
    </w:p>
    <w:p w14:paraId="30156397" w14:textId="77777777" w:rsidR="00DD1798" w:rsidRPr="000A05F6" w:rsidRDefault="00DD1798" w:rsidP="00D15A98">
      <w:pPr>
        <w:pStyle w:val="BulletList"/>
      </w:pPr>
      <w:r w:rsidRPr="000A05F6">
        <w:t>Coordinate draft outreach content with the Communications Unit Leader</w:t>
      </w:r>
    </w:p>
    <w:p w14:paraId="3F9A7704" w14:textId="77777777" w:rsidR="00DD1798" w:rsidRPr="0082421A" w:rsidRDefault="00DD1798" w:rsidP="00D15A98">
      <w:pPr>
        <w:pStyle w:val="BulletListFinal"/>
      </w:pPr>
      <w:r w:rsidRPr="000A05F6">
        <w:t>Validate contact information for key accounts, vulnerable customers, and Medical Baseline participants</w:t>
      </w:r>
    </w:p>
    <w:p w14:paraId="23D4A228" w14:textId="77777777" w:rsidR="00DD1798" w:rsidRPr="000A05F6" w:rsidRDefault="00DD1798" w:rsidP="005F4962">
      <w:pPr>
        <w:pStyle w:val="Subheading1"/>
      </w:pPr>
      <w:r w:rsidRPr="000A05F6">
        <w:t>Finance/Administration Section Chief</w:t>
      </w:r>
    </w:p>
    <w:p w14:paraId="2F5D99DF" w14:textId="77777777" w:rsidR="00DD1798" w:rsidRPr="000A05F6" w:rsidRDefault="00DD1798" w:rsidP="00D15A98">
      <w:pPr>
        <w:pStyle w:val="BulletList"/>
      </w:pPr>
      <w:r w:rsidRPr="000A05F6">
        <w:t>Track labor hours, equipment usage, and material costs associated with PPS operations</w:t>
      </w:r>
    </w:p>
    <w:p w14:paraId="34E4C279" w14:textId="77777777" w:rsidR="00DD1798" w:rsidRPr="000A05F6" w:rsidRDefault="00DD1798" w:rsidP="00D15A98">
      <w:pPr>
        <w:pStyle w:val="BulletList"/>
      </w:pPr>
      <w:r w:rsidRPr="000A05F6">
        <w:t>Coordinate with Operations and Logistics Sections for real-time cost and resource data</w:t>
      </w:r>
    </w:p>
    <w:p w14:paraId="47057A37" w14:textId="77777777" w:rsidR="00DD1798" w:rsidRPr="000A05F6" w:rsidRDefault="00DD1798" w:rsidP="00D15A98">
      <w:pPr>
        <w:pStyle w:val="BulletList"/>
      </w:pPr>
      <w:r w:rsidRPr="000A05F6">
        <w:t>Prepare cost reports, timekeeping logs, and financial summaries</w:t>
      </w:r>
    </w:p>
    <w:p w14:paraId="382E7D27" w14:textId="77777777" w:rsidR="00DD1798" w:rsidRPr="000A05F6" w:rsidRDefault="00DD1798" w:rsidP="00D15A98">
      <w:pPr>
        <w:pStyle w:val="BulletList"/>
      </w:pPr>
      <w:r w:rsidRPr="000A05F6">
        <w:t>Complete and submit required ICS forms (e.g., ICS 214, ICS 213RR, ICS 219)</w:t>
      </w:r>
    </w:p>
    <w:p w14:paraId="6A840D98" w14:textId="77777777" w:rsidR="00DD1798" w:rsidRPr="0082421A" w:rsidRDefault="00DD1798" w:rsidP="00D15A98">
      <w:pPr>
        <w:pStyle w:val="BulletListFinal"/>
      </w:pPr>
      <w:r w:rsidRPr="000A05F6">
        <w:t>Support post-event financial reporting, audits, and funding documentation</w:t>
      </w:r>
    </w:p>
    <w:p w14:paraId="670A648C" w14:textId="77777777" w:rsidR="00DD1798" w:rsidRPr="000A05F6" w:rsidRDefault="00DD1798" w:rsidP="005F4962">
      <w:pPr>
        <w:pStyle w:val="Subheading1"/>
      </w:pPr>
      <w:r w:rsidRPr="000A05F6">
        <w:t>Administrative Support Unit (Finance/Admin Section)</w:t>
      </w:r>
    </w:p>
    <w:p w14:paraId="14C03105" w14:textId="77777777" w:rsidR="00DD1798" w:rsidRPr="000A05F6" w:rsidRDefault="00DD1798" w:rsidP="00D15A98">
      <w:pPr>
        <w:pStyle w:val="BulletList"/>
      </w:pPr>
      <w:r w:rsidRPr="000A05F6">
        <w:t>Schedule recurring ICS coordination meetings (e.g., morning and evening briefings)</w:t>
      </w:r>
    </w:p>
    <w:p w14:paraId="2C253E58" w14:textId="77777777" w:rsidR="00DD1798" w:rsidRPr="000A05F6" w:rsidRDefault="00DD1798" w:rsidP="00D15A98">
      <w:pPr>
        <w:pStyle w:val="BulletList"/>
      </w:pPr>
      <w:r w:rsidRPr="000A05F6">
        <w:t>Track and log all communications, decisions, and key planning milestones</w:t>
      </w:r>
    </w:p>
    <w:p w14:paraId="2BD59248" w14:textId="77777777" w:rsidR="00DD1798" w:rsidRPr="000A05F6" w:rsidRDefault="00DD1798" w:rsidP="00D15A98">
      <w:pPr>
        <w:pStyle w:val="BulletList"/>
      </w:pPr>
      <w:r w:rsidRPr="000A05F6">
        <w:t>Assist with preparation of post-event reports and after-action reviews</w:t>
      </w:r>
    </w:p>
    <w:p w14:paraId="3B59A59B" w14:textId="77777777" w:rsidR="00DD1798" w:rsidRPr="000A05F6" w:rsidRDefault="00DD1798" w:rsidP="00D15A98">
      <w:pPr>
        <w:pStyle w:val="BulletListFinal"/>
      </w:pPr>
      <w:r w:rsidRPr="000A05F6">
        <w:t>Complete and file required ICS administrative forms (e.g., ICS 214 Unit Log, ICS 221 Demobilization Check-Out)</w:t>
      </w:r>
    </w:p>
    <w:p w14:paraId="7932EFCA" w14:textId="720E85D2" w:rsidR="00DD1798" w:rsidRPr="00D15A98" w:rsidRDefault="00DD1798" w:rsidP="00D15A98">
      <w:pPr>
        <w:pStyle w:val="BodyText"/>
        <w:rPr>
          <w:i/>
          <w:iCs/>
        </w:rPr>
      </w:pPr>
      <w:r w:rsidRPr="00D15A98">
        <w:rPr>
          <w:i/>
          <w:iCs/>
        </w:rPr>
        <w:t xml:space="preserve">This </w:t>
      </w:r>
      <w:r w:rsidR="009A6EEF" w:rsidRPr="00D15A98">
        <w:rPr>
          <w:i/>
          <w:iCs/>
        </w:rPr>
        <w:t xml:space="preserve">phase </w:t>
      </w:r>
      <w:r w:rsidRPr="00D15A98">
        <w:rPr>
          <w:i/>
          <w:iCs/>
        </w:rPr>
        <w:t>is concluded when conditions either worsen (triggering Phase 2: Imminent PPS) or improve sufficiently to cancel pre-activation procedures.</w:t>
      </w:r>
    </w:p>
    <w:p w14:paraId="54BD0554" w14:textId="7248254A" w:rsidR="00DD1798" w:rsidRPr="000A05F6" w:rsidRDefault="00DD1798" w:rsidP="0090306D">
      <w:pPr>
        <w:pStyle w:val="Appendices-Heading2"/>
      </w:pPr>
      <w:r w:rsidRPr="000A05F6">
        <w:t>Phase 2 - Imminent PPS</w:t>
      </w:r>
    </w:p>
    <w:p w14:paraId="728256C8" w14:textId="77777777" w:rsidR="00DD1798" w:rsidRPr="000A05F6" w:rsidRDefault="00DD1798" w:rsidP="00DD1798">
      <w:pPr>
        <w:rPr>
          <w:rFonts w:ascii="Arial" w:hAnsi="Arial" w:cs="Arial"/>
          <w:i/>
          <w:iCs/>
          <w:color w:val="FF0000"/>
        </w:rPr>
      </w:pPr>
      <w:r w:rsidRPr="000A05F6">
        <w:rPr>
          <w:rFonts w:ascii="Arial" w:hAnsi="Arial" w:cs="Arial"/>
          <w:b/>
          <w:bCs/>
          <w:i/>
          <w:iCs/>
          <w:color w:val="FF0000"/>
        </w:rPr>
        <w:t>48 HOURS UNTIL DE-ENERGIZATION</w:t>
      </w:r>
    </w:p>
    <w:p w14:paraId="0D482CBF" w14:textId="224A97BF" w:rsidR="00DD1798" w:rsidRPr="000A05F6" w:rsidRDefault="00DD1798" w:rsidP="0090306D">
      <w:pPr>
        <w:pStyle w:val="BodyText"/>
      </w:pPr>
      <w:r w:rsidRPr="000A05F6">
        <w:t>This phase is activated when weather forecasts confirm a high probability that de-energization thresholds will be met. All operational units transition from preparation to full readiness and begin execution of Phase 2 protocols.</w:t>
      </w:r>
    </w:p>
    <w:p w14:paraId="270A345F" w14:textId="77777777" w:rsidR="00DD1798" w:rsidRPr="000A05F6" w:rsidRDefault="00DD1798" w:rsidP="005F4962">
      <w:pPr>
        <w:pStyle w:val="Subheading1"/>
      </w:pPr>
      <w:r w:rsidRPr="000A05F6">
        <w:t>Phase 2 Assumptions</w:t>
      </w:r>
    </w:p>
    <w:p w14:paraId="4D87E286" w14:textId="77777777" w:rsidR="00DD1798" w:rsidRPr="000A05F6" w:rsidRDefault="00DD1798" w:rsidP="00D15A98">
      <w:pPr>
        <w:pStyle w:val="BulletList"/>
      </w:pPr>
      <w:r w:rsidRPr="000A05F6">
        <w:t>Weather/fire conditions will exceed thresholds within 48 hours.</w:t>
      </w:r>
    </w:p>
    <w:p w14:paraId="710A097D" w14:textId="77777777" w:rsidR="00DD1798" w:rsidRPr="000A05F6" w:rsidRDefault="00DD1798" w:rsidP="00D15A98">
      <w:pPr>
        <w:pStyle w:val="BulletListFinal"/>
      </w:pPr>
      <w:r w:rsidRPr="000A05F6">
        <w:t>Forecasts confirm sustained threat with no likely alternate path.</w:t>
      </w:r>
    </w:p>
    <w:p w14:paraId="291B064F" w14:textId="77777777" w:rsidR="00DD1798" w:rsidRPr="000A05F6" w:rsidRDefault="00DD1798" w:rsidP="005F4962">
      <w:pPr>
        <w:pStyle w:val="Subheading1"/>
      </w:pPr>
      <w:r w:rsidRPr="000A05F6">
        <w:lastRenderedPageBreak/>
        <w:t>Objectives</w:t>
      </w:r>
    </w:p>
    <w:p w14:paraId="0CCDCEF5" w14:textId="77777777" w:rsidR="00DD1798" w:rsidRPr="000A05F6" w:rsidRDefault="00DD1798" w:rsidP="00D15A98">
      <w:pPr>
        <w:pStyle w:val="BulletList"/>
      </w:pPr>
      <w:r w:rsidRPr="000A05F6">
        <w:t>Confirm operational readiness across departments</w:t>
      </w:r>
    </w:p>
    <w:p w14:paraId="4E8940B4" w14:textId="77777777" w:rsidR="00DD1798" w:rsidRPr="000A05F6" w:rsidRDefault="00DD1798" w:rsidP="00D15A98">
      <w:pPr>
        <w:pStyle w:val="BulletList"/>
      </w:pPr>
      <w:r w:rsidRPr="000A05F6">
        <w:t>Communicate imminent risk to customers and stakeholders</w:t>
      </w:r>
    </w:p>
    <w:p w14:paraId="02841FF9" w14:textId="77777777" w:rsidR="00DD1798" w:rsidRPr="00D15A98" w:rsidRDefault="00DD1798" w:rsidP="00D15A98">
      <w:pPr>
        <w:pStyle w:val="BulletListFinal"/>
      </w:pPr>
      <w:r w:rsidRPr="00D15A98">
        <w:t>Stage resources and staff for system impact and CRC deployment</w:t>
      </w:r>
    </w:p>
    <w:p w14:paraId="60160D39" w14:textId="6A0D6480" w:rsidR="00DD1798" w:rsidRPr="005E6772" w:rsidRDefault="00DD1798" w:rsidP="0090306D">
      <w:pPr>
        <w:pStyle w:val="Appendices-Heading3"/>
      </w:pPr>
      <w:r w:rsidRPr="0082421A">
        <w:t>Key Actions by Role</w:t>
      </w:r>
    </w:p>
    <w:p w14:paraId="49063BE4" w14:textId="77777777" w:rsidR="00DD1798" w:rsidRPr="000A05F6" w:rsidRDefault="00DD1798" w:rsidP="005F4962">
      <w:pPr>
        <w:pStyle w:val="Subheading1"/>
      </w:pPr>
      <w:r w:rsidRPr="000A05F6">
        <w:t>Incident Commander (IC)</w:t>
      </w:r>
    </w:p>
    <w:p w14:paraId="0F348128" w14:textId="77777777" w:rsidR="00DD1798" w:rsidRPr="00D15A98" w:rsidRDefault="00DD1798" w:rsidP="00D15A98">
      <w:pPr>
        <w:pStyle w:val="BulletList"/>
      </w:pPr>
      <w:r w:rsidRPr="00D15A98">
        <w:t>Confirm readiness and initiate transition to Phase 2</w:t>
      </w:r>
    </w:p>
    <w:p w14:paraId="6C4BA183" w14:textId="77777777" w:rsidR="00DD1798" w:rsidRPr="00D15A98" w:rsidRDefault="00DD1798" w:rsidP="00D15A98">
      <w:pPr>
        <w:pStyle w:val="BulletList"/>
      </w:pPr>
      <w:r w:rsidRPr="00D15A98">
        <w:t>Notify General Manager and Command and General Staff of the transition</w:t>
      </w:r>
    </w:p>
    <w:p w14:paraId="2C801175" w14:textId="77777777" w:rsidR="00DD1798" w:rsidRPr="00D15A98" w:rsidRDefault="00DD1798" w:rsidP="00D15A98">
      <w:pPr>
        <w:pStyle w:val="BulletListFinal"/>
      </w:pPr>
      <w:r w:rsidRPr="00D15A98">
        <w:t>Lead cross-functional readiness briefings and decision-making</w:t>
      </w:r>
    </w:p>
    <w:p w14:paraId="482A7A83" w14:textId="77777777" w:rsidR="00DD1798" w:rsidRPr="000A05F6" w:rsidRDefault="00DD1798" w:rsidP="005F4962">
      <w:pPr>
        <w:pStyle w:val="Subheading1"/>
      </w:pPr>
      <w:r w:rsidRPr="000A05F6">
        <w:t>Operations Section Chief</w:t>
      </w:r>
    </w:p>
    <w:p w14:paraId="20AAD898" w14:textId="15B2848D" w:rsidR="00DD1798" w:rsidRPr="00D15A98" w:rsidRDefault="00DD1798" w:rsidP="00D15A98">
      <w:pPr>
        <w:pStyle w:val="BulletList"/>
      </w:pPr>
      <w:r w:rsidRPr="00D15A98">
        <w:t>Confirm at-risk electric circuits and critical water infrastructure with Planning Section</w:t>
      </w:r>
      <w:r w:rsidR="00D15A98">
        <w:t> </w:t>
      </w:r>
      <w:r w:rsidRPr="00D15A98">
        <w:t>Chief</w:t>
      </w:r>
    </w:p>
    <w:p w14:paraId="5544135D" w14:textId="77777777" w:rsidR="00DD1798" w:rsidRPr="00D15A98" w:rsidRDefault="00DD1798" w:rsidP="00D15A98">
      <w:pPr>
        <w:pStyle w:val="BulletList"/>
      </w:pPr>
      <w:r w:rsidRPr="00D15A98">
        <w:t>Ensure readiness of electric patrol teams, field crews, and Community Resource Center (CRC) field support</w:t>
      </w:r>
    </w:p>
    <w:p w14:paraId="2FA7AFF3" w14:textId="4EAC53FF" w:rsidR="00DD1798" w:rsidRPr="00D15A98" w:rsidRDefault="00DD1798" w:rsidP="00D15A98">
      <w:pPr>
        <w:pStyle w:val="BulletList"/>
      </w:pPr>
      <w:r w:rsidRPr="00D15A98">
        <w:t>Verify pre-positioning of materials, tools, and staffing resources for electric and water</w:t>
      </w:r>
      <w:r w:rsidR="00D15A98">
        <w:t> </w:t>
      </w:r>
      <w:r w:rsidRPr="00D15A98">
        <w:t>operations</w:t>
      </w:r>
    </w:p>
    <w:p w14:paraId="4F15DCF6" w14:textId="77777777" w:rsidR="00DD1798" w:rsidRPr="00D15A98" w:rsidRDefault="00DD1798" w:rsidP="00D15A98">
      <w:pPr>
        <w:pStyle w:val="BulletList"/>
      </w:pPr>
      <w:r w:rsidRPr="00D15A98">
        <w:t>Coordinate generator deployment to water system facilities and confirm start-up at key sites (in coordination with electricians)</w:t>
      </w:r>
    </w:p>
    <w:p w14:paraId="14CAA17C" w14:textId="7F57B5B1" w:rsidR="00DD1798" w:rsidRPr="00D15A98" w:rsidRDefault="00DD1798" w:rsidP="00D15A98">
      <w:pPr>
        <w:pStyle w:val="BulletListFinal"/>
      </w:pPr>
      <w:r w:rsidRPr="00D15A98">
        <w:t>Confirm communications readiness across operations teams, including radio and SCADA</w:t>
      </w:r>
      <w:r w:rsidR="00D15A98">
        <w:t> </w:t>
      </w:r>
      <w:r w:rsidRPr="00D15A98">
        <w:t>systems</w:t>
      </w:r>
    </w:p>
    <w:p w14:paraId="3CA1DCE7" w14:textId="77777777" w:rsidR="00DD1798" w:rsidRPr="000A05F6" w:rsidRDefault="00DD1798" w:rsidP="005F4962">
      <w:pPr>
        <w:pStyle w:val="Subheading1"/>
      </w:pPr>
      <w:r w:rsidRPr="000A05F6">
        <w:t>Planning Section Chief</w:t>
      </w:r>
    </w:p>
    <w:p w14:paraId="28A44F01" w14:textId="77777777" w:rsidR="00DD1798" w:rsidRPr="00D15A98" w:rsidRDefault="00DD1798" w:rsidP="00D15A98">
      <w:pPr>
        <w:pStyle w:val="BulletList"/>
      </w:pPr>
      <w:r w:rsidRPr="00D15A98">
        <w:t>Finalize de-energization zone maps for electric and water systems</w:t>
      </w:r>
    </w:p>
    <w:p w14:paraId="42779EF9" w14:textId="77777777" w:rsidR="00DD1798" w:rsidRPr="00D15A98" w:rsidRDefault="00DD1798" w:rsidP="00D15A98">
      <w:pPr>
        <w:pStyle w:val="BulletList"/>
      </w:pPr>
      <w:r w:rsidRPr="00D15A98">
        <w:t>Provide updated OMS and GIS data for use in field operations and situational awareness</w:t>
      </w:r>
    </w:p>
    <w:p w14:paraId="021A867C" w14:textId="0DA7244C" w:rsidR="00DD1798" w:rsidRPr="00D15A98" w:rsidRDefault="00DD1798" w:rsidP="00D15A98">
      <w:pPr>
        <w:pStyle w:val="BulletList"/>
      </w:pPr>
      <w:r w:rsidRPr="00D15A98">
        <w:t>Deliver technical system data to support tactical field decisions and public</w:t>
      </w:r>
      <w:r w:rsidR="0090306D">
        <w:t> </w:t>
      </w:r>
      <w:r w:rsidRPr="00D15A98">
        <w:t>communications</w:t>
      </w:r>
    </w:p>
    <w:p w14:paraId="4EA5F639" w14:textId="77777777" w:rsidR="00DD1798" w:rsidRPr="00D15A98" w:rsidRDefault="00DD1798" w:rsidP="00D15A98">
      <w:pPr>
        <w:pStyle w:val="BulletList"/>
      </w:pPr>
      <w:r w:rsidRPr="00D15A98">
        <w:t>Coordinate with Operations Section Chief and Logistics to ensure water system continuity, including generator placement, equipment readiness, and site accessibility</w:t>
      </w:r>
    </w:p>
    <w:p w14:paraId="4FE3C4DF" w14:textId="77777777" w:rsidR="00DD1798" w:rsidRPr="00D15A98" w:rsidRDefault="00DD1798" w:rsidP="00D15A98">
      <w:pPr>
        <w:pStyle w:val="BulletListFinal"/>
      </w:pPr>
      <w:r w:rsidRPr="00D15A98">
        <w:t>Confirm communications equipment and system monitoring functionality (SCADA, radios, alarms)</w:t>
      </w:r>
    </w:p>
    <w:p w14:paraId="70047986" w14:textId="77777777" w:rsidR="00DD1798" w:rsidRDefault="00DD1798" w:rsidP="005F4962">
      <w:pPr>
        <w:pStyle w:val="Subheading1"/>
      </w:pPr>
      <w:r w:rsidRPr="006952E6">
        <w:t>Logistics Section Chief</w:t>
      </w:r>
    </w:p>
    <w:p w14:paraId="76B6F3B3" w14:textId="1DD27221" w:rsidR="00DD1798" w:rsidRPr="00D15A98" w:rsidRDefault="00DD1798" w:rsidP="00D15A98">
      <w:pPr>
        <w:pStyle w:val="BulletList"/>
      </w:pPr>
      <w:r w:rsidRPr="00D15A98">
        <w:t>Coordinate with Operations and Planning Sections to anticipate support needs for field</w:t>
      </w:r>
      <w:r w:rsidR="00D15A98">
        <w:t> </w:t>
      </w:r>
      <w:r w:rsidRPr="00D15A98">
        <w:t>deployment</w:t>
      </w:r>
    </w:p>
    <w:p w14:paraId="63B01B20" w14:textId="77777777" w:rsidR="00DD1798" w:rsidRPr="00D15A98" w:rsidRDefault="00DD1798" w:rsidP="00D15A98">
      <w:pPr>
        <w:pStyle w:val="BulletList"/>
      </w:pPr>
      <w:r w:rsidRPr="00D15A98">
        <w:t>Arrange lodging and meals for field and support personnel during multi-day PPS events</w:t>
      </w:r>
    </w:p>
    <w:p w14:paraId="760D99A0" w14:textId="77777777" w:rsidR="00DD1798" w:rsidRPr="00D15A98" w:rsidRDefault="00DD1798" w:rsidP="00D15A98">
      <w:pPr>
        <w:pStyle w:val="BulletList"/>
      </w:pPr>
      <w:r w:rsidRPr="00D15A98">
        <w:t>Procure and distribute necessary materials, tools, and emergency fuel to support electric and water operations</w:t>
      </w:r>
    </w:p>
    <w:p w14:paraId="02CB8AC3" w14:textId="68DD9232" w:rsidR="00DD1798" w:rsidRPr="00D15A98" w:rsidRDefault="00DD1798" w:rsidP="00D15A98">
      <w:pPr>
        <w:pStyle w:val="BulletList"/>
      </w:pPr>
      <w:r w:rsidRPr="00D15A98">
        <w:t>Manage staging areas, rest locations, and the Incident Command Post (ICP) to ensure</w:t>
      </w:r>
      <w:r w:rsidR="00D15A98">
        <w:t> </w:t>
      </w:r>
      <w:r w:rsidRPr="00D15A98">
        <w:t>readiness</w:t>
      </w:r>
    </w:p>
    <w:p w14:paraId="5597033A" w14:textId="5510AF2C" w:rsidR="00DD1798" w:rsidRPr="00D15A98" w:rsidRDefault="00DD1798" w:rsidP="00D15A98">
      <w:pPr>
        <w:pStyle w:val="BulletList"/>
      </w:pPr>
      <w:r w:rsidRPr="00D15A98">
        <w:lastRenderedPageBreak/>
        <w:t>Provide transportation logistics, including vehicle coordination and support for field</w:t>
      </w:r>
      <w:r w:rsidR="00D15A98">
        <w:t> </w:t>
      </w:r>
      <w:r w:rsidRPr="00D15A98">
        <w:t>mobility</w:t>
      </w:r>
    </w:p>
    <w:p w14:paraId="1D639E3E" w14:textId="77777777" w:rsidR="00DD1798" w:rsidRPr="00D15A98" w:rsidRDefault="00DD1798" w:rsidP="00D15A98">
      <w:pPr>
        <w:pStyle w:val="BulletListFinal"/>
      </w:pPr>
      <w:r w:rsidRPr="00D15A98">
        <w:t>Ensure availability of basic medical supplies and support for crew health and safety in the field</w:t>
      </w:r>
    </w:p>
    <w:p w14:paraId="11BA76A9" w14:textId="77777777" w:rsidR="00DD1798" w:rsidRPr="000A05F6" w:rsidRDefault="00DD1798" w:rsidP="005F4962">
      <w:pPr>
        <w:pStyle w:val="Subheading1"/>
      </w:pPr>
      <w:r w:rsidRPr="000A05F6">
        <w:t>Public Information Officer (PIO)</w:t>
      </w:r>
    </w:p>
    <w:p w14:paraId="3966E578" w14:textId="77777777" w:rsidR="00DD1798" w:rsidRPr="00D15A98" w:rsidRDefault="00DD1798" w:rsidP="00D15A98">
      <w:pPr>
        <w:pStyle w:val="BulletList"/>
      </w:pPr>
      <w:r w:rsidRPr="00D15A98">
        <w:t xml:space="preserve">Distribute updated internal communications and email messaging to staff </w:t>
      </w:r>
    </w:p>
    <w:p w14:paraId="3B7E0FA6" w14:textId="77777777" w:rsidR="00DD1798" w:rsidRPr="00D15A98" w:rsidRDefault="00DD1798" w:rsidP="00D15A98">
      <w:pPr>
        <w:pStyle w:val="BulletList"/>
      </w:pPr>
      <w:r w:rsidRPr="00D15A98">
        <w:t>Finalize and issue talking points and situational updates to internal teams</w:t>
      </w:r>
    </w:p>
    <w:p w14:paraId="6E2B3216" w14:textId="77777777" w:rsidR="00DD1798" w:rsidRPr="00D15A98" w:rsidRDefault="00DD1798" w:rsidP="00D15A98">
      <w:pPr>
        <w:pStyle w:val="BulletList"/>
      </w:pPr>
      <w:r w:rsidRPr="00D15A98">
        <w:t>Coordinate public-facing messaging in alignment with Communications Unit Leader</w:t>
      </w:r>
    </w:p>
    <w:p w14:paraId="0A2D6D95" w14:textId="77777777" w:rsidR="00DD1798" w:rsidRPr="00D15A98" w:rsidRDefault="00DD1798" w:rsidP="00D15A98">
      <w:pPr>
        <w:pStyle w:val="BulletListFinal"/>
      </w:pPr>
      <w:r w:rsidRPr="00D15A98">
        <w:t>Support CRC activation planning, including notification procedures, readiness confirmation, and coordination of on-site support</w:t>
      </w:r>
    </w:p>
    <w:p w14:paraId="0BD19CB6" w14:textId="77777777" w:rsidR="00DD1798" w:rsidRPr="000A05F6" w:rsidRDefault="00DD1798" w:rsidP="005F4962">
      <w:pPr>
        <w:pStyle w:val="Subheading1"/>
      </w:pPr>
      <w:r w:rsidRPr="000A05F6">
        <w:t>Communications Unit Leader</w:t>
      </w:r>
    </w:p>
    <w:p w14:paraId="0375B2B6" w14:textId="77777777" w:rsidR="00DD1798" w:rsidRPr="00D15A98" w:rsidRDefault="00DD1798" w:rsidP="00D15A98">
      <w:pPr>
        <w:pStyle w:val="BulletList"/>
      </w:pPr>
      <w:r w:rsidRPr="00D15A98">
        <w:t>Finalize and publish messaging for the website, email, and social media platforms</w:t>
      </w:r>
    </w:p>
    <w:p w14:paraId="55559342" w14:textId="02E6E674" w:rsidR="00DD1798" w:rsidRPr="00D15A98" w:rsidRDefault="00DD1798" w:rsidP="00D15A98">
      <w:pPr>
        <w:pStyle w:val="BulletList"/>
      </w:pPr>
      <w:r w:rsidRPr="00D15A98">
        <w:t>Coordinate partner messaging efforts, including press releases, PSAs, and CMS</w:t>
      </w:r>
      <w:r w:rsidR="00D15A98">
        <w:t> </w:t>
      </w:r>
      <w:r w:rsidRPr="00D15A98">
        <w:t>notifications</w:t>
      </w:r>
    </w:p>
    <w:p w14:paraId="4EFF2C15" w14:textId="77777777" w:rsidR="00DD1798" w:rsidRPr="00D15A98" w:rsidRDefault="00DD1798" w:rsidP="00D15A98">
      <w:pPr>
        <w:pStyle w:val="BulletListFinal"/>
      </w:pPr>
      <w:r w:rsidRPr="00D15A98">
        <w:t>Support all digital and external communication channels in coordination with the PIO</w:t>
      </w:r>
    </w:p>
    <w:p w14:paraId="2E4B0B0E" w14:textId="77777777" w:rsidR="00DD1798" w:rsidRPr="000A05F6" w:rsidRDefault="00DD1798" w:rsidP="005F4962">
      <w:pPr>
        <w:pStyle w:val="Subheading1"/>
      </w:pPr>
      <w:r w:rsidRPr="000A05F6">
        <w:t>Safety/Liaison Officer</w:t>
      </w:r>
    </w:p>
    <w:p w14:paraId="0FF3E15E" w14:textId="77777777" w:rsidR="00DD1798" w:rsidRPr="00D15A98" w:rsidRDefault="00DD1798" w:rsidP="00D15A98">
      <w:pPr>
        <w:pStyle w:val="BulletList"/>
      </w:pPr>
      <w:r w:rsidRPr="00D15A98">
        <w:t>Initiate notifications to public safety agencies, emergency management, and regulatory stakeholders regarding elevated PPS risk</w:t>
      </w:r>
    </w:p>
    <w:p w14:paraId="1A199F5A" w14:textId="77777777" w:rsidR="00DD1798" w:rsidRPr="00D15A98" w:rsidRDefault="00DD1798" w:rsidP="00D15A98">
      <w:pPr>
        <w:pStyle w:val="BulletList"/>
      </w:pPr>
      <w:r w:rsidRPr="00D15A98">
        <w:t>Log critical decisions, coordination actions, and regulatory steps</w:t>
      </w:r>
    </w:p>
    <w:p w14:paraId="64030F1E" w14:textId="464B6A6F" w:rsidR="00DD1798" w:rsidRPr="00D15A98" w:rsidRDefault="00DD1798" w:rsidP="00D15A98">
      <w:pPr>
        <w:pStyle w:val="BulletListFinal"/>
      </w:pPr>
      <w:r w:rsidRPr="00D15A98">
        <w:t>Monitor and ensure continued alignment with safety standards and public health</w:t>
      </w:r>
      <w:r w:rsidR="00D15A98">
        <w:t> </w:t>
      </w:r>
      <w:r w:rsidRPr="00D15A98">
        <w:t>protocols</w:t>
      </w:r>
    </w:p>
    <w:p w14:paraId="6467E06A" w14:textId="77777777" w:rsidR="00DD1798" w:rsidRPr="000A05F6" w:rsidRDefault="00DD1798" w:rsidP="005F4962">
      <w:pPr>
        <w:pStyle w:val="Subheading1"/>
      </w:pPr>
      <w:r w:rsidRPr="000A05F6">
        <w:t>Customer Outreach Unit Leader</w:t>
      </w:r>
    </w:p>
    <w:p w14:paraId="00193FA4" w14:textId="77777777" w:rsidR="00DD1798" w:rsidRPr="00D15A98" w:rsidRDefault="00DD1798" w:rsidP="00D15A98">
      <w:pPr>
        <w:pStyle w:val="BulletList"/>
      </w:pPr>
      <w:r w:rsidRPr="00D15A98">
        <w:t>Execute targeted outreach to vulnerable populations and high-impact customers</w:t>
      </w:r>
    </w:p>
    <w:p w14:paraId="63AB3717" w14:textId="77777777" w:rsidR="00DD1798" w:rsidRPr="00D15A98" w:rsidRDefault="00DD1798" w:rsidP="00D15A98">
      <w:pPr>
        <w:pStyle w:val="BulletList"/>
      </w:pPr>
      <w:r w:rsidRPr="00D15A98">
        <w:t>Confirm readiness of Customer Service Representatives (CSRs) and initiate outbound contact plans</w:t>
      </w:r>
    </w:p>
    <w:p w14:paraId="3A6D5642" w14:textId="77777777" w:rsidR="00DD1798" w:rsidRPr="00D15A98" w:rsidRDefault="00DD1798" w:rsidP="00D15A98">
      <w:pPr>
        <w:pStyle w:val="BulletListFinal"/>
      </w:pPr>
      <w:r w:rsidRPr="00D15A98">
        <w:t>Lead coordination and response for key customer updates and status inquiries</w:t>
      </w:r>
    </w:p>
    <w:p w14:paraId="0F92EE7B" w14:textId="77777777" w:rsidR="00DD1798" w:rsidRPr="000A05F6" w:rsidRDefault="00DD1798" w:rsidP="005F4962">
      <w:pPr>
        <w:pStyle w:val="Subheading1"/>
      </w:pPr>
      <w:r w:rsidRPr="000A05F6">
        <w:t>Finance/Administration Section Chief</w:t>
      </w:r>
    </w:p>
    <w:p w14:paraId="12D3A99F" w14:textId="77777777" w:rsidR="00DD1798" w:rsidRPr="00D15A98" w:rsidRDefault="00DD1798" w:rsidP="00D15A98">
      <w:pPr>
        <w:pStyle w:val="BulletList"/>
      </w:pPr>
      <w:r w:rsidRPr="00D15A98">
        <w:t>Update cost tracking logs and verify accuracy of pre-event resource expenditures</w:t>
      </w:r>
    </w:p>
    <w:p w14:paraId="5D1EF06F" w14:textId="77777777" w:rsidR="00DD1798" w:rsidRPr="00D15A98" w:rsidRDefault="00DD1798" w:rsidP="00D15A98">
      <w:pPr>
        <w:pStyle w:val="BulletList"/>
      </w:pPr>
      <w:r w:rsidRPr="00D15A98">
        <w:t>Review and approve resource requests for generator support, fuel supply, and staffing</w:t>
      </w:r>
    </w:p>
    <w:p w14:paraId="06FAAA98" w14:textId="77777777" w:rsidR="00DD1798" w:rsidRPr="00D15A98" w:rsidRDefault="00DD1798" w:rsidP="00D15A98">
      <w:pPr>
        <w:pStyle w:val="BulletList"/>
      </w:pPr>
      <w:r w:rsidRPr="00D15A98">
        <w:t>Maintain updated ICS financial documentation (ICS 213RR, 214, etc.)</w:t>
      </w:r>
    </w:p>
    <w:p w14:paraId="2D4E183D" w14:textId="563EFB2A" w:rsidR="00DD1798" w:rsidRPr="00D15A98" w:rsidRDefault="00DD1798" w:rsidP="00D15A98">
      <w:pPr>
        <w:pStyle w:val="BulletListFinal"/>
      </w:pPr>
      <w:r w:rsidRPr="00D15A98">
        <w:t>Ensure readiness for real-time documentation during de-energizatio</w:t>
      </w:r>
      <w:r w:rsidR="00D15A98">
        <w:t>n</w:t>
      </w:r>
    </w:p>
    <w:p w14:paraId="2804B2DB" w14:textId="77777777" w:rsidR="00DD1798" w:rsidRPr="000A05F6" w:rsidRDefault="00DD1798" w:rsidP="005F4962">
      <w:pPr>
        <w:pStyle w:val="Subheading1"/>
      </w:pPr>
      <w:r w:rsidRPr="000A05F6">
        <w:t>Administrative Support Unit (Finance/Admin Section)</w:t>
      </w:r>
    </w:p>
    <w:p w14:paraId="574E351A" w14:textId="77777777" w:rsidR="00DD1798" w:rsidRPr="000A05F6" w:rsidRDefault="00DD1798" w:rsidP="00D15A98">
      <w:pPr>
        <w:pStyle w:val="BulletList"/>
      </w:pPr>
      <w:r w:rsidRPr="000A05F6">
        <w:t>Issue updated Incident Action Plan (IAP) for Phase 2</w:t>
      </w:r>
    </w:p>
    <w:p w14:paraId="6E581377" w14:textId="312FC5D4" w:rsidR="00DD1798" w:rsidRPr="00D15A98" w:rsidRDefault="00DD1798" w:rsidP="00D15A98">
      <w:pPr>
        <w:pStyle w:val="BulletListFinal"/>
      </w:pPr>
      <w:r w:rsidRPr="00D15A98">
        <w:t>Support daily situational meetings, track section deliverables, and maintain document</w:t>
      </w:r>
      <w:r w:rsidR="00D15A98">
        <w:t> </w:t>
      </w:r>
      <w:r w:rsidRPr="00D15A98">
        <w:t>control</w:t>
      </w:r>
    </w:p>
    <w:p w14:paraId="43EFA116" w14:textId="77777777" w:rsidR="00DD1798" w:rsidRPr="000A05F6" w:rsidRDefault="00DD1798" w:rsidP="00D15A98">
      <w:pPr>
        <w:pStyle w:val="BodyText"/>
      </w:pPr>
      <w:r w:rsidRPr="000A05F6">
        <w:t>Document CRC readiness, internal staffing assignments, and communications milestones</w:t>
      </w:r>
    </w:p>
    <w:p w14:paraId="5B038F59" w14:textId="77777777" w:rsidR="00DD1798" w:rsidRPr="00D15A98" w:rsidRDefault="00DD1798" w:rsidP="00D15A98">
      <w:pPr>
        <w:pStyle w:val="BodyText"/>
        <w:rPr>
          <w:i/>
          <w:iCs/>
        </w:rPr>
      </w:pPr>
      <w:r w:rsidRPr="00D15A98">
        <w:rPr>
          <w:i/>
          <w:iCs/>
        </w:rPr>
        <w:lastRenderedPageBreak/>
        <w:t>This phase concludes upon the start of the de-energization event or cancellation due to improved conditions.</w:t>
      </w:r>
    </w:p>
    <w:p w14:paraId="3F40301E" w14:textId="6E5E1D35" w:rsidR="00DD1798" w:rsidRPr="000A05F6" w:rsidRDefault="00DD1798" w:rsidP="0090306D">
      <w:pPr>
        <w:pStyle w:val="Appendices-Heading2"/>
      </w:pPr>
      <w:r w:rsidRPr="000A05F6">
        <w:t>Phase 3 - Imminent PPS</w:t>
      </w:r>
    </w:p>
    <w:p w14:paraId="1C82CA04" w14:textId="77777777" w:rsidR="00DD1798" w:rsidRPr="000A05F6" w:rsidRDefault="00DD1798" w:rsidP="00DD1798">
      <w:pPr>
        <w:rPr>
          <w:rFonts w:ascii="Arial" w:hAnsi="Arial" w:cs="Arial"/>
          <w:i/>
          <w:iCs/>
          <w:color w:val="FF0000"/>
        </w:rPr>
      </w:pPr>
      <w:r w:rsidRPr="000A05F6">
        <w:rPr>
          <w:rFonts w:ascii="Arial" w:hAnsi="Arial" w:cs="Arial"/>
          <w:b/>
          <w:bCs/>
          <w:i/>
          <w:iCs/>
          <w:color w:val="FF0000"/>
        </w:rPr>
        <w:t>24 HOURS UNTIL DE-ENERGIZATION</w:t>
      </w:r>
    </w:p>
    <w:p w14:paraId="608CAA22" w14:textId="0C5B69B9" w:rsidR="00DD1798" w:rsidRPr="000A05F6" w:rsidRDefault="00DD1798" w:rsidP="00D15A98">
      <w:pPr>
        <w:pStyle w:val="BodyText"/>
      </w:pPr>
      <w:r w:rsidRPr="000A05F6">
        <w:t>This phase is activated when weather and fire risk forecasts confirm that de-energization is highly probable within 24 hours. All coordination efforts must shift to near-term execution and resource</w:t>
      </w:r>
      <w:r w:rsidR="00CB7D34">
        <w:t> </w:t>
      </w:r>
      <w:r w:rsidRPr="000A05F6">
        <w:t>mobilization.</w:t>
      </w:r>
    </w:p>
    <w:p w14:paraId="196722BE" w14:textId="77777777" w:rsidR="00DD1798" w:rsidRPr="000A05F6" w:rsidRDefault="00DD1798" w:rsidP="005F4962">
      <w:pPr>
        <w:pStyle w:val="Subheading1"/>
      </w:pPr>
      <w:r w:rsidRPr="000A05F6">
        <w:t>Phase 3 Assumptions</w:t>
      </w:r>
    </w:p>
    <w:p w14:paraId="24AC8946" w14:textId="77777777" w:rsidR="00DD1798" w:rsidRPr="000A05F6" w:rsidRDefault="00DD1798" w:rsidP="00D15A98">
      <w:pPr>
        <w:pStyle w:val="BulletList"/>
      </w:pPr>
      <w:r w:rsidRPr="000A05F6">
        <w:t>Weather/fire conditions will exceed thresholds within 24 hours.</w:t>
      </w:r>
    </w:p>
    <w:p w14:paraId="0A1B0964" w14:textId="77777777" w:rsidR="00DD1798" w:rsidRPr="000A05F6" w:rsidRDefault="00DD1798" w:rsidP="00D15A98">
      <w:pPr>
        <w:pStyle w:val="BulletListFinal"/>
      </w:pPr>
      <w:r w:rsidRPr="000A05F6">
        <w:t>Forecast models confirm direct impact with no deviation expected.</w:t>
      </w:r>
    </w:p>
    <w:p w14:paraId="4A43F554" w14:textId="77777777" w:rsidR="00DD1798" w:rsidRPr="000A05F6" w:rsidRDefault="00DD1798" w:rsidP="005F4962">
      <w:pPr>
        <w:pStyle w:val="Subheading1"/>
      </w:pPr>
      <w:r w:rsidRPr="000A05F6">
        <w:t>Objectives</w:t>
      </w:r>
    </w:p>
    <w:p w14:paraId="2C27739B" w14:textId="77777777" w:rsidR="00DD1798" w:rsidRPr="000A05F6" w:rsidRDefault="00DD1798" w:rsidP="00D15A98">
      <w:pPr>
        <w:pStyle w:val="BulletList"/>
      </w:pPr>
      <w:r w:rsidRPr="000A05F6">
        <w:t>Finalize communications to customers and partners.</w:t>
      </w:r>
    </w:p>
    <w:p w14:paraId="008ABDDB" w14:textId="77777777" w:rsidR="00DD1798" w:rsidRPr="000A05F6" w:rsidRDefault="00DD1798" w:rsidP="00D15A98">
      <w:pPr>
        <w:pStyle w:val="BulletList"/>
      </w:pPr>
      <w:r w:rsidRPr="000A05F6">
        <w:t>Confirm CRC logistics and team readiness.</w:t>
      </w:r>
    </w:p>
    <w:p w14:paraId="65A2250A" w14:textId="77777777" w:rsidR="00DD1798" w:rsidRPr="000A05F6" w:rsidRDefault="00DD1798" w:rsidP="00D15A98">
      <w:pPr>
        <w:pStyle w:val="BulletListFinal"/>
      </w:pPr>
      <w:r w:rsidRPr="000A05F6">
        <w:t>Mobilize critical resources and finalize internal staffing.</w:t>
      </w:r>
    </w:p>
    <w:p w14:paraId="2D7DA41B" w14:textId="52E9F1B5" w:rsidR="00370F63" w:rsidRPr="00370F63" w:rsidRDefault="00370F63" w:rsidP="001B420C">
      <w:pPr>
        <w:pStyle w:val="Appendices-Heading3"/>
      </w:pPr>
      <w:r w:rsidRPr="00370F63">
        <w:t>Key Actions by Role</w:t>
      </w:r>
    </w:p>
    <w:p w14:paraId="1873F077" w14:textId="77777777" w:rsidR="00DD1798" w:rsidRPr="000A05F6" w:rsidRDefault="00DD1798" w:rsidP="005F4962">
      <w:pPr>
        <w:pStyle w:val="Subheading1"/>
      </w:pPr>
      <w:r w:rsidRPr="000A05F6">
        <w:t>Incident Commander (IC)</w:t>
      </w:r>
    </w:p>
    <w:p w14:paraId="32DCBF87" w14:textId="77777777" w:rsidR="00DD1798" w:rsidRPr="000A05F6" w:rsidRDefault="00DD1798" w:rsidP="00D15A98">
      <w:pPr>
        <w:pStyle w:val="BulletList"/>
      </w:pPr>
      <w:r w:rsidRPr="000A05F6">
        <w:t>Conduct final review of environmental conditions and operational readiness</w:t>
      </w:r>
    </w:p>
    <w:p w14:paraId="7D0F6914" w14:textId="77777777" w:rsidR="00D15A98" w:rsidRDefault="00DD1798" w:rsidP="00D15A98">
      <w:pPr>
        <w:pStyle w:val="BulletList"/>
      </w:pPr>
      <w:r w:rsidRPr="000A05F6">
        <w:t>Confirm de-energization timeline in coordination with the General Manager and Executive Leadership</w:t>
      </w:r>
    </w:p>
    <w:p w14:paraId="59AC5DA8" w14:textId="6125AA9E" w:rsidR="00DD1798" w:rsidRPr="000A05F6" w:rsidRDefault="00DD1798" w:rsidP="00D15A98">
      <w:pPr>
        <w:pStyle w:val="BulletListFinal"/>
      </w:pPr>
      <w:r w:rsidRPr="000A05F6">
        <w:t>Lead 24-hour coordination meetings and approve trigger execution based on Planning and Operations input</w:t>
      </w:r>
    </w:p>
    <w:p w14:paraId="39247C0C" w14:textId="77777777" w:rsidR="00DD1798" w:rsidRPr="000A05F6" w:rsidRDefault="00DD1798" w:rsidP="005F4962">
      <w:pPr>
        <w:pStyle w:val="Subheading1"/>
      </w:pPr>
      <w:r w:rsidRPr="000A05F6">
        <w:t>Operations Section Chief</w:t>
      </w:r>
    </w:p>
    <w:p w14:paraId="47B7A90F" w14:textId="77777777" w:rsidR="00DD1798" w:rsidRPr="000A05F6" w:rsidRDefault="00DD1798" w:rsidP="00D15A98">
      <w:pPr>
        <w:pStyle w:val="BulletList"/>
      </w:pPr>
      <w:r w:rsidRPr="000A05F6">
        <w:t>Validate readiness of patrol and restoration crews for both electric and water systems</w:t>
      </w:r>
    </w:p>
    <w:p w14:paraId="6BDD6FF9" w14:textId="77777777" w:rsidR="00DD1798" w:rsidRPr="000A05F6" w:rsidRDefault="00DD1798" w:rsidP="00D15A98">
      <w:pPr>
        <w:pStyle w:val="BulletList"/>
      </w:pPr>
      <w:r w:rsidRPr="000A05F6">
        <w:t>Confirm staging of field equipment, mobile generators, and resource allocations</w:t>
      </w:r>
    </w:p>
    <w:p w14:paraId="291DA742" w14:textId="77777777" w:rsidR="00DD1798" w:rsidRPr="000A05F6" w:rsidRDefault="00DD1798" w:rsidP="00D15A98">
      <w:pPr>
        <w:pStyle w:val="BulletList"/>
      </w:pPr>
      <w:r w:rsidRPr="000A05F6">
        <w:t>Place water crews on standby for rapid deployment</w:t>
      </w:r>
    </w:p>
    <w:p w14:paraId="71A655EE" w14:textId="77777777" w:rsidR="00DD1798" w:rsidRPr="000A05F6" w:rsidRDefault="00DD1798" w:rsidP="00D15A98">
      <w:pPr>
        <w:pStyle w:val="BulletList"/>
      </w:pPr>
      <w:r w:rsidRPr="000A05F6">
        <w:t>Ensure all assigned vehicles, equipment, and auxiliary fuel tanks (including those supporting water facilities) are fueled and ready for extended operations</w:t>
      </w:r>
    </w:p>
    <w:p w14:paraId="153B8C31" w14:textId="77777777" w:rsidR="00DD1798" w:rsidRPr="0082421A" w:rsidRDefault="00DD1798" w:rsidP="00D15A98">
      <w:pPr>
        <w:pStyle w:val="BulletListFinal"/>
      </w:pPr>
      <w:r w:rsidRPr="000A05F6">
        <w:t>Coordinate with Logistics to ensure materials and personnel can support extended outage response</w:t>
      </w:r>
    </w:p>
    <w:p w14:paraId="287DE9AD" w14:textId="77777777" w:rsidR="00DD1798" w:rsidRPr="000A05F6" w:rsidRDefault="00DD1798" w:rsidP="005F4962">
      <w:pPr>
        <w:pStyle w:val="Subheading1"/>
      </w:pPr>
      <w:r w:rsidRPr="000A05F6">
        <w:t>Planning Section Chief</w:t>
      </w:r>
    </w:p>
    <w:p w14:paraId="017A5C55" w14:textId="77777777" w:rsidR="00DD1798" w:rsidRPr="000A05F6" w:rsidRDefault="00DD1798" w:rsidP="00D15A98">
      <w:pPr>
        <w:pStyle w:val="BulletList"/>
      </w:pPr>
      <w:r w:rsidRPr="000A05F6">
        <w:t>Deliver final outage footprint and customer segmentation using OMS and GIS data</w:t>
      </w:r>
    </w:p>
    <w:p w14:paraId="4E34CB1F" w14:textId="77777777" w:rsidR="00DD1798" w:rsidRPr="000A05F6" w:rsidRDefault="00DD1798" w:rsidP="00D15A98">
      <w:pPr>
        <w:pStyle w:val="BulletList"/>
      </w:pPr>
      <w:r w:rsidRPr="000A05F6">
        <w:t>Validate restoration models and confirm system readiness inputs</w:t>
      </w:r>
    </w:p>
    <w:p w14:paraId="5A613E7A" w14:textId="77777777" w:rsidR="00DD1798" w:rsidRPr="000A05F6" w:rsidRDefault="00DD1798" w:rsidP="00D15A98">
      <w:pPr>
        <w:pStyle w:val="BulletList"/>
      </w:pPr>
      <w:r w:rsidRPr="000A05F6">
        <w:t>Provide technical prioritization guidance for re-energization of electric circuits and water system infrastructure</w:t>
      </w:r>
    </w:p>
    <w:p w14:paraId="5FA6A7EF" w14:textId="77777777" w:rsidR="00DD1798" w:rsidRPr="000A05F6" w:rsidRDefault="00DD1798" w:rsidP="00D15A98">
      <w:pPr>
        <w:pStyle w:val="BulletList"/>
      </w:pPr>
      <w:r w:rsidRPr="000A05F6">
        <w:lastRenderedPageBreak/>
        <w:t>Verify all water storage tanks are filled and SCADA setpoints are adjusted to maintain optimal levels throughout the event</w:t>
      </w:r>
    </w:p>
    <w:p w14:paraId="17855EF5" w14:textId="77777777" w:rsidR="00DD1798" w:rsidRDefault="00DD1798" w:rsidP="00D15A98">
      <w:pPr>
        <w:pStyle w:val="BulletListFinal"/>
      </w:pPr>
      <w:r w:rsidRPr="000A05F6">
        <w:t>Coordinate final system readiness data for inclusion in the IAP and situational reports</w:t>
      </w:r>
    </w:p>
    <w:p w14:paraId="720FEDAD" w14:textId="77777777" w:rsidR="00DD1798" w:rsidRDefault="00DD1798" w:rsidP="005F4962">
      <w:pPr>
        <w:pStyle w:val="Subheading1"/>
      </w:pPr>
      <w:r w:rsidRPr="006952E6">
        <w:t>Logistics Section Chief</w:t>
      </w:r>
    </w:p>
    <w:p w14:paraId="681DE933" w14:textId="439C4EF9" w:rsidR="00DD1798" w:rsidRPr="006952E6" w:rsidRDefault="00DD1798" w:rsidP="00D15A98">
      <w:pPr>
        <w:pStyle w:val="BulletList"/>
        <w:rPr>
          <w:b/>
          <w:bCs/>
        </w:rPr>
      </w:pPr>
      <w:r w:rsidRPr="006952E6">
        <w:t>Coordinate with Operations and Planning Sections to anticipate support needs for field</w:t>
      </w:r>
      <w:r w:rsidR="00D15A98">
        <w:t> </w:t>
      </w:r>
      <w:r w:rsidRPr="006952E6">
        <w:t>deployment</w:t>
      </w:r>
    </w:p>
    <w:p w14:paraId="5E884455" w14:textId="77777777" w:rsidR="00DD1798" w:rsidRPr="006952E6" w:rsidRDefault="00DD1798" w:rsidP="00D15A98">
      <w:pPr>
        <w:pStyle w:val="BulletList"/>
      </w:pPr>
      <w:r w:rsidRPr="006952E6">
        <w:t>Arrange lodging and meals for field and support personnel during multi-day PPS events</w:t>
      </w:r>
    </w:p>
    <w:p w14:paraId="2CB265EB" w14:textId="77777777" w:rsidR="00DD1798" w:rsidRPr="006952E6" w:rsidRDefault="00DD1798" w:rsidP="00D15A98">
      <w:pPr>
        <w:pStyle w:val="BulletList"/>
      </w:pPr>
      <w:r w:rsidRPr="006952E6">
        <w:t>Procure and distribute necessary materials, tools, and emergency fuel to support electric and water operations</w:t>
      </w:r>
    </w:p>
    <w:p w14:paraId="52FCB792" w14:textId="3ED48915" w:rsidR="00DD1798" w:rsidRPr="006952E6" w:rsidRDefault="00DD1798" w:rsidP="00D15A98">
      <w:pPr>
        <w:pStyle w:val="BulletList"/>
      </w:pPr>
      <w:r w:rsidRPr="006952E6">
        <w:t>Manage staging areas, rest locations, and the Incident Command Post (ICP) to ensure</w:t>
      </w:r>
      <w:r w:rsidR="00D15A98">
        <w:t> </w:t>
      </w:r>
      <w:r w:rsidRPr="006952E6">
        <w:t>readiness</w:t>
      </w:r>
    </w:p>
    <w:p w14:paraId="441B35A7" w14:textId="18EF24AF" w:rsidR="00DD1798" w:rsidRPr="006952E6" w:rsidRDefault="00DD1798" w:rsidP="00D15A98">
      <w:pPr>
        <w:pStyle w:val="BulletList"/>
      </w:pPr>
      <w:r w:rsidRPr="006952E6">
        <w:t>Provide transportation logistics, including vehicle coordination and support for field</w:t>
      </w:r>
      <w:r w:rsidR="00D15A98">
        <w:t> </w:t>
      </w:r>
      <w:r w:rsidRPr="006952E6">
        <w:t>mobility</w:t>
      </w:r>
    </w:p>
    <w:p w14:paraId="62E62ACC" w14:textId="77777777" w:rsidR="00DD1798" w:rsidRPr="0082421A" w:rsidRDefault="00DD1798" w:rsidP="00D15A98">
      <w:pPr>
        <w:pStyle w:val="BulletListFinal"/>
      </w:pPr>
      <w:r w:rsidRPr="006952E6">
        <w:t>Ensure availability of basic medical supplies and support for crew health and safety in the field</w:t>
      </w:r>
    </w:p>
    <w:p w14:paraId="3304B9DD" w14:textId="77777777" w:rsidR="00DD1798" w:rsidRPr="000A05F6" w:rsidRDefault="00DD1798" w:rsidP="005F4962">
      <w:pPr>
        <w:pStyle w:val="Subheading1"/>
      </w:pPr>
      <w:r w:rsidRPr="000A05F6">
        <w:t>Public Information Officer (PIO)</w:t>
      </w:r>
    </w:p>
    <w:p w14:paraId="575B2063" w14:textId="77777777" w:rsidR="00DD1798" w:rsidRPr="000A05F6" w:rsidRDefault="00DD1798" w:rsidP="00D15A98">
      <w:pPr>
        <w:pStyle w:val="BulletList"/>
      </w:pPr>
      <w:r w:rsidRPr="000A05F6">
        <w:t>Distribute finalized internal briefings and talking points to ICS staff and frontline employees</w:t>
      </w:r>
    </w:p>
    <w:p w14:paraId="5DF64C48" w14:textId="77777777" w:rsidR="00DD1798" w:rsidRPr="000A05F6" w:rsidRDefault="00DD1798" w:rsidP="00D15A98">
      <w:pPr>
        <w:pStyle w:val="BulletList"/>
      </w:pPr>
      <w:r w:rsidRPr="000A05F6">
        <w:t>Coordinate final CRC readiness and staffing confirmation</w:t>
      </w:r>
    </w:p>
    <w:p w14:paraId="4CD94996" w14:textId="1E049C74" w:rsidR="00DD1798" w:rsidRPr="000A05F6" w:rsidRDefault="00DD1798" w:rsidP="00D15A98">
      <w:pPr>
        <w:pStyle w:val="BulletList"/>
      </w:pPr>
      <w:r w:rsidRPr="000A05F6">
        <w:t>Issue updated employee communications reflecting Phase 3 status and community</w:t>
      </w:r>
      <w:r w:rsidR="00D15A98">
        <w:t> </w:t>
      </w:r>
      <w:r w:rsidRPr="000A05F6">
        <w:t>expectations</w:t>
      </w:r>
    </w:p>
    <w:p w14:paraId="46E8DAC1" w14:textId="77777777" w:rsidR="00DD1798" w:rsidRPr="0082421A" w:rsidRDefault="00DD1798" w:rsidP="00D15A98">
      <w:pPr>
        <w:pStyle w:val="BulletListFinal"/>
      </w:pPr>
      <w:r w:rsidRPr="000A05F6">
        <w:t>Finalize external messaging strategy with the Communications Unit Leader</w:t>
      </w:r>
    </w:p>
    <w:p w14:paraId="6E1D0117" w14:textId="77777777" w:rsidR="00DD1798" w:rsidRPr="000A05F6" w:rsidRDefault="00DD1798" w:rsidP="005F4962">
      <w:pPr>
        <w:pStyle w:val="Subheading1"/>
      </w:pPr>
      <w:r w:rsidRPr="000A05F6">
        <w:t>Communications Unit Leader</w:t>
      </w:r>
    </w:p>
    <w:p w14:paraId="69BFCD88" w14:textId="5761CE6E" w:rsidR="00DD1798" w:rsidRPr="000A05F6" w:rsidRDefault="00DD1798" w:rsidP="00D15A98">
      <w:pPr>
        <w:pStyle w:val="BulletList"/>
      </w:pPr>
      <w:r w:rsidRPr="000A05F6">
        <w:t>Launch final pre-event messaging on web, email, and social</w:t>
      </w:r>
      <w:r w:rsidR="0072394F">
        <w:t xml:space="preserve"> media</w:t>
      </w:r>
      <w:r w:rsidRPr="000A05F6">
        <w:t xml:space="preserve"> platforms</w:t>
      </w:r>
    </w:p>
    <w:p w14:paraId="7E3CD61C" w14:textId="77777777" w:rsidR="00DD1798" w:rsidRPr="000A05F6" w:rsidRDefault="00DD1798" w:rsidP="00D15A98">
      <w:pPr>
        <w:pStyle w:val="BulletList"/>
      </w:pPr>
      <w:r w:rsidRPr="000A05F6">
        <w:t>Distribute CMS and PSA materials to media outlets and local partners</w:t>
      </w:r>
    </w:p>
    <w:p w14:paraId="7EEEEC1A" w14:textId="4B114404" w:rsidR="00DD1798" w:rsidRPr="000A05F6" w:rsidRDefault="00DD1798" w:rsidP="00D15A98">
      <w:pPr>
        <w:pStyle w:val="BulletList"/>
      </w:pPr>
      <w:r w:rsidRPr="000A05F6">
        <w:t>Ensure digital messaging is synchronized with CRC activation and electric/water service</w:t>
      </w:r>
      <w:r w:rsidR="00D15A98">
        <w:t> </w:t>
      </w:r>
      <w:r w:rsidRPr="000A05F6">
        <w:t>expectations</w:t>
      </w:r>
    </w:p>
    <w:p w14:paraId="2EE48C12" w14:textId="77777777" w:rsidR="00DD1798" w:rsidRPr="0082421A" w:rsidRDefault="00DD1798" w:rsidP="00D15A98">
      <w:pPr>
        <w:pStyle w:val="BulletListFinal"/>
      </w:pPr>
      <w:r w:rsidRPr="000A05F6">
        <w:t>Support the PIO with consistent content delivery across all communication platforms</w:t>
      </w:r>
    </w:p>
    <w:p w14:paraId="10DE544D" w14:textId="77777777" w:rsidR="00DD1798" w:rsidRPr="000A05F6" w:rsidRDefault="00DD1798" w:rsidP="005F4962">
      <w:pPr>
        <w:pStyle w:val="Subheading1"/>
      </w:pPr>
      <w:r w:rsidRPr="000A05F6">
        <w:t>Safety/Liaison Officer</w:t>
      </w:r>
    </w:p>
    <w:p w14:paraId="3C54C592" w14:textId="77777777" w:rsidR="00DD1798" w:rsidRPr="000A05F6" w:rsidRDefault="00DD1798" w:rsidP="00D15A98">
      <w:pPr>
        <w:pStyle w:val="BulletList"/>
      </w:pPr>
      <w:r w:rsidRPr="000A05F6">
        <w:t>Notify public safety and emergency management agencies that PPS activation is imminent (within 24 hours)</w:t>
      </w:r>
    </w:p>
    <w:p w14:paraId="1B2C4357" w14:textId="77777777" w:rsidR="00DD1798" w:rsidRPr="000A05F6" w:rsidRDefault="00DD1798" w:rsidP="00D15A98">
      <w:pPr>
        <w:pStyle w:val="BulletList"/>
      </w:pPr>
      <w:r w:rsidRPr="000A05F6">
        <w:t>Submit required regulatory notifications in compliance with local and state mandates</w:t>
      </w:r>
    </w:p>
    <w:p w14:paraId="0C201728" w14:textId="77777777" w:rsidR="00DD1798" w:rsidRPr="0082421A" w:rsidRDefault="00DD1798" w:rsidP="00D15A98">
      <w:pPr>
        <w:pStyle w:val="BulletListFinal"/>
      </w:pPr>
      <w:r w:rsidRPr="000A05F6">
        <w:t>Maintain detailed logs of key actions and decisions for post-event reporting</w:t>
      </w:r>
    </w:p>
    <w:p w14:paraId="46251600" w14:textId="77777777" w:rsidR="00DD1798" w:rsidRPr="000A05F6" w:rsidRDefault="00DD1798" w:rsidP="005F4962">
      <w:pPr>
        <w:pStyle w:val="Subheading1"/>
      </w:pPr>
      <w:r w:rsidRPr="000A05F6">
        <w:t>Customer Outreach Unit Leader</w:t>
      </w:r>
    </w:p>
    <w:p w14:paraId="17C9C7E2" w14:textId="32FF989E" w:rsidR="00DD1798" w:rsidRPr="000A05F6" w:rsidRDefault="00DD1798" w:rsidP="00D15A98">
      <w:pPr>
        <w:pStyle w:val="BulletList"/>
      </w:pPr>
      <w:r w:rsidRPr="000A05F6">
        <w:t>Contact all Medical Baseline and key account customers to confirm receipt of final</w:t>
      </w:r>
      <w:r w:rsidR="00D15A98">
        <w:t> </w:t>
      </w:r>
      <w:r w:rsidRPr="000A05F6">
        <w:t>notifications</w:t>
      </w:r>
    </w:p>
    <w:p w14:paraId="3305E053" w14:textId="77777777" w:rsidR="00DD1798" w:rsidRPr="000A05F6" w:rsidRDefault="00DD1798" w:rsidP="00D15A98">
      <w:pPr>
        <w:pStyle w:val="BulletList"/>
      </w:pPr>
      <w:r w:rsidRPr="000A05F6">
        <w:t>Ensure staff readiness for inbound customer inquiries during the de-energization period</w:t>
      </w:r>
    </w:p>
    <w:p w14:paraId="037BA4FA" w14:textId="59DAB966" w:rsidR="00DD1798" w:rsidRDefault="00DD1798" w:rsidP="00D15A98">
      <w:pPr>
        <w:pStyle w:val="BulletListFinal"/>
      </w:pPr>
      <w:r w:rsidRPr="000A05F6">
        <w:t>Coordinate distribution of door hangers or physical notices to at-risk or hard-to-reach</w:t>
      </w:r>
      <w:r w:rsidR="00D15A98">
        <w:t> </w:t>
      </w:r>
      <w:r w:rsidRPr="000A05F6">
        <w:t>customers</w:t>
      </w:r>
    </w:p>
    <w:p w14:paraId="3974AF9C" w14:textId="77777777" w:rsidR="00DD1798" w:rsidRPr="003923E4" w:rsidRDefault="00DD1798" w:rsidP="005F4962">
      <w:pPr>
        <w:pStyle w:val="Subheading1"/>
      </w:pPr>
      <w:r w:rsidRPr="003923E4">
        <w:lastRenderedPageBreak/>
        <w:t>Finance/Administration Section Chief</w:t>
      </w:r>
    </w:p>
    <w:p w14:paraId="4C81D4A1" w14:textId="77777777" w:rsidR="00DD1798" w:rsidRPr="000A05F6" w:rsidRDefault="00DD1798" w:rsidP="00D15A98">
      <w:pPr>
        <w:pStyle w:val="BulletList"/>
      </w:pPr>
      <w:r w:rsidRPr="000A05F6">
        <w:t>Confirm readiness of cost tracking, timekeeping, and resource documentation systems</w:t>
      </w:r>
    </w:p>
    <w:p w14:paraId="2BC6FFFA" w14:textId="09961579" w:rsidR="00DD1798" w:rsidRPr="000A05F6" w:rsidRDefault="00DD1798" w:rsidP="00D15A98">
      <w:pPr>
        <w:pStyle w:val="BulletList"/>
      </w:pPr>
      <w:r w:rsidRPr="000A05F6">
        <w:t>Ensure ICS financial forms (ICS 214, ICS 213RR, ICS 219) are updated for Phase 3</w:t>
      </w:r>
      <w:r w:rsidR="00D15A98">
        <w:t> </w:t>
      </w:r>
      <w:r w:rsidRPr="000A05F6">
        <w:t>operations</w:t>
      </w:r>
    </w:p>
    <w:p w14:paraId="0C56EB59" w14:textId="77777777" w:rsidR="00DD1798" w:rsidRPr="0082421A" w:rsidRDefault="00DD1798" w:rsidP="00D15A98">
      <w:pPr>
        <w:pStyle w:val="BulletListFinal"/>
      </w:pPr>
      <w:r w:rsidRPr="000A05F6">
        <w:t>Support resource accountability as generator and staffing expenses increase during outage conditions</w:t>
      </w:r>
    </w:p>
    <w:p w14:paraId="7F8CB7B3" w14:textId="77777777" w:rsidR="00DD1798" w:rsidRPr="000A05F6" w:rsidRDefault="00DD1798" w:rsidP="005F4962">
      <w:pPr>
        <w:pStyle w:val="Subheading1"/>
      </w:pPr>
      <w:r w:rsidRPr="000A05F6">
        <w:t>Administrative Support Unit (Finance/Admin Section)</w:t>
      </w:r>
    </w:p>
    <w:p w14:paraId="54703F8B" w14:textId="77777777" w:rsidR="00DD1798" w:rsidRPr="000A05F6" w:rsidRDefault="00DD1798" w:rsidP="00D15A98">
      <w:pPr>
        <w:pStyle w:val="BulletList"/>
      </w:pPr>
      <w:r w:rsidRPr="000A05F6">
        <w:t>Distribute the finalized Incident Action Plan (IAP) and updated meeting calendar</w:t>
      </w:r>
    </w:p>
    <w:p w14:paraId="71429887" w14:textId="77777777" w:rsidR="00DD1798" w:rsidRPr="000A05F6" w:rsidRDefault="00DD1798" w:rsidP="00D15A98">
      <w:pPr>
        <w:pStyle w:val="BulletList"/>
      </w:pPr>
      <w:r w:rsidRPr="000A05F6">
        <w:t>Schedule and facilitate recurring briefings and coordination calls with external partners</w:t>
      </w:r>
    </w:p>
    <w:p w14:paraId="22E25580" w14:textId="0965C511" w:rsidR="00DD1798" w:rsidRPr="000A05F6" w:rsidRDefault="00DD1798" w:rsidP="00D15A98">
      <w:pPr>
        <w:pStyle w:val="BulletListFinal"/>
      </w:pPr>
      <w:r w:rsidRPr="000A05F6">
        <w:t>Track key milestones, including CRC activation, public notifications, and interagency</w:t>
      </w:r>
      <w:r w:rsidR="00D15A98">
        <w:t> </w:t>
      </w:r>
      <w:r w:rsidRPr="000A05F6">
        <w:t>coordination</w:t>
      </w:r>
    </w:p>
    <w:p w14:paraId="1C8B157D" w14:textId="77777777" w:rsidR="00DD1798" w:rsidRPr="00D15A98" w:rsidRDefault="00DD1798" w:rsidP="00D15A98">
      <w:pPr>
        <w:pStyle w:val="BodyText"/>
        <w:rPr>
          <w:i/>
          <w:iCs/>
        </w:rPr>
      </w:pPr>
      <w:r w:rsidRPr="00D15A98">
        <w:rPr>
          <w:i/>
          <w:iCs/>
        </w:rPr>
        <w:t>This phase ends when de-energization is initiated or canceled due to changed conditions.</w:t>
      </w:r>
    </w:p>
    <w:p w14:paraId="7BAB05DD" w14:textId="5E8F2365" w:rsidR="00DD1798" w:rsidRPr="000A05F6" w:rsidRDefault="00DD1798" w:rsidP="0090306D">
      <w:pPr>
        <w:pStyle w:val="Appendices-Heading2"/>
      </w:pPr>
      <w:r w:rsidRPr="000A05F6">
        <w:t>Phase 4 - Final Preparation for PPS Activation</w:t>
      </w:r>
    </w:p>
    <w:p w14:paraId="6B0CD9FB" w14:textId="77777777" w:rsidR="00DD1798" w:rsidRPr="000A05F6" w:rsidRDefault="00DD1798" w:rsidP="00DD1798">
      <w:pPr>
        <w:rPr>
          <w:rFonts w:ascii="Arial" w:hAnsi="Arial" w:cs="Arial"/>
          <w:i/>
          <w:iCs/>
          <w:color w:val="FF0000"/>
        </w:rPr>
      </w:pPr>
      <w:r w:rsidRPr="000A05F6">
        <w:rPr>
          <w:rFonts w:ascii="Arial" w:hAnsi="Arial" w:cs="Arial"/>
          <w:b/>
          <w:bCs/>
          <w:i/>
          <w:iCs/>
          <w:color w:val="FF0000"/>
        </w:rPr>
        <w:t>4 HOURS UNTIL DE-ENERGIZATION</w:t>
      </w:r>
    </w:p>
    <w:p w14:paraId="67136532" w14:textId="77777777" w:rsidR="00DD1798" w:rsidRPr="000A05F6" w:rsidRDefault="00DD1798" w:rsidP="00D15A98">
      <w:pPr>
        <w:pStyle w:val="BodyText"/>
      </w:pPr>
      <w:r w:rsidRPr="000A05F6">
        <w:t>This phase is activated when de-energization is projected to begin within four hours. All systems and teams should be fully mobilized, and communications finalized. This is the final phase before execution of the PPS event.</w:t>
      </w:r>
    </w:p>
    <w:p w14:paraId="160386B9" w14:textId="77777777" w:rsidR="00DD1798" w:rsidRPr="000A05F6" w:rsidRDefault="00DD1798" w:rsidP="005F4962">
      <w:pPr>
        <w:pStyle w:val="Subheading1"/>
      </w:pPr>
      <w:r w:rsidRPr="000A05F6">
        <w:t>Phase 4 Assumptions</w:t>
      </w:r>
    </w:p>
    <w:p w14:paraId="205415E4" w14:textId="77777777" w:rsidR="00DD1798" w:rsidRPr="000A05F6" w:rsidRDefault="00DD1798" w:rsidP="00D15A98">
      <w:pPr>
        <w:pStyle w:val="BulletList"/>
      </w:pPr>
      <w:r w:rsidRPr="000A05F6">
        <w:t>De-energization will begin imminently.</w:t>
      </w:r>
    </w:p>
    <w:p w14:paraId="54D88586" w14:textId="77777777" w:rsidR="00DD1798" w:rsidRPr="000A05F6" w:rsidRDefault="00DD1798" w:rsidP="00A2100A">
      <w:pPr>
        <w:numPr>
          <w:ilvl w:val="0"/>
          <w:numId w:val="21"/>
        </w:numPr>
        <w:spacing w:before="0" w:after="160" w:line="278" w:lineRule="auto"/>
        <w:rPr>
          <w:rFonts w:ascii="Arial" w:hAnsi="Arial" w:cs="Arial"/>
        </w:rPr>
      </w:pPr>
      <w:r w:rsidRPr="000A05F6">
        <w:rPr>
          <w:rFonts w:ascii="Arial" w:hAnsi="Arial" w:cs="Arial"/>
        </w:rPr>
        <w:t>All planning and customer outreach should be complete or in final execution.</w:t>
      </w:r>
    </w:p>
    <w:p w14:paraId="11873A47" w14:textId="77777777" w:rsidR="00DD1798" w:rsidRPr="000A05F6" w:rsidRDefault="00DD1798" w:rsidP="005F4962">
      <w:pPr>
        <w:pStyle w:val="Subheading1"/>
      </w:pPr>
      <w:r w:rsidRPr="000A05F6">
        <w:t>Objectives</w:t>
      </w:r>
    </w:p>
    <w:p w14:paraId="0BD36C0B" w14:textId="77777777" w:rsidR="00DD1798" w:rsidRPr="000A05F6" w:rsidRDefault="00DD1798" w:rsidP="00D15A98">
      <w:pPr>
        <w:pStyle w:val="BulletList"/>
      </w:pPr>
      <w:r w:rsidRPr="000A05F6">
        <w:t>Confirm team readiness across all departments.</w:t>
      </w:r>
    </w:p>
    <w:p w14:paraId="48E4A8F4" w14:textId="77777777" w:rsidR="00DD1798" w:rsidRPr="000A05F6" w:rsidRDefault="00DD1798" w:rsidP="00D15A98">
      <w:pPr>
        <w:pStyle w:val="BulletList"/>
      </w:pPr>
      <w:r w:rsidRPr="000A05F6">
        <w:t>Ensure customer and stakeholder notifications are complete.</w:t>
      </w:r>
    </w:p>
    <w:p w14:paraId="07327302" w14:textId="77777777" w:rsidR="00DD1798" w:rsidRDefault="00DD1798" w:rsidP="00D15A98">
      <w:pPr>
        <w:pStyle w:val="BulletListFinal"/>
      </w:pPr>
      <w:r w:rsidRPr="000A05F6">
        <w:t>Activate CRCs and finalize field execution plans.</w:t>
      </w:r>
    </w:p>
    <w:p w14:paraId="1A10C16D" w14:textId="5B71C74E" w:rsidR="00DD1798" w:rsidRPr="005E6772" w:rsidRDefault="00DD1798" w:rsidP="001B420C">
      <w:pPr>
        <w:pStyle w:val="Appendices-Heading3"/>
      </w:pPr>
      <w:r w:rsidRPr="00726D41">
        <w:t>Key Actions by Role</w:t>
      </w:r>
    </w:p>
    <w:p w14:paraId="0FD925B4" w14:textId="77777777" w:rsidR="00DD1798" w:rsidRPr="000A05F6" w:rsidRDefault="00DD1798" w:rsidP="005F4962">
      <w:pPr>
        <w:pStyle w:val="Subheading1"/>
      </w:pPr>
      <w:r w:rsidRPr="000A05F6">
        <w:t>Incident Commander (IC)</w:t>
      </w:r>
    </w:p>
    <w:p w14:paraId="18881939" w14:textId="77777777" w:rsidR="00DD1798" w:rsidRPr="000A05F6" w:rsidRDefault="00DD1798" w:rsidP="00D15A98">
      <w:pPr>
        <w:pStyle w:val="BulletList"/>
      </w:pPr>
      <w:r w:rsidRPr="000A05F6">
        <w:t>Validate final environmental and operational conditions and approve PPS activation</w:t>
      </w:r>
    </w:p>
    <w:p w14:paraId="383C6757" w14:textId="77777777" w:rsidR="00DD1798" w:rsidRPr="000A05F6" w:rsidRDefault="00DD1798" w:rsidP="00D15A98">
      <w:pPr>
        <w:pStyle w:val="BulletList"/>
      </w:pPr>
      <w:r w:rsidRPr="000A05F6">
        <w:t>Lead final pre-activation coordination meeting</w:t>
      </w:r>
    </w:p>
    <w:p w14:paraId="005540F6" w14:textId="77777777" w:rsidR="00DD1798" w:rsidRPr="0082421A" w:rsidRDefault="00DD1798" w:rsidP="00D15A98">
      <w:pPr>
        <w:pStyle w:val="BulletListFinal"/>
      </w:pPr>
      <w:r w:rsidRPr="000A05F6">
        <w:t>Inform the General Manager, Executive Leadership, and key external stakeholders of activation decision</w:t>
      </w:r>
    </w:p>
    <w:p w14:paraId="61A9D45D" w14:textId="77777777" w:rsidR="00DD1798" w:rsidRPr="000A05F6" w:rsidRDefault="00DD1798" w:rsidP="005F4962">
      <w:pPr>
        <w:pStyle w:val="Subheading1"/>
      </w:pPr>
      <w:r w:rsidRPr="000A05F6">
        <w:t>Operations Section Chief</w:t>
      </w:r>
    </w:p>
    <w:p w14:paraId="4B44DA10" w14:textId="77777777" w:rsidR="00DD1798" w:rsidRPr="000A05F6" w:rsidRDefault="00DD1798" w:rsidP="00D15A98">
      <w:pPr>
        <w:pStyle w:val="BulletList"/>
      </w:pPr>
      <w:r w:rsidRPr="000A05F6">
        <w:t>Confirm staging of electric field crews and final circuit patrol sequencing</w:t>
      </w:r>
    </w:p>
    <w:p w14:paraId="2B6E7DB7" w14:textId="20662CF8" w:rsidR="00DD1798" w:rsidRPr="000A05F6" w:rsidRDefault="00DD1798" w:rsidP="00D15A98">
      <w:pPr>
        <w:pStyle w:val="BulletList"/>
      </w:pPr>
      <w:r w:rsidRPr="000A05F6">
        <w:lastRenderedPageBreak/>
        <w:t>Validate equipment pre-checks, fuel levels, and vehicle readiness for sustained field</w:t>
      </w:r>
      <w:r w:rsidR="00D15A98">
        <w:t> </w:t>
      </w:r>
      <w:r w:rsidRPr="000A05F6">
        <w:t>deployment</w:t>
      </w:r>
    </w:p>
    <w:p w14:paraId="48D9B085" w14:textId="77777777" w:rsidR="00DD1798" w:rsidRPr="000A05F6" w:rsidRDefault="00DD1798" w:rsidP="00D15A98">
      <w:pPr>
        <w:pStyle w:val="BulletList"/>
      </w:pPr>
      <w:r w:rsidRPr="000A05F6">
        <w:t>Coordinate transfer of critical water sites to emergency generator power one hour prior to de-energization</w:t>
      </w:r>
    </w:p>
    <w:p w14:paraId="6255AC64" w14:textId="5AB08174" w:rsidR="00DD1798" w:rsidRPr="000A05F6" w:rsidRDefault="00DD1798" w:rsidP="00D15A98">
      <w:pPr>
        <w:pStyle w:val="BulletList"/>
      </w:pPr>
      <w:r w:rsidRPr="000A05F6">
        <w:t>Ensure successful generator start</w:t>
      </w:r>
      <w:r w:rsidR="00E03609">
        <w:t>-</w:t>
      </w:r>
      <w:r w:rsidRPr="000A05F6">
        <w:t>up and verify transfer to backup power at designated water facilities</w:t>
      </w:r>
    </w:p>
    <w:p w14:paraId="0BC35C83" w14:textId="77777777" w:rsidR="00DD1798" w:rsidRPr="000A05F6" w:rsidRDefault="00DD1798" w:rsidP="00D15A98">
      <w:pPr>
        <w:pStyle w:val="BulletList"/>
      </w:pPr>
      <w:r w:rsidRPr="000A05F6">
        <w:t>Oversee the transition of well sites and critical water pumps to manual “off” mode in SCADA to prevent equipment damage during power loss</w:t>
      </w:r>
    </w:p>
    <w:p w14:paraId="60C0BB72" w14:textId="445AC480" w:rsidR="00DD1798" w:rsidRPr="0082421A" w:rsidRDefault="00DD1798" w:rsidP="00D15A98">
      <w:pPr>
        <w:pStyle w:val="BulletListFinal"/>
      </w:pPr>
      <w:r w:rsidRPr="000A05F6">
        <w:t>Assess and prepare for shutdown of vulnerable water infrastructure during initial de</w:t>
      </w:r>
      <w:r w:rsidR="00D15A98">
        <w:t> </w:t>
      </w:r>
      <w:r w:rsidRPr="000A05F6">
        <w:t>energization</w:t>
      </w:r>
    </w:p>
    <w:p w14:paraId="5CE3E48C" w14:textId="77777777" w:rsidR="00DD1798" w:rsidRPr="000A05F6" w:rsidRDefault="00DD1798" w:rsidP="005F4962">
      <w:pPr>
        <w:pStyle w:val="Subheading1"/>
      </w:pPr>
      <w:r w:rsidRPr="000A05F6">
        <w:t>Planning Section Chief</w:t>
      </w:r>
    </w:p>
    <w:p w14:paraId="2DC3AA6C" w14:textId="77777777" w:rsidR="00DD1798" w:rsidRPr="000A05F6" w:rsidRDefault="00DD1798" w:rsidP="00D15A98">
      <w:pPr>
        <w:pStyle w:val="BulletList"/>
      </w:pPr>
      <w:r w:rsidRPr="000A05F6">
        <w:t>Support final circuit validation and system readiness assessments</w:t>
      </w:r>
    </w:p>
    <w:p w14:paraId="466DC9BA" w14:textId="19DE9861" w:rsidR="00DD1798" w:rsidRPr="000A05F6" w:rsidRDefault="00DD1798" w:rsidP="00D15A98">
      <w:pPr>
        <w:pStyle w:val="BulletList"/>
      </w:pPr>
      <w:r w:rsidRPr="000A05F6">
        <w:t>Confirm de-energization sequencing in coordination with field operations and electric</w:t>
      </w:r>
      <w:r w:rsidR="00D15A98">
        <w:t> </w:t>
      </w:r>
      <w:r w:rsidRPr="000A05F6">
        <w:t>engineering</w:t>
      </w:r>
    </w:p>
    <w:p w14:paraId="7CE0ABE6" w14:textId="77777777" w:rsidR="00DD1798" w:rsidRPr="000A05F6" w:rsidRDefault="00DD1798" w:rsidP="00D15A98">
      <w:pPr>
        <w:pStyle w:val="BulletList"/>
      </w:pPr>
      <w:r w:rsidRPr="000A05F6">
        <w:t>Validate SCADA configurations for both electric and water systems, ensuring tank levels, pump logic, and manual control settings are correctly implemented</w:t>
      </w:r>
    </w:p>
    <w:p w14:paraId="522F93C2" w14:textId="77777777" w:rsidR="00DD1798" w:rsidRPr="0082421A" w:rsidRDefault="00DD1798" w:rsidP="00D15A98">
      <w:pPr>
        <w:pStyle w:val="BulletListFinal"/>
      </w:pPr>
      <w:r w:rsidRPr="000A05F6">
        <w:t>Ensure documentation and technical plans are updated in the IAP for real-time use by operations staff</w:t>
      </w:r>
    </w:p>
    <w:p w14:paraId="06446766" w14:textId="77777777" w:rsidR="00DD1798" w:rsidRPr="000A05F6" w:rsidRDefault="00DD1798" w:rsidP="005F4962">
      <w:pPr>
        <w:pStyle w:val="Subheading1"/>
      </w:pPr>
      <w:r w:rsidRPr="000A05F6">
        <w:t>Public Information Officer (PIO)</w:t>
      </w:r>
    </w:p>
    <w:p w14:paraId="093F7971" w14:textId="77777777" w:rsidR="00DD1798" w:rsidRPr="000A05F6" w:rsidRDefault="00DD1798" w:rsidP="00D15A98">
      <w:pPr>
        <w:pStyle w:val="BulletList"/>
      </w:pPr>
      <w:r w:rsidRPr="000A05F6">
        <w:t>Deliver the final round of internal briefings and staff messaging</w:t>
      </w:r>
    </w:p>
    <w:p w14:paraId="63229F2B" w14:textId="10CF35AB" w:rsidR="00DD1798" w:rsidRPr="000A05F6" w:rsidRDefault="00DD1798" w:rsidP="00D15A98">
      <w:pPr>
        <w:pStyle w:val="BulletList"/>
      </w:pPr>
      <w:r w:rsidRPr="000A05F6">
        <w:t>Coordinate with CRC site leads to confirm opening plans, logistics, and public</w:t>
      </w:r>
      <w:r w:rsidR="00D15A98">
        <w:t> </w:t>
      </w:r>
      <w:r w:rsidRPr="000A05F6">
        <w:t>communications</w:t>
      </w:r>
    </w:p>
    <w:p w14:paraId="42411A86" w14:textId="77777777" w:rsidR="00DD1798" w:rsidRPr="000A05F6" w:rsidRDefault="00DD1798" w:rsidP="00D15A98">
      <w:pPr>
        <w:pStyle w:val="BulletList"/>
      </w:pPr>
      <w:r w:rsidRPr="000A05F6">
        <w:t>Issue final press releases, media statements, and talking points</w:t>
      </w:r>
    </w:p>
    <w:p w14:paraId="56A361B7" w14:textId="77777777" w:rsidR="00DD1798" w:rsidRDefault="00DD1798" w:rsidP="00D15A98">
      <w:pPr>
        <w:pStyle w:val="BulletListFinal"/>
      </w:pPr>
      <w:r w:rsidRPr="000A05F6">
        <w:t>Work with Communications Unit Leader to initiate real-time public updates during the activation window</w:t>
      </w:r>
    </w:p>
    <w:p w14:paraId="54E89DEB" w14:textId="77777777" w:rsidR="00DD1798" w:rsidRDefault="00DD1798" w:rsidP="005F4962">
      <w:pPr>
        <w:pStyle w:val="Subheading1"/>
      </w:pPr>
      <w:r w:rsidRPr="006952E6">
        <w:t>Logistics Section Chief</w:t>
      </w:r>
    </w:p>
    <w:p w14:paraId="7AFF248C" w14:textId="606740ED" w:rsidR="00DD1798" w:rsidRPr="006952E6" w:rsidRDefault="00DD1798" w:rsidP="00D15A98">
      <w:pPr>
        <w:pStyle w:val="BulletList"/>
        <w:rPr>
          <w:b/>
          <w:bCs/>
        </w:rPr>
      </w:pPr>
      <w:r w:rsidRPr="006952E6">
        <w:t>Coordinate with Operations and Planning Sections to anticipate support needs for field</w:t>
      </w:r>
      <w:r w:rsidR="00D15A98">
        <w:t> </w:t>
      </w:r>
      <w:r w:rsidRPr="006952E6">
        <w:t>deployment</w:t>
      </w:r>
    </w:p>
    <w:p w14:paraId="292A0972" w14:textId="77777777" w:rsidR="00DD1798" w:rsidRPr="006952E6" w:rsidRDefault="00DD1798" w:rsidP="00D15A98">
      <w:pPr>
        <w:pStyle w:val="BulletList"/>
      </w:pPr>
      <w:r w:rsidRPr="006952E6">
        <w:t>Arrange lodging and meals for field and support personnel during multi-day PPS events</w:t>
      </w:r>
    </w:p>
    <w:p w14:paraId="4CB9142F" w14:textId="77777777" w:rsidR="00DD1798" w:rsidRPr="006952E6" w:rsidRDefault="00DD1798" w:rsidP="00D15A98">
      <w:pPr>
        <w:pStyle w:val="BulletList"/>
      </w:pPr>
      <w:r w:rsidRPr="006952E6">
        <w:t>Procure and distribute necessary materials, tools, and emergency fuel to support electric and water operations</w:t>
      </w:r>
    </w:p>
    <w:p w14:paraId="73482AA2" w14:textId="55324E3D" w:rsidR="00DD1798" w:rsidRPr="006952E6" w:rsidRDefault="00DD1798" w:rsidP="00D15A98">
      <w:pPr>
        <w:pStyle w:val="BulletList"/>
      </w:pPr>
      <w:r w:rsidRPr="006952E6">
        <w:t>Manage staging areas, rest locations, and the Incident Command Post (ICP) to ensure</w:t>
      </w:r>
      <w:r w:rsidR="00D15A98">
        <w:t> </w:t>
      </w:r>
      <w:r w:rsidRPr="006952E6">
        <w:t>readiness</w:t>
      </w:r>
    </w:p>
    <w:p w14:paraId="329887B5" w14:textId="6FBC56B4" w:rsidR="00DD1798" w:rsidRPr="006952E6" w:rsidRDefault="00DD1798" w:rsidP="00D15A98">
      <w:pPr>
        <w:pStyle w:val="BulletList"/>
      </w:pPr>
      <w:r w:rsidRPr="006952E6">
        <w:t>Provide transportation logistics, including vehicle coordination and support for field</w:t>
      </w:r>
      <w:r w:rsidR="00D15A98">
        <w:t> </w:t>
      </w:r>
      <w:r w:rsidRPr="006952E6">
        <w:t>mobility</w:t>
      </w:r>
    </w:p>
    <w:p w14:paraId="209AF22A" w14:textId="77777777" w:rsidR="00DD1798" w:rsidRPr="00726D41" w:rsidRDefault="00DD1798" w:rsidP="00D15A98">
      <w:pPr>
        <w:pStyle w:val="BulletListFinal"/>
      </w:pPr>
      <w:r w:rsidRPr="006952E6">
        <w:t>Ensure availability of basic medical supplies and support for crew health and safety in the field</w:t>
      </w:r>
    </w:p>
    <w:p w14:paraId="7348ECB4" w14:textId="77777777" w:rsidR="00DD1798" w:rsidRPr="000A05F6" w:rsidRDefault="00DD1798" w:rsidP="005F4962">
      <w:pPr>
        <w:pStyle w:val="Subheading1"/>
      </w:pPr>
      <w:r w:rsidRPr="000A05F6">
        <w:t>Communications Unit Leader</w:t>
      </w:r>
    </w:p>
    <w:p w14:paraId="4FAD9F1D" w14:textId="77777777" w:rsidR="00DD1798" w:rsidRPr="000A05F6" w:rsidRDefault="00DD1798" w:rsidP="00D15A98">
      <w:pPr>
        <w:pStyle w:val="BulletList"/>
      </w:pPr>
      <w:r w:rsidRPr="000A05F6">
        <w:t>Post final alerts to social media channels and the TDPUD website</w:t>
      </w:r>
    </w:p>
    <w:p w14:paraId="52BE00C3" w14:textId="77777777" w:rsidR="00DD1798" w:rsidRPr="000A05F6" w:rsidRDefault="00DD1798" w:rsidP="00D15A98">
      <w:pPr>
        <w:pStyle w:val="BulletList"/>
      </w:pPr>
      <w:r w:rsidRPr="000A05F6">
        <w:t xml:space="preserve">Finalize and distribute press releases, PSAs, and public notifications </w:t>
      </w:r>
    </w:p>
    <w:p w14:paraId="5E3021E3" w14:textId="77777777" w:rsidR="00DD1798" w:rsidRPr="00726D41" w:rsidRDefault="00DD1798" w:rsidP="00D15A98">
      <w:pPr>
        <w:pStyle w:val="BulletListFinal"/>
      </w:pPr>
      <w:r w:rsidRPr="000A05F6">
        <w:lastRenderedPageBreak/>
        <w:t>Monitor public feedback through digital channels and coordinate timely responses with the PIO</w:t>
      </w:r>
    </w:p>
    <w:p w14:paraId="7790F4A0" w14:textId="77777777" w:rsidR="00DD1798" w:rsidRPr="000A05F6" w:rsidRDefault="00DD1798" w:rsidP="005F4962">
      <w:pPr>
        <w:pStyle w:val="Subheading1"/>
      </w:pPr>
      <w:r w:rsidRPr="000A05F6">
        <w:t>Safety/Liaison Officer</w:t>
      </w:r>
    </w:p>
    <w:p w14:paraId="0F05A54D" w14:textId="77777777" w:rsidR="00DD1798" w:rsidRPr="000A05F6" w:rsidRDefault="00DD1798" w:rsidP="00D15A98">
      <w:pPr>
        <w:pStyle w:val="BulletList"/>
      </w:pPr>
      <w:r w:rsidRPr="000A05F6">
        <w:t>Notify public safety and emergency management agencies when PPS activation is within 4 hours</w:t>
      </w:r>
    </w:p>
    <w:p w14:paraId="66A32228" w14:textId="77777777" w:rsidR="00DD1798" w:rsidRPr="000A05F6" w:rsidRDefault="00DD1798" w:rsidP="00D15A98">
      <w:pPr>
        <w:pStyle w:val="BulletList"/>
      </w:pPr>
      <w:r w:rsidRPr="000A05F6">
        <w:t>Ensure all required notifications and briefings are documented with timestamps</w:t>
      </w:r>
    </w:p>
    <w:p w14:paraId="1B6258A9" w14:textId="571C5E0D" w:rsidR="00DD1798" w:rsidRPr="00726D41" w:rsidRDefault="00DD1798" w:rsidP="00D15A98">
      <w:pPr>
        <w:pStyle w:val="BulletListFinal"/>
      </w:pPr>
      <w:r w:rsidRPr="000A05F6">
        <w:t>Verify all legal, regulatory, and safety compliance criteria are met before de</w:t>
      </w:r>
      <w:r w:rsidR="00D15A98">
        <w:t> </w:t>
      </w:r>
      <w:r w:rsidRPr="000A05F6">
        <w:t>energization</w:t>
      </w:r>
    </w:p>
    <w:p w14:paraId="26F0161A" w14:textId="77777777" w:rsidR="00DD1798" w:rsidRPr="000A05F6" w:rsidRDefault="00DD1798" w:rsidP="005F4962">
      <w:pPr>
        <w:pStyle w:val="Subheading1"/>
      </w:pPr>
      <w:r w:rsidRPr="000A05F6">
        <w:t>Customer Outreach Unit Leader</w:t>
      </w:r>
    </w:p>
    <w:p w14:paraId="638C9A97" w14:textId="77777777" w:rsidR="00DD1798" w:rsidRPr="000A05F6" w:rsidRDefault="00DD1798" w:rsidP="00D15A98">
      <w:pPr>
        <w:pStyle w:val="BulletList"/>
      </w:pPr>
      <w:r w:rsidRPr="000A05F6">
        <w:t>Confirm Customer Service Representative (CSR) availability and readiness of communication tools</w:t>
      </w:r>
    </w:p>
    <w:p w14:paraId="24138712" w14:textId="77777777" w:rsidR="00DD1798" w:rsidRPr="000A05F6" w:rsidRDefault="00DD1798" w:rsidP="00D15A98">
      <w:pPr>
        <w:pStyle w:val="BulletList"/>
      </w:pPr>
      <w:r w:rsidRPr="000A05F6">
        <w:t>Log final outreach actions to vulnerable populations and Medical Baseline customers</w:t>
      </w:r>
    </w:p>
    <w:p w14:paraId="33F3E825" w14:textId="76033119" w:rsidR="00DD1798" w:rsidRPr="005E6772" w:rsidRDefault="00DD1798" w:rsidP="00D15A98">
      <w:pPr>
        <w:pStyle w:val="BulletListFinal"/>
      </w:pPr>
      <w:r w:rsidRPr="000A05F6">
        <w:t>Coordinate last-mile notification efforts, including door hanger distribution and direct outreach in impacted areas</w:t>
      </w:r>
    </w:p>
    <w:p w14:paraId="2F1DB274" w14:textId="77777777" w:rsidR="00DD1798" w:rsidRPr="000A05F6" w:rsidRDefault="00DD1798" w:rsidP="005F4962">
      <w:pPr>
        <w:pStyle w:val="Subheading1"/>
      </w:pPr>
      <w:r w:rsidRPr="000A05F6">
        <w:t>Finance/Administration Section Chief</w:t>
      </w:r>
    </w:p>
    <w:p w14:paraId="2153CBE8" w14:textId="1D9E0BA5" w:rsidR="00DD1798" w:rsidRPr="000A05F6" w:rsidRDefault="00DD1798" w:rsidP="00D15A98">
      <w:pPr>
        <w:pStyle w:val="BulletList"/>
      </w:pPr>
      <w:r w:rsidRPr="000A05F6">
        <w:t>Confirm financial tracking systems are ready to capture costs during activation and</w:t>
      </w:r>
      <w:r w:rsidR="00D15A98">
        <w:t> </w:t>
      </w:r>
      <w:r w:rsidRPr="000A05F6">
        <w:t>response</w:t>
      </w:r>
    </w:p>
    <w:p w14:paraId="26C24CDD" w14:textId="77777777" w:rsidR="00DD1798" w:rsidRPr="000A05F6" w:rsidRDefault="00DD1798" w:rsidP="00D15A98">
      <w:pPr>
        <w:pStyle w:val="BulletList"/>
      </w:pPr>
      <w:r w:rsidRPr="000A05F6">
        <w:t>Review final resource commitments and ensure documentation is in place</w:t>
      </w:r>
    </w:p>
    <w:p w14:paraId="070B7C00" w14:textId="77777777" w:rsidR="00DD1798" w:rsidRPr="000A05F6" w:rsidRDefault="00DD1798" w:rsidP="00D15A98">
      <w:pPr>
        <w:pStyle w:val="BulletListFinal"/>
      </w:pPr>
      <w:r w:rsidRPr="000A05F6">
        <w:t>Maintain continuity of ICS form tracking and update expenditure estimates</w:t>
      </w:r>
    </w:p>
    <w:p w14:paraId="59964934" w14:textId="77777777" w:rsidR="00DD1798" w:rsidRPr="000A05F6" w:rsidRDefault="00DD1798" w:rsidP="005F4962">
      <w:pPr>
        <w:pStyle w:val="Subheading1"/>
      </w:pPr>
      <w:r w:rsidRPr="000A05F6">
        <w:t>Administrative Support Unit (Finance/Admin Section)</w:t>
      </w:r>
    </w:p>
    <w:p w14:paraId="75833EEE" w14:textId="77777777" w:rsidR="00DD1798" w:rsidRPr="000A05F6" w:rsidRDefault="00DD1798" w:rsidP="00D15A98">
      <w:pPr>
        <w:pStyle w:val="BulletList"/>
      </w:pPr>
      <w:r w:rsidRPr="000A05F6">
        <w:t>Document final meeting notes, stakeholder call logs, and CRC activation status</w:t>
      </w:r>
    </w:p>
    <w:p w14:paraId="47123802" w14:textId="77777777" w:rsidR="00DD1798" w:rsidRPr="000A05F6" w:rsidRDefault="00DD1798" w:rsidP="00D15A98">
      <w:pPr>
        <w:pStyle w:val="BulletList"/>
      </w:pPr>
      <w:r w:rsidRPr="000A05F6">
        <w:t>Support the launch and distribution of the updated Incident Action Plan (IAP)</w:t>
      </w:r>
    </w:p>
    <w:p w14:paraId="20FB6ED5" w14:textId="77777777" w:rsidR="00DD1798" w:rsidRPr="000A05F6" w:rsidRDefault="00DD1798" w:rsidP="00D15A98">
      <w:pPr>
        <w:pStyle w:val="BulletListFinal"/>
      </w:pPr>
      <w:r w:rsidRPr="000A05F6">
        <w:t>Prepare ICS documentation systems for transition into active de-energization monitoring and real-time support</w:t>
      </w:r>
    </w:p>
    <w:p w14:paraId="35281CAF" w14:textId="77777777" w:rsidR="00DD1798" w:rsidRPr="007F5ED4" w:rsidRDefault="00DD1798" w:rsidP="007F5ED4">
      <w:pPr>
        <w:pStyle w:val="BodyText"/>
        <w:rPr>
          <w:i/>
          <w:iCs/>
        </w:rPr>
      </w:pPr>
      <w:r w:rsidRPr="007F5ED4">
        <w:rPr>
          <w:i/>
          <w:iCs/>
        </w:rPr>
        <w:t>This phase concludes as the PPS event is initiated and circuits are de-energized.</w:t>
      </w:r>
    </w:p>
    <w:p w14:paraId="2FBB5D07" w14:textId="2CC749D9" w:rsidR="00DD1798" w:rsidRPr="000A05F6" w:rsidRDefault="00DD1798" w:rsidP="007F5ED4">
      <w:pPr>
        <w:pStyle w:val="Appendices-Heading2"/>
      </w:pPr>
      <w:r w:rsidRPr="000A05F6">
        <w:t>Phase 5 - Implement PPS</w:t>
      </w:r>
    </w:p>
    <w:p w14:paraId="41ECA006" w14:textId="77777777" w:rsidR="00DD1798" w:rsidRPr="005F4962" w:rsidRDefault="00DD1798" w:rsidP="007F5ED4">
      <w:pPr>
        <w:keepNext/>
        <w:keepLines/>
        <w:rPr>
          <w:rFonts w:ascii="Arial" w:hAnsi="Arial" w:cs="Arial"/>
          <w:i/>
          <w:iCs/>
          <w:color w:val="FF0000"/>
        </w:rPr>
      </w:pPr>
      <w:r w:rsidRPr="005F4962">
        <w:rPr>
          <w:rFonts w:ascii="Arial" w:hAnsi="Arial" w:cs="Arial"/>
          <w:b/>
          <w:bCs/>
          <w:i/>
          <w:iCs/>
          <w:color w:val="FF0000"/>
        </w:rPr>
        <w:t>DE-ENERGIZATION INITIATED UNTIL CONDITIONS IMPROVE</w:t>
      </w:r>
    </w:p>
    <w:p w14:paraId="2DC3CEC9" w14:textId="77777777" w:rsidR="00DD1798" w:rsidRPr="000A05F6" w:rsidRDefault="00DD1798" w:rsidP="007F5ED4">
      <w:pPr>
        <w:pStyle w:val="BodyText"/>
      </w:pPr>
      <w:r w:rsidRPr="000A05F6">
        <w:t>This phase is activated when the PPS event is officially underway. All systems shift from preparation to active management, customer support, safety coordination, and status monitoring.</w:t>
      </w:r>
    </w:p>
    <w:p w14:paraId="0A7AFEF3" w14:textId="77777777" w:rsidR="00DD1798" w:rsidRPr="000A05F6" w:rsidRDefault="00DD1798" w:rsidP="005F4962">
      <w:pPr>
        <w:pStyle w:val="Subheading1"/>
      </w:pPr>
      <w:r w:rsidRPr="000A05F6">
        <w:t>Phase 5 Assumptions</w:t>
      </w:r>
    </w:p>
    <w:p w14:paraId="2B937510" w14:textId="77777777" w:rsidR="00DD1798" w:rsidRPr="007F5ED4" w:rsidRDefault="00DD1798" w:rsidP="007F5ED4">
      <w:pPr>
        <w:pStyle w:val="BulletList"/>
      </w:pPr>
      <w:r w:rsidRPr="007F5ED4">
        <w:t>Power has been turned off for fire risk mitigation</w:t>
      </w:r>
    </w:p>
    <w:p w14:paraId="52FEB6E9" w14:textId="77777777" w:rsidR="00DD1798" w:rsidRPr="000A05F6" w:rsidRDefault="00DD1798" w:rsidP="007F5ED4">
      <w:pPr>
        <w:pStyle w:val="BulletListFinal"/>
      </w:pPr>
      <w:r w:rsidRPr="000A05F6">
        <w:t>Weather/fire conditions remain above re-energization thresholds</w:t>
      </w:r>
    </w:p>
    <w:p w14:paraId="10BBE928" w14:textId="77777777" w:rsidR="00DD1798" w:rsidRPr="000A05F6" w:rsidRDefault="00DD1798" w:rsidP="005F4962">
      <w:pPr>
        <w:pStyle w:val="Subheading1"/>
      </w:pPr>
      <w:r w:rsidRPr="000A05F6">
        <w:lastRenderedPageBreak/>
        <w:t>Objectives</w:t>
      </w:r>
    </w:p>
    <w:p w14:paraId="13EC5536" w14:textId="77777777" w:rsidR="00DD1798" w:rsidRPr="007F5ED4" w:rsidRDefault="00DD1798" w:rsidP="007F5ED4">
      <w:pPr>
        <w:pStyle w:val="BulletList"/>
      </w:pPr>
      <w:r w:rsidRPr="007F5ED4">
        <w:t>Maintain real-time communication with customers and stakeholders</w:t>
      </w:r>
    </w:p>
    <w:p w14:paraId="6C8DBC80" w14:textId="77777777" w:rsidR="00DD1798" w:rsidRPr="007F5ED4" w:rsidRDefault="00DD1798" w:rsidP="007F5ED4">
      <w:pPr>
        <w:pStyle w:val="BulletList"/>
      </w:pPr>
      <w:r w:rsidRPr="007F5ED4">
        <w:t>Provide safe and timely support through CRCs</w:t>
      </w:r>
    </w:p>
    <w:p w14:paraId="14856A12" w14:textId="77777777" w:rsidR="00DD1798" w:rsidRDefault="00DD1798" w:rsidP="007F5ED4">
      <w:pPr>
        <w:pStyle w:val="BulletListFinal"/>
      </w:pPr>
      <w:r w:rsidRPr="000A05F6">
        <w:t>Prepare for eventual restoration planning</w:t>
      </w:r>
    </w:p>
    <w:p w14:paraId="291A1DFE" w14:textId="1CA1A776" w:rsidR="00DD1798" w:rsidRPr="005E6772" w:rsidRDefault="00DD1798" w:rsidP="001B420C">
      <w:pPr>
        <w:pStyle w:val="Appendices-Heading3"/>
      </w:pPr>
      <w:r w:rsidRPr="00726D41">
        <w:t>Key Actions by Role</w:t>
      </w:r>
    </w:p>
    <w:p w14:paraId="69FD7402" w14:textId="77777777" w:rsidR="00DD1798" w:rsidRPr="000A05F6" w:rsidRDefault="00DD1798" w:rsidP="005F4962">
      <w:pPr>
        <w:pStyle w:val="Subheading1"/>
      </w:pPr>
      <w:r w:rsidRPr="000A05F6">
        <w:t>Incident Commander (IC)</w:t>
      </w:r>
    </w:p>
    <w:p w14:paraId="3B586FA8" w14:textId="47C3898D" w:rsidR="00DD1798" w:rsidRPr="007F5ED4" w:rsidRDefault="00DD1798" w:rsidP="007F5ED4">
      <w:pPr>
        <w:pStyle w:val="BulletList"/>
      </w:pPr>
      <w:r w:rsidRPr="007F5ED4">
        <w:t>Oversee implementation of the PPS response and maintain strategic situational</w:t>
      </w:r>
      <w:r w:rsidR="007F5ED4">
        <w:t> </w:t>
      </w:r>
      <w:r w:rsidRPr="007F5ED4">
        <w:t>awareness</w:t>
      </w:r>
    </w:p>
    <w:p w14:paraId="4AC04E55" w14:textId="77777777" w:rsidR="00DD1798" w:rsidRPr="007F5ED4" w:rsidRDefault="00DD1798" w:rsidP="007F5ED4">
      <w:pPr>
        <w:pStyle w:val="BulletList"/>
      </w:pPr>
      <w:r w:rsidRPr="007F5ED4">
        <w:t>Communicate ongoing event status and developments to the General Manager and Executive Leadership</w:t>
      </w:r>
    </w:p>
    <w:p w14:paraId="4E89E599" w14:textId="6B7AACD2" w:rsidR="00DD1798" w:rsidRPr="0082421A" w:rsidRDefault="00DD1798" w:rsidP="007F5ED4">
      <w:pPr>
        <w:pStyle w:val="BulletListFinal"/>
      </w:pPr>
      <w:r w:rsidRPr="000A05F6">
        <w:t>Support cross-functional coordination and resource prioritization in response to evolving</w:t>
      </w:r>
      <w:r w:rsidR="007F5ED4">
        <w:t> </w:t>
      </w:r>
      <w:r w:rsidRPr="000A05F6">
        <w:t>conditions</w:t>
      </w:r>
    </w:p>
    <w:p w14:paraId="1B3A0CCE" w14:textId="77777777" w:rsidR="00DD1798" w:rsidRPr="000A05F6" w:rsidRDefault="00DD1798" w:rsidP="005F4962">
      <w:pPr>
        <w:pStyle w:val="Subheading1"/>
      </w:pPr>
      <w:r w:rsidRPr="000A05F6">
        <w:t>Operations Section Chief</w:t>
      </w:r>
    </w:p>
    <w:p w14:paraId="1D09F5BB" w14:textId="77777777" w:rsidR="00DD1798" w:rsidRPr="007F5ED4" w:rsidRDefault="00DD1798" w:rsidP="007F5ED4">
      <w:pPr>
        <w:pStyle w:val="BulletList"/>
      </w:pPr>
      <w:r w:rsidRPr="007F5ED4">
        <w:t>Confirm grid status and full extent of de-energization with field and control center inputs</w:t>
      </w:r>
    </w:p>
    <w:p w14:paraId="2224D7EF" w14:textId="77777777" w:rsidR="00DD1798" w:rsidRPr="007F5ED4" w:rsidRDefault="00DD1798" w:rsidP="007F5ED4">
      <w:pPr>
        <w:pStyle w:val="BulletList"/>
      </w:pPr>
      <w:r w:rsidRPr="007F5ED4">
        <w:t>Monitor field safety conditions and coordinate directly with crews for status updates and hazard reporting</w:t>
      </w:r>
    </w:p>
    <w:p w14:paraId="7A7CACDC" w14:textId="5ABDCA74" w:rsidR="00DD1798" w:rsidRPr="007F5ED4" w:rsidRDefault="00DD1798" w:rsidP="007F5ED4">
      <w:pPr>
        <w:pStyle w:val="BulletList"/>
      </w:pPr>
      <w:r w:rsidRPr="007F5ED4">
        <w:t>Evaluate critical water sites and determine if pump shutdown is necessary; oversee placement of applicable pumps in manual “off” mode in SCADA to prevent equipment</w:t>
      </w:r>
      <w:r w:rsidR="007F5ED4">
        <w:t> </w:t>
      </w:r>
      <w:r w:rsidRPr="007F5ED4">
        <w:t>damage</w:t>
      </w:r>
    </w:p>
    <w:p w14:paraId="1C00673D" w14:textId="77777777" w:rsidR="00DD1798" w:rsidRPr="007F5ED4" w:rsidRDefault="00DD1798" w:rsidP="007F5ED4">
      <w:pPr>
        <w:pStyle w:val="BulletList"/>
      </w:pPr>
      <w:r w:rsidRPr="007F5ED4">
        <w:t>Deploy Water Department staff to assist with electric system logistics, field observations, or infrastructure support as needed</w:t>
      </w:r>
    </w:p>
    <w:p w14:paraId="5685579D" w14:textId="77777777" w:rsidR="00DD1798" w:rsidRDefault="00DD1798" w:rsidP="007F5ED4">
      <w:pPr>
        <w:pStyle w:val="BulletListFinal"/>
      </w:pPr>
      <w:r w:rsidRPr="000A05F6">
        <w:t>Initiate 12-hour shifts for Water Crew members to maintain continuous operational coverage throughout the PPS event</w:t>
      </w:r>
    </w:p>
    <w:p w14:paraId="547F14AD" w14:textId="77777777" w:rsidR="00DD1798" w:rsidRPr="000A05F6" w:rsidRDefault="00DD1798" w:rsidP="005F4962">
      <w:pPr>
        <w:pStyle w:val="Subheading1"/>
      </w:pPr>
      <w:r w:rsidRPr="000A05F6">
        <w:t>Planning Section Chief</w:t>
      </w:r>
    </w:p>
    <w:p w14:paraId="2A49073E" w14:textId="77777777" w:rsidR="00DD1798" w:rsidRPr="007F5ED4" w:rsidRDefault="00DD1798" w:rsidP="007F5ED4">
      <w:pPr>
        <w:pStyle w:val="BulletList"/>
      </w:pPr>
      <w:r w:rsidRPr="007F5ED4">
        <w:t>Maintain real-time situational updates in OMS and GIS systems</w:t>
      </w:r>
    </w:p>
    <w:p w14:paraId="4EA7998F" w14:textId="77777777" w:rsidR="00DD1798" w:rsidRPr="007F5ED4" w:rsidRDefault="00DD1798" w:rsidP="007F5ED4">
      <w:pPr>
        <w:pStyle w:val="BulletList"/>
      </w:pPr>
      <w:r w:rsidRPr="007F5ED4">
        <w:t>Confirm and update impacted customer lists, electric circuit visuals, and water system performance data</w:t>
      </w:r>
    </w:p>
    <w:p w14:paraId="0EBADA18" w14:textId="77777777" w:rsidR="00DD1798" w:rsidRPr="007F5ED4" w:rsidRDefault="00DD1798" w:rsidP="007F5ED4">
      <w:pPr>
        <w:pStyle w:val="BulletList"/>
      </w:pPr>
      <w:r w:rsidRPr="007F5ED4">
        <w:t>Support restoration prioritization strategy by incorporating field intelligence, SCADA data, and system conditions</w:t>
      </w:r>
    </w:p>
    <w:p w14:paraId="314D87B6" w14:textId="77777777" w:rsidR="00DD1798" w:rsidRDefault="00DD1798" w:rsidP="007F5ED4">
      <w:pPr>
        <w:pStyle w:val="BulletListFinal"/>
      </w:pPr>
      <w:r w:rsidRPr="000A05F6">
        <w:t>Monitor water SCADA in real time to track tank levels, performance indicators, and operational anomalies</w:t>
      </w:r>
    </w:p>
    <w:p w14:paraId="065C256A" w14:textId="77777777" w:rsidR="00DD1798" w:rsidRDefault="00DD1798" w:rsidP="005F4962">
      <w:pPr>
        <w:pStyle w:val="Subheading1"/>
      </w:pPr>
      <w:r w:rsidRPr="006952E6">
        <w:t>Logistics Section Chief</w:t>
      </w:r>
    </w:p>
    <w:p w14:paraId="18141440" w14:textId="09906442" w:rsidR="00DD1798" w:rsidRPr="007F5ED4" w:rsidRDefault="00DD1798" w:rsidP="007F5ED4">
      <w:pPr>
        <w:pStyle w:val="BulletList"/>
      </w:pPr>
      <w:r w:rsidRPr="007F5ED4">
        <w:t>Coordinate with Operations and Planning Sections to anticipate support needs for field</w:t>
      </w:r>
      <w:r w:rsidR="007F5ED4">
        <w:t> </w:t>
      </w:r>
      <w:r w:rsidRPr="007F5ED4">
        <w:t>deployment</w:t>
      </w:r>
    </w:p>
    <w:p w14:paraId="55598C54" w14:textId="77777777" w:rsidR="00DD1798" w:rsidRPr="007F5ED4" w:rsidRDefault="00DD1798" w:rsidP="007F5ED4">
      <w:pPr>
        <w:pStyle w:val="BulletList"/>
      </w:pPr>
      <w:r w:rsidRPr="007F5ED4">
        <w:t>Arrange lodging and meals for field and support personnel during multi-day PPS events</w:t>
      </w:r>
    </w:p>
    <w:p w14:paraId="67694B61" w14:textId="77777777" w:rsidR="00DD1798" w:rsidRPr="007F5ED4" w:rsidRDefault="00DD1798" w:rsidP="007F5ED4">
      <w:pPr>
        <w:pStyle w:val="BulletList"/>
      </w:pPr>
      <w:r w:rsidRPr="007F5ED4">
        <w:t>Procure and distribute necessary materials, tools, and emergency fuel to support electric and water operations</w:t>
      </w:r>
    </w:p>
    <w:p w14:paraId="4D7DB269" w14:textId="060AD20D" w:rsidR="00DD1798" w:rsidRPr="007F5ED4" w:rsidRDefault="00DD1798" w:rsidP="007F5ED4">
      <w:pPr>
        <w:pStyle w:val="BulletList"/>
      </w:pPr>
      <w:r w:rsidRPr="007F5ED4">
        <w:lastRenderedPageBreak/>
        <w:t>Manage staging areas, rest locations, and the Incident Command Post (ICP) to ensure</w:t>
      </w:r>
      <w:r w:rsidR="007F5ED4">
        <w:t> </w:t>
      </w:r>
      <w:r w:rsidRPr="007F5ED4">
        <w:t>readiness</w:t>
      </w:r>
    </w:p>
    <w:p w14:paraId="6A324EBE" w14:textId="05AA6A69" w:rsidR="00DD1798" w:rsidRPr="007F5ED4" w:rsidRDefault="00DD1798" w:rsidP="007F5ED4">
      <w:pPr>
        <w:pStyle w:val="BulletList"/>
      </w:pPr>
      <w:r w:rsidRPr="007F5ED4">
        <w:t>Provide transportation logistics, including vehicle coordination and support for field</w:t>
      </w:r>
      <w:r w:rsidR="007F5ED4">
        <w:t> </w:t>
      </w:r>
      <w:r w:rsidRPr="007F5ED4">
        <w:t>mobility</w:t>
      </w:r>
    </w:p>
    <w:p w14:paraId="2703BEBE" w14:textId="77777777" w:rsidR="00DD1798" w:rsidRPr="0082421A" w:rsidRDefault="00DD1798" w:rsidP="007F5ED4">
      <w:pPr>
        <w:pStyle w:val="BulletListFinal"/>
      </w:pPr>
      <w:r w:rsidRPr="006952E6">
        <w:t>Ensure availability of basic medical supplies and support for crew health and safety in the field</w:t>
      </w:r>
    </w:p>
    <w:p w14:paraId="55B95231" w14:textId="77777777" w:rsidR="00DD1798" w:rsidRPr="000A05F6" w:rsidRDefault="00DD1798" w:rsidP="005F4962">
      <w:pPr>
        <w:pStyle w:val="Subheading1"/>
      </w:pPr>
      <w:r w:rsidRPr="000A05F6">
        <w:t>Public Information Officer (PIO)</w:t>
      </w:r>
    </w:p>
    <w:p w14:paraId="41931378" w14:textId="77777777" w:rsidR="00DD1798" w:rsidRPr="007F5ED4" w:rsidRDefault="00DD1798" w:rsidP="007F5ED4">
      <w:pPr>
        <w:pStyle w:val="BulletList"/>
      </w:pPr>
      <w:r w:rsidRPr="007F5ED4">
        <w:t>Issue internal de-energization communications and staff updates</w:t>
      </w:r>
    </w:p>
    <w:p w14:paraId="425EAB20" w14:textId="77777777" w:rsidR="00DD1798" w:rsidRPr="007F5ED4" w:rsidRDefault="00DD1798" w:rsidP="007F5ED4">
      <w:pPr>
        <w:pStyle w:val="BulletList"/>
      </w:pPr>
      <w:r w:rsidRPr="007F5ED4">
        <w:t>Coordinate CRC status and ensure accurate, real-time operational updates are shared with stakeholders</w:t>
      </w:r>
    </w:p>
    <w:p w14:paraId="44D7BDDF" w14:textId="03AAFC30" w:rsidR="00DD1798" w:rsidRPr="007F5ED4" w:rsidRDefault="00DD1798" w:rsidP="007F5ED4">
      <w:pPr>
        <w:pStyle w:val="BulletList"/>
      </w:pPr>
      <w:r w:rsidRPr="007F5ED4">
        <w:t>Respond to media inquiries and provide updated talking points to internal and external</w:t>
      </w:r>
      <w:r w:rsidR="007F5ED4">
        <w:t> </w:t>
      </w:r>
      <w:r w:rsidRPr="007F5ED4">
        <w:t>audiences</w:t>
      </w:r>
    </w:p>
    <w:p w14:paraId="239BE649" w14:textId="77777777" w:rsidR="00DD1798" w:rsidRPr="0082421A" w:rsidRDefault="00DD1798" w:rsidP="007F5ED4">
      <w:pPr>
        <w:pStyle w:val="BulletListFinal"/>
      </w:pPr>
      <w:r w:rsidRPr="000A05F6">
        <w:t>Coordinate with Communications Unit Leader to ensure consistency and accuracy in public messagin</w:t>
      </w:r>
      <w:r>
        <w:t>g</w:t>
      </w:r>
    </w:p>
    <w:p w14:paraId="2EDE42EE" w14:textId="77777777" w:rsidR="00DD1798" w:rsidRPr="000A05F6" w:rsidRDefault="00DD1798" w:rsidP="005F4962">
      <w:pPr>
        <w:pStyle w:val="Subheading1"/>
      </w:pPr>
      <w:r w:rsidRPr="000A05F6">
        <w:t>Communications Unit Leader</w:t>
      </w:r>
    </w:p>
    <w:p w14:paraId="1FBA7815" w14:textId="77777777" w:rsidR="00DD1798" w:rsidRPr="007F5ED4" w:rsidRDefault="00DD1798" w:rsidP="007F5ED4">
      <w:pPr>
        <w:pStyle w:val="BulletList"/>
      </w:pPr>
      <w:r w:rsidRPr="007F5ED4">
        <w:t>Distribute alerts and updates across digital platforms, including the TDPUD website and social media</w:t>
      </w:r>
    </w:p>
    <w:p w14:paraId="4F9D8C61" w14:textId="77777777" w:rsidR="00DD1798" w:rsidRPr="007F5ED4" w:rsidRDefault="00DD1798" w:rsidP="007F5ED4">
      <w:pPr>
        <w:pStyle w:val="BulletList"/>
      </w:pPr>
      <w:r w:rsidRPr="007F5ED4">
        <w:t>Publish media updates including PSAs, CMS messages, and social media posts</w:t>
      </w:r>
    </w:p>
    <w:p w14:paraId="6A1F3B67" w14:textId="07FD8221" w:rsidR="00DD1798" w:rsidRPr="007F5ED4" w:rsidRDefault="00DD1798" w:rsidP="007F5ED4">
      <w:pPr>
        <w:pStyle w:val="BulletList"/>
      </w:pPr>
      <w:r w:rsidRPr="007F5ED4">
        <w:t>Monitor customer sentiment, CRC feedback, and digital engagement to inform message</w:t>
      </w:r>
      <w:r w:rsidR="007F5ED4">
        <w:t> </w:t>
      </w:r>
      <w:r w:rsidRPr="007F5ED4">
        <w:t>refinement</w:t>
      </w:r>
    </w:p>
    <w:p w14:paraId="4B36DA46" w14:textId="77777777" w:rsidR="00DD1798" w:rsidRPr="0082421A" w:rsidRDefault="00DD1798" w:rsidP="007F5ED4">
      <w:pPr>
        <w:pStyle w:val="BulletListFinal"/>
      </w:pPr>
      <w:r w:rsidRPr="000A05F6">
        <w:t>Provide real-time support to the PIO for content distribution and public engagement</w:t>
      </w:r>
    </w:p>
    <w:p w14:paraId="126092F0" w14:textId="77777777" w:rsidR="00DD1798" w:rsidRPr="000A05F6" w:rsidRDefault="00DD1798" w:rsidP="005F4962">
      <w:pPr>
        <w:pStyle w:val="Subheading1"/>
      </w:pPr>
      <w:r w:rsidRPr="000A05F6">
        <w:t>Safety/Liaison Officer</w:t>
      </w:r>
    </w:p>
    <w:p w14:paraId="1DF1BD0F" w14:textId="77777777" w:rsidR="00DD1798" w:rsidRPr="007F5ED4" w:rsidRDefault="00DD1798" w:rsidP="007F5ED4">
      <w:pPr>
        <w:pStyle w:val="BulletList"/>
      </w:pPr>
      <w:r w:rsidRPr="007F5ED4">
        <w:t>Log all significant response actions, updates, and interagency coordination activities</w:t>
      </w:r>
    </w:p>
    <w:p w14:paraId="5DEEA0F2" w14:textId="7D695A1F" w:rsidR="00DD1798" w:rsidRPr="007F5ED4" w:rsidRDefault="00DD1798" w:rsidP="007F5ED4">
      <w:pPr>
        <w:pStyle w:val="BulletList"/>
      </w:pPr>
      <w:r w:rsidRPr="007F5ED4">
        <w:t>Submit and update required regulatory notifications to CPUC, Cal OES, and other</w:t>
      </w:r>
      <w:r w:rsidR="007F5ED4">
        <w:t> </w:t>
      </w:r>
      <w:r w:rsidRPr="007F5ED4">
        <w:t>authorities</w:t>
      </w:r>
    </w:p>
    <w:p w14:paraId="26A13C1B" w14:textId="77777777" w:rsidR="00DD1798" w:rsidRPr="0082421A" w:rsidRDefault="00DD1798" w:rsidP="007F5ED4">
      <w:pPr>
        <w:pStyle w:val="BulletListFinal"/>
      </w:pPr>
      <w:r w:rsidRPr="000A05F6">
        <w:t>Confirm CRC sites remain accessible and compliant with legal, safety, and communication requirements</w:t>
      </w:r>
    </w:p>
    <w:p w14:paraId="128BA9A2" w14:textId="77777777" w:rsidR="00DD1798" w:rsidRPr="000A05F6" w:rsidRDefault="00DD1798" w:rsidP="005F4962">
      <w:pPr>
        <w:pStyle w:val="Subheading1"/>
      </w:pPr>
      <w:r w:rsidRPr="000A05F6">
        <w:t>Customer Outreach Unit Leader</w:t>
      </w:r>
    </w:p>
    <w:p w14:paraId="12F76CD1" w14:textId="77777777" w:rsidR="00DD1798" w:rsidRPr="007F5ED4" w:rsidRDefault="00DD1798" w:rsidP="007F5ED4">
      <w:pPr>
        <w:pStyle w:val="BulletList"/>
      </w:pPr>
      <w:r w:rsidRPr="007F5ED4">
        <w:t>Manage call center messaging and ensure Customer Service Representatives (CSRs) have current status updates</w:t>
      </w:r>
    </w:p>
    <w:p w14:paraId="391653E9" w14:textId="77777777" w:rsidR="00DD1798" w:rsidRPr="007F5ED4" w:rsidRDefault="00DD1798" w:rsidP="007F5ED4">
      <w:pPr>
        <w:pStyle w:val="BulletList"/>
      </w:pPr>
      <w:r w:rsidRPr="007F5ED4">
        <w:t>Support inquiries from Medical Baseline and vulnerable customers, coordinating with CRC staff as needed</w:t>
      </w:r>
    </w:p>
    <w:p w14:paraId="289DDE26" w14:textId="7382C9BC" w:rsidR="00DD1798" w:rsidRPr="0082421A" w:rsidRDefault="00DD1798" w:rsidP="007F5ED4">
      <w:pPr>
        <w:pStyle w:val="BulletListFinal"/>
      </w:pPr>
      <w:r w:rsidRPr="000A05F6">
        <w:t>Ensure continuous coordination between customer-facing staff, CRCs, and field</w:t>
      </w:r>
      <w:r w:rsidR="007F5ED4">
        <w:t> </w:t>
      </w:r>
      <w:r w:rsidRPr="000A05F6">
        <w:t>personnel</w:t>
      </w:r>
    </w:p>
    <w:p w14:paraId="4B601CBD" w14:textId="77777777" w:rsidR="00DD1798" w:rsidRPr="000A05F6" w:rsidRDefault="00DD1798" w:rsidP="005F4962">
      <w:pPr>
        <w:pStyle w:val="Subheading1"/>
      </w:pPr>
      <w:r w:rsidRPr="000A05F6">
        <w:t>Finance/Administration Section Chief</w:t>
      </w:r>
    </w:p>
    <w:p w14:paraId="413B5CB2" w14:textId="77777777" w:rsidR="00DD1798" w:rsidRPr="007F5ED4" w:rsidRDefault="00DD1798" w:rsidP="007F5ED4">
      <w:pPr>
        <w:pStyle w:val="BulletList"/>
      </w:pPr>
      <w:r w:rsidRPr="007F5ED4">
        <w:t>Track resource utilization and real-time expenses associated with PPS operations</w:t>
      </w:r>
    </w:p>
    <w:p w14:paraId="1D5FF0EF" w14:textId="77777777" w:rsidR="00DD1798" w:rsidRPr="007F5ED4" w:rsidRDefault="00DD1798" w:rsidP="007F5ED4">
      <w:pPr>
        <w:pStyle w:val="BulletList"/>
      </w:pPr>
      <w:r w:rsidRPr="007F5ED4">
        <w:t>Maintain accurate ICS documentation (ICS 214, 219, 213RR) for current event activities</w:t>
      </w:r>
    </w:p>
    <w:p w14:paraId="04AAB341" w14:textId="77777777" w:rsidR="00DD1798" w:rsidRPr="0082421A" w:rsidRDefault="00DD1798" w:rsidP="007F5ED4">
      <w:pPr>
        <w:pStyle w:val="BulletListFinal"/>
      </w:pPr>
      <w:r w:rsidRPr="000A05F6">
        <w:t>Support planning for financial reporting and reimbursement after the event concludes</w:t>
      </w:r>
    </w:p>
    <w:p w14:paraId="23AB8175" w14:textId="77777777" w:rsidR="00DD1798" w:rsidRPr="000A05F6" w:rsidRDefault="00DD1798" w:rsidP="005F4962">
      <w:pPr>
        <w:pStyle w:val="Subheading1"/>
      </w:pPr>
      <w:r w:rsidRPr="000A05F6">
        <w:lastRenderedPageBreak/>
        <w:t>Administrative Support Unit (Finance/Admin Section)</w:t>
      </w:r>
    </w:p>
    <w:p w14:paraId="05922BDE" w14:textId="4A7B86CC" w:rsidR="00DD1798" w:rsidRPr="007F5ED4" w:rsidRDefault="00DD1798" w:rsidP="007F5ED4">
      <w:pPr>
        <w:pStyle w:val="BulletList"/>
      </w:pPr>
      <w:r w:rsidRPr="007F5ED4">
        <w:t>Maintain the most recent version of the Incident Action Plan (IAP) as operational needs</w:t>
      </w:r>
      <w:r w:rsidR="007F5ED4">
        <w:t> </w:t>
      </w:r>
      <w:r w:rsidRPr="007F5ED4">
        <w:t>evolve</w:t>
      </w:r>
    </w:p>
    <w:p w14:paraId="53A98644" w14:textId="77777777" w:rsidR="00DD1798" w:rsidRPr="007F5ED4" w:rsidRDefault="00DD1798" w:rsidP="007F5ED4">
      <w:pPr>
        <w:pStyle w:val="BulletList"/>
      </w:pPr>
      <w:r w:rsidRPr="007F5ED4">
        <w:t>Log key actions, decisions, and timeline milestones for post-event review and improvement planning</w:t>
      </w:r>
    </w:p>
    <w:p w14:paraId="2990B566" w14:textId="15BA2ECF" w:rsidR="00DD1798" w:rsidRPr="000A05F6" w:rsidRDefault="00DD1798" w:rsidP="007F5ED4">
      <w:pPr>
        <w:pStyle w:val="BulletListFinal"/>
      </w:pPr>
      <w:r w:rsidRPr="000A05F6">
        <w:t>Provide documentation support for webinars, stakeholder meetings, and daily ICS</w:t>
      </w:r>
      <w:r w:rsidR="007F5ED4">
        <w:t> </w:t>
      </w:r>
      <w:r w:rsidRPr="000A05F6">
        <w:t>coordination</w:t>
      </w:r>
    </w:p>
    <w:p w14:paraId="1FDBB19B" w14:textId="77777777" w:rsidR="00DD1798" w:rsidRPr="007F5ED4" w:rsidRDefault="00DD1798" w:rsidP="007F5ED4">
      <w:pPr>
        <w:pStyle w:val="BodyText"/>
        <w:rPr>
          <w:i/>
          <w:iCs/>
        </w:rPr>
      </w:pPr>
      <w:r w:rsidRPr="007F5ED4">
        <w:rPr>
          <w:i/>
          <w:iCs/>
        </w:rPr>
        <w:t>This phase continues until weather conditions improve and safe re-energization can begin.</w:t>
      </w:r>
    </w:p>
    <w:p w14:paraId="30C09629" w14:textId="5C42E434" w:rsidR="00DD1798" w:rsidRPr="000A05F6" w:rsidRDefault="00DD1798" w:rsidP="007F5ED4">
      <w:pPr>
        <w:pStyle w:val="Appendices-Heading2"/>
      </w:pPr>
      <w:r w:rsidRPr="000A05F6">
        <w:t>Phase 6 - Re-</w:t>
      </w:r>
      <w:r w:rsidR="00B97DBE">
        <w:t>E</w:t>
      </w:r>
      <w:r w:rsidR="00B97DBE" w:rsidRPr="000A05F6">
        <w:t xml:space="preserve">nergization </w:t>
      </w:r>
      <w:r w:rsidRPr="000A05F6">
        <w:t>Initiated</w:t>
      </w:r>
    </w:p>
    <w:p w14:paraId="674D801A" w14:textId="77777777" w:rsidR="00DD1798" w:rsidRPr="005F4962" w:rsidRDefault="00DD1798" w:rsidP="00DD1798">
      <w:pPr>
        <w:rPr>
          <w:rFonts w:ascii="Arial" w:hAnsi="Arial" w:cs="Arial"/>
          <w:i/>
          <w:iCs/>
          <w:color w:val="FF0000"/>
        </w:rPr>
      </w:pPr>
      <w:r w:rsidRPr="005F4962">
        <w:rPr>
          <w:rFonts w:ascii="Arial" w:hAnsi="Arial" w:cs="Arial"/>
          <w:b/>
          <w:bCs/>
          <w:i/>
          <w:iCs/>
          <w:color w:val="FF0000"/>
        </w:rPr>
        <w:t>POWER RESTORATION BEGINS</w:t>
      </w:r>
    </w:p>
    <w:p w14:paraId="23386427" w14:textId="77777777" w:rsidR="00DD1798" w:rsidRPr="000A05F6" w:rsidRDefault="00DD1798" w:rsidP="007F5ED4">
      <w:pPr>
        <w:pStyle w:val="BodyText"/>
      </w:pPr>
      <w:r w:rsidRPr="000A05F6">
        <w:t>This phase begins once weather conditions improve and grid inspections confirm circuits can safely be re-energized. Teams shift to prioritizing safe, efficient power restoration.</w:t>
      </w:r>
    </w:p>
    <w:p w14:paraId="1781A466" w14:textId="77777777" w:rsidR="00DD1798" w:rsidRPr="000A05F6" w:rsidRDefault="00DD1798" w:rsidP="005F4962">
      <w:pPr>
        <w:pStyle w:val="Subheading1"/>
      </w:pPr>
      <w:r w:rsidRPr="000A05F6">
        <w:t>Phase 6 Assumptions</w:t>
      </w:r>
    </w:p>
    <w:p w14:paraId="638CA3C9" w14:textId="77777777" w:rsidR="00DD1798" w:rsidRPr="000A05F6" w:rsidRDefault="00DD1798" w:rsidP="0090306D">
      <w:pPr>
        <w:pStyle w:val="BulletList"/>
      </w:pPr>
      <w:r w:rsidRPr="000A05F6">
        <w:t>Fire risk conditions have subsided for at least one hour.</w:t>
      </w:r>
    </w:p>
    <w:p w14:paraId="257441D8" w14:textId="77777777" w:rsidR="00DD1798" w:rsidRPr="000A05F6" w:rsidRDefault="00DD1798" w:rsidP="0090306D">
      <w:pPr>
        <w:pStyle w:val="BulletListFinal"/>
      </w:pPr>
      <w:r w:rsidRPr="000A05F6">
        <w:t>Field inspections validate circuits as safe for re-energization.</w:t>
      </w:r>
    </w:p>
    <w:p w14:paraId="780EBD8D" w14:textId="77777777" w:rsidR="00DD1798" w:rsidRPr="000A05F6" w:rsidRDefault="00DD1798" w:rsidP="005F4962">
      <w:pPr>
        <w:pStyle w:val="Subheading1"/>
      </w:pPr>
      <w:r w:rsidRPr="000A05F6">
        <w:t>Objectives</w:t>
      </w:r>
    </w:p>
    <w:p w14:paraId="688AD25D" w14:textId="77777777" w:rsidR="00DD1798" w:rsidRPr="000A05F6" w:rsidRDefault="00DD1798" w:rsidP="0090306D">
      <w:pPr>
        <w:pStyle w:val="BulletList"/>
      </w:pPr>
      <w:r w:rsidRPr="000A05F6">
        <w:t>Safely restore power in prioritized stages.</w:t>
      </w:r>
    </w:p>
    <w:p w14:paraId="30B53BA3" w14:textId="77777777" w:rsidR="00DD1798" w:rsidRPr="000A05F6" w:rsidRDefault="00DD1798" w:rsidP="0090306D">
      <w:pPr>
        <w:pStyle w:val="BulletList"/>
      </w:pPr>
      <w:r w:rsidRPr="000A05F6">
        <w:t>Maintain customer communication and regulatory transparency.</w:t>
      </w:r>
    </w:p>
    <w:p w14:paraId="33BDADBD" w14:textId="77777777" w:rsidR="00DD1798" w:rsidRPr="000A05F6" w:rsidRDefault="00DD1798" w:rsidP="0090306D">
      <w:pPr>
        <w:pStyle w:val="BulletListFinal"/>
      </w:pPr>
      <w:r w:rsidRPr="000A05F6">
        <w:t>Begin post-event documentation and support.</w:t>
      </w:r>
    </w:p>
    <w:p w14:paraId="568FF35E" w14:textId="4B283736" w:rsidR="00DD1798" w:rsidRPr="005E6772" w:rsidRDefault="00DD1798" w:rsidP="001B420C">
      <w:pPr>
        <w:pStyle w:val="Appendices-Heading3"/>
      </w:pPr>
      <w:r w:rsidRPr="00E64383">
        <w:t>Key Actions by Role</w:t>
      </w:r>
    </w:p>
    <w:p w14:paraId="6B78302B" w14:textId="77777777" w:rsidR="00DD1798" w:rsidRPr="000A05F6" w:rsidRDefault="00DD1798" w:rsidP="005F4962">
      <w:pPr>
        <w:pStyle w:val="Subheading1"/>
      </w:pPr>
      <w:r w:rsidRPr="000A05F6">
        <w:t>Incident Commander (IC)</w:t>
      </w:r>
    </w:p>
    <w:p w14:paraId="7CDCC559" w14:textId="77777777" w:rsidR="00DD1798" w:rsidRPr="000A05F6" w:rsidRDefault="00DD1798" w:rsidP="0090306D">
      <w:pPr>
        <w:pStyle w:val="BulletList"/>
      </w:pPr>
      <w:r w:rsidRPr="000A05F6">
        <w:t>Approve initiation of system restoration and re-energization</w:t>
      </w:r>
    </w:p>
    <w:p w14:paraId="3C8BDE8B" w14:textId="77777777" w:rsidR="00DD1798" w:rsidRPr="000A05F6" w:rsidRDefault="00DD1798" w:rsidP="0090306D">
      <w:pPr>
        <w:pStyle w:val="BulletList"/>
      </w:pPr>
      <w:r w:rsidRPr="000A05F6">
        <w:t>Coordinate with Section Chiefs on staging, sequencing, and restoration status</w:t>
      </w:r>
    </w:p>
    <w:p w14:paraId="5CE55409" w14:textId="77777777" w:rsidR="00DD1798" w:rsidRPr="00E64383" w:rsidRDefault="00DD1798" w:rsidP="0090306D">
      <w:pPr>
        <w:pStyle w:val="BulletListFinal"/>
      </w:pPr>
      <w:r w:rsidRPr="000A05F6">
        <w:t>Provide Executive Leadership Team with timely updates and event transition progress</w:t>
      </w:r>
    </w:p>
    <w:p w14:paraId="64D5B96E" w14:textId="77777777" w:rsidR="00DD1798" w:rsidRPr="000A05F6" w:rsidRDefault="00DD1798" w:rsidP="005F4962">
      <w:pPr>
        <w:pStyle w:val="Subheading1"/>
      </w:pPr>
      <w:r w:rsidRPr="000A05F6">
        <w:t>Operations Section Chief</w:t>
      </w:r>
    </w:p>
    <w:p w14:paraId="76379AD5" w14:textId="77777777" w:rsidR="00DD1798" w:rsidRPr="000A05F6" w:rsidRDefault="00DD1798" w:rsidP="0090306D">
      <w:pPr>
        <w:pStyle w:val="BulletList"/>
      </w:pPr>
      <w:r w:rsidRPr="000A05F6">
        <w:t>Direct patrol and step restoration teams in coordination with field supervisors</w:t>
      </w:r>
    </w:p>
    <w:p w14:paraId="4E3BD078" w14:textId="77777777" w:rsidR="00DD1798" w:rsidRPr="000A05F6" w:rsidRDefault="00DD1798" w:rsidP="0090306D">
      <w:pPr>
        <w:pStyle w:val="BulletList"/>
      </w:pPr>
      <w:r w:rsidRPr="000A05F6">
        <w:t>Confirm circuit clearance and safety validation before energization</w:t>
      </w:r>
    </w:p>
    <w:p w14:paraId="67B9656E" w14:textId="77777777" w:rsidR="00DD1798" w:rsidRPr="000A05F6" w:rsidRDefault="00DD1798" w:rsidP="0090306D">
      <w:pPr>
        <w:pStyle w:val="BulletList"/>
      </w:pPr>
      <w:r w:rsidRPr="000A05F6">
        <w:t>Communicate restoration milestones to support units and ICS staff</w:t>
      </w:r>
    </w:p>
    <w:p w14:paraId="4E7524FF" w14:textId="77777777" w:rsidR="00DD1798" w:rsidRPr="000A05F6" w:rsidRDefault="00DD1798" w:rsidP="0090306D">
      <w:pPr>
        <w:pStyle w:val="BulletList"/>
      </w:pPr>
      <w:r w:rsidRPr="000A05F6">
        <w:t>Maintain coordination with water operations during re-energization period</w:t>
      </w:r>
    </w:p>
    <w:p w14:paraId="7F192406" w14:textId="77777777" w:rsidR="00DD1798" w:rsidRPr="000A05F6" w:rsidRDefault="00DD1798" w:rsidP="0090306D">
      <w:pPr>
        <w:pStyle w:val="BulletList"/>
      </w:pPr>
      <w:r w:rsidRPr="000A05F6">
        <w:t>Keep all generators supporting water infrastructure online during the initial two hours of re-energization to help manage demand and system stability</w:t>
      </w:r>
    </w:p>
    <w:p w14:paraId="0287EEC6" w14:textId="77777777" w:rsidR="00DD1798" w:rsidRPr="000A05F6" w:rsidRDefault="00DD1798" w:rsidP="0090306D">
      <w:pPr>
        <w:pStyle w:val="BulletList"/>
      </w:pPr>
      <w:r w:rsidRPr="000A05F6">
        <w:t>Coordinate demobilization of generators once use is complete, and return equipment to ready state</w:t>
      </w:r>
    </w:p>
    <w:p w14:paraId="33DFC752" w14:textId="77777777" w:rsidR="00DD1798" w:rsidRPr="000A05F6" w:rsidRDefault="00DD1798" w:rsidP="0090306D">
      <w:pPr>
        <w:pStyle w:val="BulletList"/>
      </w:pPr>
      <w:r w:rsidRPr="000A05F6">
        <w:lastRenderedPageBreak/>
        <w:t>Continue to assign Water Department staff to assist with logistics, field operations, or system assessments as needed</w:t>
      </w:r>
    </w:p>
    <w:p w14:paraId="2AEE60C5" w14:textId="777D4CBC" w:rsidR="00DD1798" w:rsidRPr="00E64383" w:rsidRDefault="00DD1798" w:rsidP="0090306D">
      <w:pPr>
        <w:pStyle w:val="BulletListFinal"/>
      </w:pPr>
      <w:r w:rsidRPr="000A05F6">
        <w:t>Resume standard shift schedules for Water Department personnel once the system</w:t>
      </w:r>
      <w:r w:rsidR="0090306D">
        <w:t> </w:t>
      </w:r>
      <w:r w:rsidRPr="000A05F6">
        <w:t>stabilizes</w:t>
      </w:r>
    </w:p>
    <w:p w14:paraId="16033717" w14:textId="77777777" w:rsidR="00DD1798" w:rsidRPr="000A05F6" w:rsidRDefault="00DD1798" w:rsidP="005F4962">
      <w:pPr>
        <w:pStyle w:val="Subheading1"/>
      </w:pPr>
      <w:r w:rsidRPr="000A05F6">
        <w:t>Planning Section Chief</w:t>
      </w:r>
    </w:p>
    <w:p w14:paraId="146538D0" w14:textId="77777777" w:rsidR="00DD1798" w:rsidRPr="000A05F6" w:rsidRDefault="00DD1798" w:rsidP="0090306D">
      <w:pPr>
        <w:pStyle w:val="BulletList"/>
      </w:pPr>
      <w:r w:rsidRPr="000A05F6">
        <w:t>Update OMS and GIS systems in real time as circuits are restored</w:t>
      </w:r>
    </w:p>
    <w:p w14:paraId="0A4133AC" w14:textId="77777777" w:rsidR="00DD1798" w:rsidRPr="000A05F6" w:rsidRDefault="00DD1798" w:rsidP="0090306D">
      <w:pPr>
        <w:pStyle w:val="BulletList"/>
      </w:pPr>
      <w:r w:rsidRPr="000A05F6">
        <w:t>Assist in identifying system performance issues or anomalies during re-energization</w:t>
      </w:r>
    </w:p>
    <w:p w14:paraId="0267F221" w14:textId="77777777" w:rsidR="00DD1798" w:rsidRPr="000A05F6" w:rsidRDefault="00DD1798" w:rsidP="0090306D">
      <w:pPr>
        <w:pStyle w:val="BulletList"/>
      </w:pPr>
      <w:r w:rsidRPr="000A05F6">
        <w:t>Support prioritization of remaining circuits based on customer needs, system topology, and critical services</w:t>
      </w:r>
    </w:p>
    <w:p w14:paraId="68C088A5" w14:textId="77777777" w:rsidR="00DD1798" w:rsidRPr="000A05F6" w:rsidRDefault="00DD1798" w:rsidP="0090306D">
      <w:pPr>
        <w:pStyle w:val="BulletList"/>
      </w:pPr>
      <w:r w:rsidRPr="000A05F6">
        <w:t>Restore SCADA settings for water operations to normal configurations</w:t>
      </w:r>
    </w:p>
    <w:p w14:paraId="3D4705AC" w14:textId="71B22BFF" w:rsidR="00DD1798" w:rsidRDefault="00DD1798" w:rsidP="0090306D">
      <w:pPr>
        <w:pStyle w:val="BulletListFinal"/>
      </w:pPr>
      <w:r w:rsidRPr="000A05F6">
        <w:t>Verify functionality of remote-control systems and document return to standard</w:t>
      </w:r>
      <w:r w:rsidR="0090306D">
        <w:t> </w:t>
      </w:r>
      <w:r w:rsidRPr="000A05F6">
        <w:t>operations</w:t>
      </w:r>
    </w:p>
    <w:p w14:paraId="68B17F42" w14:textId="77777777" w:rsidR="00DD1798" w:rsidRDefault="00DD1798" w:rsidP="005F4962">
      <w:pPr>
        <w:pStyle w:val="Subheading1"/>
      </w:pPr>
      <w:r w:rsidRPr="006952E6">
        <w:t>Logistics Section Chief</w:t>
      </w:r>
    </w:p>
    <w:p w14:paraId="7C6BF6C4" w14:textId="277C2EEE" w:rsidR="00DD1798" w:rsidRPr="006952E6" w:rsidRDefault="00DD1798" w:rsidP="0090306D">
      <w:pPr>
        <w:pStyle w:val="BulletList"/>
        <w:rPr>
          <w:b/>
          <w:bCs/>
        </w:rPr>
      </w:pPr>
      <w:r w:rsidRPr="006952E6">
        <w:t>Coordinate with Operations and Planning Sections to anticipate support needs for field</w:t>
      </w:r>
      <w:r w:rsidR="0090306D">
        <w:t> </w:t>
      </w:r>
      <w:r w:rsidRPr="006952E6">
        <w:t>deployment</w:t>
      </w:r>
    </w:p>
    <w:p w14:paraId="54E6BDB4" w14:textId="77777777" w:rsidR="00DD1798" w:rsidRPr="006952E6" w:rsidRDefault="00DD1798" w:rsidP="0090306D">
      <w:pPr>
        <w:pStyle w:val="BulletList"/>
      </w:pPr>
      <w:r w:rsidRPr="006952E6">
        <w:t>Arrange lodging and meals for field and support personnel during multi-day PPS events</w:t>
      </w:r>
    </w:p>
    <w:p w14:paraId="33089003" w14:textId="77777777" w:rsidR="00DD1798" w:rsidRPr="006952E6" w:rsidRDefault="00DD1798" w:rsidP="0090306D">
      <w:pPr>
        <w:pStyle w:val="BulletList"/>
      </w:pPr>
      <w:r w:rsidRPr="006952E6">
        <w:t>Procure and distribute necessary materials, tools, and emergency fuel to support electric and water operations</w:t>
      </w:r>
    </w:p>
    <w:p w14:paraId="6A8992F6" w14:textId="2EF1B737" w:rsidR="00DD1798" w:rsidRPr="006952E6" w:rsidRDefault="00DD1798" w:rsidP="0090306D">
      <w:pPr>
        <w:pStyle w:val="BulletList"/>
      </w:pPr>
      <w:r w:rsidRPr="006952E6">
        <w:t>Manage staging areas, rest locations, and the Incident Command Post (ICP) to ensure</w:t>
      </w:r>
      <w:r w:rsidR="0090306D">
        <w:t> </w:t>
      </w:r>
      <w:r w:rsidRPr="006952E6">
        <w:t>readiness</w:t>
      </w:r>
    </w:p>
    <w:p w14:paraId="3AD7D955" w14:textId="1828B591" w:rsidR="00DD1798" w:rsidRPr="006952E6" w:rsidRDefault="00DD1798" w:rsidP="0090306D">
      <w:pPr>
        <w:pStyle w:val="BulletList"/>
      </w:pPr>
      <w:r w:rsidRPr="006952E6">
        <w:t>Provide transportation logistics, including vehicle coordination and support for field</w:t>
      </w:r>
      <w:r w:rsidR="0090306D">
        <w:t> </w:t>
      </w:r>
      <w:r w:rsidRPr="006952E6">
        <w:t>mobility</w:t>
      </w:r>
    </w:p>
    <w:p w14:paraId="05B97649" w14:textId="77777777" w:rsidR="00DD1798" w:rsidRPr="00E64383" w:rsidRDefault="00DD1798" w:rsidP="0090306D">
      <w:pPr>
        <w:pStyle w:val="BulletListFinal"/>
      </w:pPr>
      <w:r w:rsidRPr="006952E6">
        <w:t>Ensure availability of basic medical supplies and support for crew health and safety in the field</w:t>
      </w:r>
    </w:p>
    <w:p w14:paraId="36FB9148" w14:textId="77777777" w:rsidR="00DD1798" w:rsidRPr="000A05F6" w:rsidRDefault="00DD1798" w:rsidP="005F4962">
      <w:pPr>
        <w:pStyle w:val="Subheading1"/>
      </w:pPr>
      <w:r w:rsidRPr="000A05F6">
        <w:t>Public Information Officer (PIO)</w:t>
      </w:r>
    </w:p>
    <w:p w14:paraId="6C014AEC" w14:textId="77777777" w:rsidR="00DD1798" w:rsidRPr="000A05F6" w:rsidRDefault="00DD1798" w:rsidP="0090306D">
      <w:pPr>
        <w:pStyle w:val="BulletList"/>
      </w:pPr>
      <w:r w:rsidRPr="000A05F6">
        <w:t>Issue employee communications regarding restoration progress and operational status</w:t>
      </w:r>
    </w:p>
    <w:p w14:paraId="08A442CA" w14:textId="77777777" w:rsidR="00DD1798" w:rsidRPr="000A05F6" w:rsidRDefault="00DD1798" w:rsidP="0090306D">
      <w:pPr>
        <w:pStyle w:val="BulletList"/>
      </w:pPr>
      <w:r w:rsidRPr="000A05F6">
        <w:t>Coordinate re-energization messaging for key stakeholders and partners</w:t>
      </w:r>
    </w:p>
    <w:p w14:paraId="20A2E706" w14:textId="77777777" w:rsidR="00DD1798" w:rsidRPr="00E64383" w:rsidRDefault="00DD1798" w:rsidP="0090306D">
      <w:pPr>
        <w:pStyle w:val="BulletListFinal"/>
      </w:pPr>
      <w:r w:rsidRPr="000A05F6">
        <w:t>Work with the Communications Unit Leader to deliver timely updates through public and media channels</w:t>
      </w:r>
    </w:p>
    <w:p w14:paraId="24858807" w14:textId="77777777" w:rsidR="00DD1798" w:rsidRPr="000A05F6" w:rsidRDefault="00DD1798" w:rsidP="005F4962">
      <w:pPr>
        <w:pStyle w:val="Subheading1"/>
      </w:pPr>
      <w:r w:rsidRPr="000A05F6">
        <w:t>Communications Unit Leader</w:t>
      </w:r>
    </w:p>
    <w:p w14:paraId="31C04CE2" w14:textId="77777777" w:rsidR="00DD1798" w:rsidRPr="000A05F6" w:rsidRDefault="00DD1798" w:rsidP="0090306D">
      <w:pPr>
        <w:pStyle w:val="BulletList"/>
      </w:pPr>
      <w:r w:rsidRPr="000A05F6">
        <w:t>Update social media platforms and the TDPUD website with live restoration updates</w:t>
      </w:r>
    </w:p>
    <w:p w14:paraId="395259DC" w14:textId="77777777" w:rsidR="00DD1798" w:rsidRPr="000A05F6" w:rsidRDefault="00DD1798" w:rsidP="0090306D">
      <w:pPr>
        <w:pStyle w:val="BulletList"/>
      </w:pPr>
      <w:r w:rsidRPr="000A05F6">
        <w:t>Support press and media communications with accurate restoration milestones</w:t>
      </w:r>
    </w:p>
    <w:p w14:paraId="274E2C02" w14:textId="77777777" w:rsidR="00DD1798" w:rsidRPr="00E64383" w:rsidRDefault="00DD1798" w:rsidP="0090306D">
      <w:pPr>
        <w:pStyle w:val="BulletListFinal"/>
      </w:pPr>
      <w:r w:rsidRPr="000A05F6">
        <w:t>Provide safety messaging and coordinate CRC demobilization notifications for the public</w:t>
      </w:r>
    </w:p>
    <w:p w14:paraId="7CFB0F75" w14:textId="77777777" w:rsidR="00DD1798" w:rsidRPr="000A05F6" w:rsidRDefault="00DD1798" w:rsidP="005F4962">
      <w:pPr>
        <w:pStyle w:val="Subheading1"/>
      </w:pPr>
      <w:r w:rsidRPr="000A05F6">
        <w:t>Safety/Liaison Officer</w:t>
      </w:r>
    </w:p>
    <w:p w14:paraId="468CE753" w14:textId="77777777" w:rsidR="00DD1798" w:rsidRPr="000A05F6" w:rsidRDefault="00DD1798" w:rsidP="0090306D">
      <w:pPr>
        <w:pStyle w:val="BulletList"/>
      </w:pPr>
      <w:r w:rsidRPr="000A05F6">
        <w:t>Notify public safety and emergency management agencies when the PPS event concludes and restoration begins</w:t>
      </w:r>
    </w:p>
    <w:p w14:paraId="269343AE" w14:textId="77777777" w:rsidR="00DD1798" w:rsidRPr="000A05F6" w:rsidRDefault="00DD1798" w:rsidP="0090306D">
      <w:pPr>
        <w:pStyle w:val="BulletList"/>
      </w:pPr>
      <w:r w:rsidRPr="000A05F6">
        <w:t>Document key safety and compliance actions during restoration</w:t>
      </w:r>
    </w:p>
    <w:p w14:paraId="7A982C98" w14:textId="77777777" w:rsidR="00DD1798" w:rsidRPr="00E64383" w:rsidRDefault="00DD1798" w:rsidP="0090306D">
      <w:pPr>
        <w:pStyle w:val="BulletListFinal"/>
      </w:pPr>
      <w:r w:rsidRPr="000A05F6">
        <w:t>Coordinate follow-up notifications if restoration delays or hazards aris</w:t>
      </w:r>
      <w:r>
        <w:t>e</w:t>
      </w:r>
    </w:p>
    <w:p w14:paraId="3AF3C0E0" w14:textId="77777777" w:rsidR="00DD1798" w:rsidRPr="000A05F6" w:rsidRDefault="00DD1798" w:rsidP="005F4962">
      <w:pPr>
        <w:pStyle w:val="Subheading1"/>
      </w:pPr>
      <w:r w:rsidRPr="000A05F6">
        <w:lastRenderedPageBreak/>
        <w:t>Customer Outreach Unit Leader</w:t>
      </w:r>
    </w:p>
    <w:p w14:paraId="343B1C61" w14:textId="77777777" w:rsidR="00DD1798" w:rsidRPr="000A05F6" w:rsidRDefault="00DD1798" w:rsidP="0090306D">
      <w:pPr>
        <w:pStyle w:val="BulletList"/>
      </w:pPr>
      <w:r w:rsidRPr="000A05F6">
        <w:t>Notify customers as service is restored, and respond to ongoing inquiries</w:t>
      </w:r>
    </w:p>
    <w:p w14:paraId="5ABC8842" w14:textId="77777777" w:rsidR="00DD1798" w:rsidRPr="000A05F6" w:rsidRDefault="00DD1798" w:rsidP="0090306D">
      <w:pPr>
        <w:pStyle w:val="BulletList"/>
      </w:pPr>
      <w:r w:rsidRPr="000A05F6">
        <w:t>Coordinate real-time status updates between Customer Service Representatives (CSRs) and field operations</w:t>
      </w:r>
    </w:p>
    <w:p w14:paraId="0DC42FB6" w14:textId="77777777" w:rsidR="00DD1798" w:rsidRPr="00E64383" w:rsidRDefault="00DD1798" w:rsidP="0090306D">
      <w:pPr>
        <w:pStyle w:val="BulletListFinal"/>
      </w:pPr>
      <w:r w:rsidRPr="000A05F6">
        <w:t>Maintain ongoing direct communication with Medical Baseline and other sensitive accounts until full restoration is confirmed</w:t>
      </w:r>
    </w:p>
    <w:p w14:paraId="3A670387" w14:textId="77777777" w:rsidR="00DD1798" w:rsidRPr="000A05F6" w:rsidRDefault="00DD1798" w:rsidP="005F4962">
      <w:pPr>
        <w:pStyle w:val="Subheading1"/>
      </w:pPr>
      <w:r w:rsidRPr="000A05F6">
        <w:t>Finance/Administration Section Chief</w:t>
      </w:r>
    </w:p>
    <w:p w14:paraId="1CFF248B" w14:textId="77777777" w:rsidR="00DD1798" w:rsidRPr="000A05F6" w:rsidRDefault="00DD1798" w:rsidP="0090306D">
      <w:pPr>
        <w:pStyle w:val="BulletList"/>
        <w:rPr>
          <w:b/>
          <w:bCs/>
        </w:rPr>
      </w:pPr>
      <w:r w:rsidRPr="000A05F6">
        <w:t>Continue tracking restoration-related resource usage and expenditures</w:t>
      </w:r>
    </w:p>
    <w:p w14:paraId="03299B74" w14:textId="77777777" w:rsidR="00DD1798" w:rsidRPr="000A05F6" w:rsidRDefault="00DD1798" w:rsidP="0090306D">
      <w:pPr>
        <w:pStyle w:val="BulletList"/>
        <w:rPr>
          <w:b/>
          <w:bCs/>
        </w:rPr>
      </w:pPr>
      <w:r w:rsidRPr="000A05F6">
        <w:t>Begin preparing financial summaries and cost reporting for post-event review</w:t>
      </w:r>
    </w:p>
    <w:p w14:paraId="6E3D5208" w14:textId="77777777" w:rsidR="00DD1798" w:rsidRPr="000A05F6" w:rsidRDefault="00DD1798" w:rsidP="0090306D">
      <w:pPr>
        <w:pStyle w:val="BulletListFinal"/>
        <w:rPr>
          <w:b/>
          <w:bCs/>
        </w:rPr>
      </w:pPr>
      <w:r w:rsidRPr="000A05F6">
        <w:t>Maintain up-to-date ICS financial documentation and cost logs</w:t>
      </w:r>
    </w:p>
    <w:p w14:paraId="4180F325" w14:textId="77777777" w:rsidR="00DD1798" w:rsidRPr="000A05F6" w:rsidRDefault="00DD1798" w:rsidP="005F4962">
      <w:pPr>
        <w:pStyle w:val="Subheading1"/>
      </w:pPr>
      <w:r w:rsidRPr="000A05F6">
        <w:t>Administrative Support Unit (Finance/Admin Section)</w:t>
      </w:r>
    </w:p>
    <w:p w14:paraId="0AFCB520" w14:textId="77777777" w:rsidR="00DD1798" w:rsidRPr="000A05F6" w:rsidRDefault="00DD1798" w:rsidP="0090306D">
      <w:pPr>
        <w:pStyle w:val="BulletList"/>
        <w:rPr>
          <w:b/>
          <w:bCs/>
        </w:rPr>
      </w:pPr>
      <w:r w:rsidRPr="000A05F6">
        <w:t>Log each restoration milestone and corresponding timestamp</w:t>
      </w:r>
    </w:p>
    <w:p w14:paraId="1BBD4892" w14:textId="77777777" w:rsidR="00DD1798" w:rsidRPr="000A05F6" w:rsidRDefault="00DD1798" w:rsidP="0090306D">
      <w:pPr>
        <w:pStyle w:val="BulletList"/>
        <w:rPr>
          <w:b/>
          <w:bCs/>
        </w:rPr>
      </w:pPr>
      <w:r w:rsidRPr="000A05F6">
        <w:t>Support preparation of post-restoration documentation, including incident logs, meeting notes, and reports</w:t>
      </w:r>
    </w:p>
    <w:p w14:paraId="4795C881" w14:textId="77777777" w:rsidR="00DD1798" w:rsidRPr="000A05F6" w:rsidRDefault="00DD1798" w:rsidP="0090306D">
      <w:pPr>
        <w:pStyle w:val="BulletListFinal"/>
        <w:rPr>
          <w:b/>
          <w:bCs/>
        </w:rPr>
      </w:pPr>
      <w:r w:rsidRPr="000A05F6">
        <w:t>Maintain and finalize internal reporting tools and event timelines</w:t>
      </w:r>
    </w:p>
    <w:p w14:paraId="3D113305" w14:textId="77777777" w:rsidR="00DD1798" w:rsidRPr="0090306D" w:rsidRDefault="00DD1798" w:rsidP="0090306D">
      <w:pPr>
        <w:pStyle w:val="BodyText"/>
        <w:rPr>
          <w:i/>
          <w:iCs/>
        </w:rPr>
      </w:pPr>
      <w:r w:rsidRPr="0090306D">
        <w:rPr>
          <w:i/>
          <w:iCs/>
        </w:rPr>
        <w:t>This phase ends once all circuits are restored and the event transitions into post-incident review.</w:t>
      </w:r>
    </w:p>
    <w:p w14:paraId="315DFE2F" w14:textId="0436F338" w:rsidR="00DD1798" w:rsidRPr="000A05F6" w:rsidRDefault="00DD1798" w:rsidP="0090306D">
      <w:pPr>
        <w:pStyle w:val="Appendices-Heading2"/>
      </w:pPr>
      <w:r w:rsidRPr="000A05F6">
        <w:t>Phase 7 - Post-Incident Review</w:t>
      </w:r>
    </w:p>
    <w:p w14:paraId="7DED22F8" w14:textId="77777777" w:rsidR="00DD1798" w:rsidRPr="005F4962" w:rsidRDefault="00DD1798" w:rsidP="00DD1798">
      <w:pPr>
        <w:rPr>
          <w:rFonts w:ascii="Arial" w:hAnsi="Arial" w:cs="Arial"/>
          <w:i/>
          <w:iCs/>
          <w:color w:val="FF0000"/>
        </w:rPr>
      </w:pPr>
      <w:r w:rsidRPr="005F4962">
        <w:rPr>
          <w:rFonts w:ascii="Arial" w:hAnsi="Arial" w:cs="Arial"/>
          <w:b/>
          <w:bCs/>
          <w:i/>
          <w:iCs/>
          <w:color w:val="FF0000"/>
        </w:rPr>
        <w:t>AFTER RESTORATION IS COMPLETE</w:t>
      </w:r>
    </w:p>
    <w:p w14:paraId="3B282831" w14:textId="0F953BC1" w:rsidR="00DD1798" w:rsidRPr="005E6772" w:rsidRDefault="00DD1798" w:rsidP="0090306D">
      <w:pPr>
        <w:pStyle w:val="BodyText"/>
      </w:pPr>
      <w:r w:rsidRPr="000A05F6">
        <w:t>This phase focuses on evaluating the PPS event, documenting all actions taken, and conducting a comprehensive review to identify successes, gaps, and opportunities for improvement.</w:t>
      </w:r>
    </w:p>
    <w:p w14:paraId="0E9AACAE" w14:textId="77777777" w:rsidR="00DD1798" w:rsidRPr="000A05F6" w:rsidRDefault="00DD1798" w:rsidP="005F4962">
      <w:pPr>
        <w:pStyle w:val="Subheading1"/>
      </w:pPr>
      <w:r w:rsidRPr="000A05F6">
        <w:t>Phase 7 Assumptions</w:t>
      </w:r>
    </w:p>
    <w:p w14:paraId="5EDF509F" w14:textId="387F1B8C" w:rsidR="00DD1798" w:rsidRPr="000A05F6" w:rsidRDefault="00DD1798" w:rsidP="0090306D">
      <w:pPr>
        <w:pStyle w:val="BulletList"/>
      </w:pPr>
      <w:r w:rsidRPr="000A05F6">
        <w:t>All circuits have been re-energized and service restore</w:t>
      </w:r>
      <w:r w:rsidR="00445694">
        <w:t>d</w:t>
      </w:r>
      <w:r w:rsidRPr="000A05F6">
        <w:t>.</w:t>
      </w:r>
    </w:p>
    <w:p w14:paraId="3824D38E" w14:textId="6DEDE779" w:rsidR="00DD1798" w:rsidRPr="000A05F6" w:rsidRDefault="00DD1798" w:rsidP="0090306D">
      <w:pPr>
        <w:pStyle w:val="BulletList"/>
      </w:pPr>
      <w:r w:rsidRPr="000A05F6">
        <w:t>CRCs have been deactivated and demobilized</w:t>
      </w:r>
      <w:r w:rsidR="00445694">
        <w:t>.</w:t>
      </w:r>
    </w:p>
    <w:p w14:paraId="77D4C8B9" w14:textId="421C4764" w:rsidR="00DD1798" w:rsidRPr="000A05F6" w:rsidRDefault="00DD1798" w:rsidP="0090306D">
      <w:pPr>
        <w:pStyle w:val="BulletListFinal"/>
      </w:pPr>
      <w:r w:rsidRPr="000A05F6">
        <w:t>Regulatory reporting requirements are in effect</w:t>
      </w:r>
      <w:r w:rsidR="00445694">
        <w:t>.</w:t>
      </w:r>
    </w:p>
    <w:p w14:paraId="39254EC1" w14:textId="77777777" w:rsidR="00DD1798" w:rsidRPr="000A05F6" w:rsidRDefault="00DD1798" w:rsidP="005F4962">
      <w:pPr>
        <w:pStyle w:val="Subheading1"/>
      </w:pPr>
      <w:r w:rsidRPr="000A05F6">
        <w:t>Objectives</w:t>
      </w:r>
    </w:p>
    <w:p w14:paraId="674B0B2B" w14:textId="257BF2A6" w:rsidR="00DD1798" w:rsidRPr="000A05F6" w:rsidRDefault="00DD1798" w:rsidP="0090306D">
      <w:pPr>
        <w:pStyle w:val="BulletList"/>
      </w:pPr>
      <w:r w:rsidRPr="000A05F6">
        <w:t>Conduct full internal and external review of the PPS event</w:t>
      </w:r>
      <w:r w:rsidR="00445694">
        <w:t>.</w:t>
      </w:r>
    </w:p>
    <w:p w14:paraId="44F84E48" w14:textId="4A64C2E8" w:rsidR="00DD1798" w:rsidRPr="000A05F6" w:rsidRDefault="00DD1798" w:rsidP="0090306D">
      <w:pPr>
        <w:pStyle w:val="BulletList"/>
      </w:pPr>
      <w:r w:rsidRPr="000A05F6">
        <w:t>Fulfill regulatory and stakeholder reporting requirements</w:t>
      </w:r>
      <w:r w:rsidR="00445694">
        <w:t>.</w:t>
      </w:r>
    </w:p>
    <w:p w14:paraId="04DFFBF3" w14:textId="2AF6EC2F" w:rsidR="00DD1798" w:rsidRDefault="00DD1798" w:rsidP="0090306D">
      <w:pPr>
        <w:pStyle w:val="BulletListFinal"/>
      </w:pPr>
      <w:r w:rsidRPr="000A05F6">
        <w:t>Integrate lessons learned into future PPS planning</w:t>
      </w:r>
      <w:r w:rsidR="00445694">
        <w:t>.</w:t>
      </w:r>
    </w:p>
    <w:p w14:paraId="40C97ADA" w14:textId="6815CC2F" w:rsidR="00DD1798" w:rsidRPr="005E6772" w:rsidRDefault="00DD1798" w:rsidP="001B420C">
      <w:pPr>
        <w:pStyle w:val="Appendices-Heading3"/>
      </w:pPr>
      <w:r w:rsidRPr="00E64383">
        <w:t>Key Actions by Role</w:t>
      </w:r>
    </w:p>
    <w:p w14:paraId="0C7AE07B" w14:textId="77777777" w:rsidR="00DD1798" w:rsidRPr="000A05F6" w:rsidRDefault="00DD1798" w:rsidP="005F4962">
      <w:pPr>
        <w:pStyle w:val="Subheading1"/>
      </w:pPr>
      <w:r w:rsidRPr="000A05F6">
        <w:t>Incident Commander (IC)</w:t>
      </w:r>
    </w:p>
    <w:p w14:paraId="610275A5" w14:textId="77777777" w:rsidR="00DD1798" w:rsidRPr="000A05F6" w:rsidRDefault="00DD1798" w:rsidP="0090306D">
      <w:pPr>
        <w:pStyle w:val="BulletList"/>
      </w:pPr>
      <w:r w:rsidRPr="000A05F6">
        <w:t>Lead the executive-level post-event debrief</w:t>
      </w:r>
    </w:p>
    <w:p w14:paraId="3668262A" w14:textId="77777777" w:rsidR="00DD1798" w:rsidRPr="000A05F6" w:rsidRDefault="00DD1798" w:rsidP="0090306D">
      <w:pPr>
        <w:pStyle w:val="BulletList"/>
      </w:pPr>
      <w:r w:rsidRPr="000A05F6">
        <w:t>Participate in lessons learned sessions and approve follow-up action planning</w:t>
      </w:r>
    </w:p>
    <w:p w14:paraId="548CF053" w14:textId="5F0F2058" w:rsidR="00DD1798" w:rsidRPr="00E64383" w:rsidRDefault="00DD1798" w:rsidP="0090306D">
      <w:pPr>
        <w:pStyle w:val="BulletListFinal"/>
      </w:pPr>
      <w:r w:rsidRPr="000A05F6">
        <w:lastRenderedPageBreak/>
        <w:t>Oversee the completion of final reports and ensure accountability for improvement</w:t>
      </w:r>
      <w:r w:rsidR="0090306D">
        <w:t> </w:t>
      </w:r>
      <w:r w:rsidRPr="000A05F6">
        <w:t>planning</w:t>
      </w:r>
    </w:p>
    <w:p w14:paraId="3DEC7C8A" w14:textId="77777777" w:rsidR="00DD1798" w:rsidRPr="000A05F6" w:rsidRDefault="00DD1798" w:rsidP="005F4962">
      <w:pPr>
        <w:pStyle w:val="Subheading1"/>
      </w:pPr>
      <w:r w:rsidRPr="000A05F6">
        <w:t>Operations Section Chief</w:t>
      </w:r>
    </w:p>
    <w:p w14:paraId="3472928D" w14:textId="77777777" w:rsidR="00DD1798" w:rsidRPr="000A05F6" w:rsidRDefault="00DD1798" w:rsidP="0090306D">
      <w:pPr>
        <w:pStyle w:val="BulletList"/>
      </w:pPr>
      <w:r w:rsidRPr="000A05F6">
        <w:t>Submit a full report on electric and water field operations, including restoration timelines and challenges encountered</w:t>
      </w:r>
    </w:p>
    <w:p w14:paraId="2A6CEB96" w14:textId="77777777" w:rsidR="00DD1798" w:rsidRPr="000A05F6" w:rsidRDefault="00DD1798" w:rsidP="0090306D">
      <w:pPr>
        <w:pStyle w:val="BulletList"/>
      </w:pPr>
      <w:r w:rsidRPr="000A05F6">
        <w:t>Document any field safety incidents, delays, or issues related to access and coordination</w:t>
      </w:r>
    </w:p>
    <w:p w14:paraId="2F96B475" w14:textId="77777777" w:rsidR="00DD1798" w:rsidRPr="00E64383" w:rsidRDefault="00DD1798" w:rsidP="0090306D">
      <w:pPr>
        <w:pStyle w:val="BulletListFinal"/>
      </w:pPr>
      <w:r w:rsidRPr="000A05F6">
        <w:t>Provide operational feedback on CRC setup, logistics, and demobilization effectiveness</w:t>
      </w:r>
    </w:p>
    <w:p w14:paraId="4395B39C" w14:textId="77777777" w:rsidR="00DD1798" w:rsidRPr="000A05F6" w:rsidRDefault="00DD1798" w:rsidP="005F4962">
      <w:pPr>
        <w:pStyle w:val="Subheading1"/>
      </w:pPr>
      <w:r w:rsidRPr="000A05F6">
        <w:t>Planning Section Chief</w:t>
      </w:r>
    </w:p>
    <w:p w14:paraId="61184FF8" w14:textId="77777777" w:rsidR="00DD1798" w:rsidRPr="000A05F6" w:rsidRDefault="00DD1798" w:rsidP="0090306D">
      <w:pPr>
        <w:pStyle w:val="BulletList"/>
      </w:pPr>
      <w:r w:rsidRPr="000A05F6">
        <w:t>Archive GIS and OMS data, including de-energization and restoration maps</w:t>
      </w:r>
    </w:p>
    <w:p w14:paraId="7CC0D74C" w14:textId="77777777" w:rsidR="00DD1798" w:rsidRPr="000A05F6" w:rsidRDefault="00DD1798" w:rsidP="0090306D">
      <w:pPr>
        <w:pStyle w:val="BulletList"/>
      </w:pPr>
      <w:r w:rsidRPr="000A05F6">
        <w:t>Submit a system performance and condition review, highlighting restoration outcomes and SCADA system observations</w:t>
      </w:r>
    </w:p>
    <w:p w14:paraId="0D1088A1" w14:textId="77777777" w:rsidR="00DD1798" w:rsidRPr="00E64383" w:rsidRDefault="00DD1798" w:rsidP="0090306D">
      <w:pPr>
        <w:pStyle w:val="BulletListFinal"/>
      </w:pPr>
      <w:r w:rsidRPr="000A05F6">
        <w:t>Identify gaps and opportunities in outage modeling and system forecasting used during the event</w:t>
      </w:r>
    </w:p>
    <w:p w14:paraId="4E565271" w14:textId="77777777" w:rsidR="00DD1798" w:rsidRDefault="00DD1798" w:rsidP="005F4962">
      <w:pPr>
        <w:pStyle w:val="Subheading1"/>
      </w:pPr>
      <w:r w:rsidRPr="006952E6">
        <w:t>Logistics Section Chief – Post Event</w:t>
      </w:r>
    </w:p>
    <w:p w14:paraId="60A59D9A" w14:textId="7E0A00C8" w:rsidR="00DD1798" w:rsidRPr="006952E6" w:rsidRDefault="00DD1798" w:rsidP="0090306D">
      <w:pPr>
        <w:pStyle w:val="BulletList"/>
      </w:pPr>
      <w:r w:rsidRPr="006952E6">
        <w:t>Recover and return equipment, vehicles, and unused materials to appropriate storage or</w:t>
      </w:r>
      <w:r w:rsidR="0090306D">
        <w:t> </w:t>
      </w:r>
      <w:r w:rsidRPr="006952E6">
        <w:t>vendors</w:t>
      </w:r>
    </w:p>
    <w:p w14:paraId="4C9C1402" w14:textId="77777777" w:rsidR="00DD1798" w:rsidRDefault="00DD1798" w:rsidP="0090306D">
      <w:pPr>
        <w:pStyle w:val="BulletList"/>
      </w:pPr>
      <w:r w:rsidRPr="006952E6">
        <w:t>Coordinate demobilization of staging areas, ICP, and any temporary facilities</w:t>
      </w:r>
    </w:p>
    <w:p w14:paraId="1AB85C42" w14:textId="77777777" w:rsidR="00DD1798" w:rsidRDefault="00DD1798" w:rsidP="0090306D">
      <w:pPr>
        <w:pStyle w:val="BulletList"/>
      </w:pPr>
      <w:r w:rsidRPr="006952E6">
        <w:t>Finalize lodging and meal arrangements, including reconciliation of expenses</w:t>
      </w:r>
    </w:p>
    <w:p w14:paraId="2DB8070D" w14:textId="77777777" w:rsidR="00DD1798" w:rsidRDefault="00DD1798" w:rsidP="0090306D">
      <w:pPr>
        <w:pStyle w:val="BulletList"/>
      </w:pPr>
      <w:r w:rsidRPr="006952E6">
        <w:t>Conduct inventory of all logistical assets and restock emergency supplies as needed</w:t>
      </w:r>
    </w:p>
    <w:p w14:paraId="07F3449C" w14:textId="77777777" w:rsidR="00DD1798" w:rsidRDefault="00DD1798" w:rsidP="0090306D">
      <w:pPr>
        <w:pStyle w:val="BulletList"/>
      </w:pPr>
      <w:r w:rsidRPr="006952E6">
        <w:t>Provide documentation of logistical support activities for the After-Action Report (AAR)</w:t>
      </w:r>
    </w:p>
    <w:p w14:paraId="1A9BC1B5" w14:textId="77777777" w:rsidR="00DD1798" w:rsidRPr="00E64383" w:rsidRDefault="00DD1798" w:rsidP="0090306D">
      <w:pPr>
        <w:pStyle w:val="BulletListFinal"/>
      </w:pPr>
      <w:r w:rsidRPr="006952E6">
        <w:t>Participate in post-event debrief to identify lessons learned and improvements for future PPS events</w:t>
      </w:r>
    </w:p>
    <w:p w14:paraId="6462F699" w14:textId="77777777" w:rsidR="00DD1798" w:rsidRPr="000A05F6" w:rsidRDefault="00DD1798" w:rsidP="005F4962">
      <w:pPr>
        <w:pStyle w:val="Subheading1"/>
      </w:pPr>
      <w:r w:rsidRPr="000A05F6">
        <w:t>Public Information Officer (PIO)</w:t>
      </w:r>
    </w:p>
    <w:p w14:paraId="439B2E1D" w14:textId="77777777" w:rsidR="00DD1798" w:rsidRPr="000A05F6" w:rsidRDefault="00DD1798" w:rsidP="0090306D">
      <w:pPr>
        <w:pStyle w:val="BulletList"/>
      </w:pPr>
      <w:r w:rsidRPr="000A05F6">
        <w:t>Compile and analyze public, media, and stakeholder feedback</w:t>
      </w:r>
    </w:p>
    <w:p w14:paraId="3344E2E8" w14:textId="32DB5D04" w:rsidR="00DD1798" w:rsidRPr="000A05F6" w:rsidRDefault="00DD1798" w:rsidP="0090306D">
      <w:pPr>
        <w:pStyle w:val="BulletList"/>
      </w:pPr>
      <w:r w:rsidRPr="000A05F6">
        <w:t>Assess the effectiveness of internal and external messaging—reach, clarity, and</w:t>
      </w:r>
      <w:r w:rsidR="0090306D">
        <w:t> </w:t>
      </w:r>
      <w:r w:rsidRPr="000A05F6">
        <w:t>timeliness</w:t>
      </w:r>
    </w:p>
    <w:p w14:paraId="74C1A5FC" w14:textId="77777777" w:rsidR="00DD1798" w:rsidRPr="00E64383" w:rsidRDefault="00DD1798" w:rsidP="0090306D">
      <w:pPr>
        <w:pStyle w:val="BulletListFinal"/>
      </w:pPr>
      <w:r w:rsidRPr="000A05F6">
        <w:t>Draft the communications section of the after-action report, including key takeaways and areas for improvement</w:t>
      </w:r>
    </w:p>
    <w:p w14:paraId="4409AE3B" w14:textId="77777777" w:rsidR="00DD1798" w:rsidRPr="000A05F6" w:rsidRDefault="00DD1798" w:rsidP="005F4962">
      <w:pPr>
        <w:pStyle w:val="Subheading1"/>
      </w:pPr>
      <w:r w:rsidRPr="000A05F6">
        <w:t>Communications Unit Leader</w:t>
      </w:r>
    </w:p>
    <w:p w14:paraId="426DE6AC" w14:textId="77777777" w:rsidR="00DD1798" w:rsidRPr="000A05F6" w:rsidRDefault="00DD1798" w:rsidP="0090306D">
      <w:pPr>
        <w:pStyle w:val="BulletList"/>
        <w:rPr>
          <w:b/>
          <w:bCs/>
        </w:rPr>
      </w:pPr>
      <w:r w:rsidRPr="000A05F6">
        <w:t>Archive all digital messages, social posts, media updates, and analytics</w:t>
      </w:r>
    </w:p>
    <w:p w14:paraId="0D373B24" w14:textId="77777777" w:rsidR="00DD1798" w:rsidRPr="000A05F6" w:rsidRDefault="00DD1798" w:rsidP="0090306D">
      <w:pPr>
        <w:pStyle w:val="BulletList"/>
        <w:rPr>
          <w:b/>
          <w:bCs/>
        </w:rPr>
      </w:pPr>
      <w:r w:rsidRPr="000A05F6">
        <w:t>Summarize trends in community sentiment, misinformation, and communication gaps</w:t>
      </w:r>
    </w:p>
    <w:p w14:paraId="1AE481B6" w14:textId="2EEFA917" w:rsidR="00DD1798" w:rsidRPr="00E64383" w:rsidRDefault="00DD1798" w:rsidP="0090306D">
      <w:pPr>
        <w:pStyle w:val="BulletListFinal"/>
        <w:rPr>
          <w:b/>
          <w:bCs/>
        </w:rPr>
      </w:pPr>
      <w:r w:rsidRPr="000A05F6">
        <w:t>Support the PIO with findings, digital performance data, and public engagement</w:t>
      </w:r>
      <w:r w:rsidR="0090306D">
        <w:t> </w:t>
      </w:r>
      <w:r w:rsidRPr="000A05F6">
        <w:t>outcomes</w:t>
      </w:r>
    </w:p>
    <w:p w14:paraId="4B50EE58" w14:textId="77777777" w:rsidR="00DD1798" w:rsidRPr="000A05F6" w:rsidRDefault="00DD1798" w:rsidP="005F4962">
      <w:pPr>
        <w:pStyle w:val="Subheading1"/>
      </w:pPr>
      <w:r w:rsidRPr="000A05F6">
        <w:t>Safety/Liaison Officer</w:t>
      </w:r>
    </w:p>
    <w:p w14:paraId="7AD48DE4" w14:textId="77777777" w:rsidR="00DD1798" w:rsidRPr="000A05F6" w:rsidRDefault="00DD1798" w:rsidP="0090306D">
      <w:pPr>
        <w:pStyle w:val="BulletList"/>
      </w:pPr>
      <w:r w:rsidRPr="000A05F6">
        <w:t>Notify public safety partners and emergency management agencies that the PPS event is officially closed</w:t>
      </w:r>
    </w:p>
    <w:p w14:paraId="4754618F" w14:textId="77777777" w:rsidR="00DD1798" w:rsidRPr="000A05F6" w:rsidRDefault="00DD1798" w:rsidP="0090306D">
      <w:pPr>
        <w:pStyle w:val="BulletList"/>
      </w:pPr>
      <w:r w:rsidRPr="000A05F6">
        <w:lastRenderedPageBreak/>
        <w:t>Verify regulatory compliance and ensure documentation meets audit standards</w:t>
      </w:r>
    </w:p>
    <w:p w14:paraId="0B2F7D00" w14:textId="77777777" w:rsidR="00DD1798" w:rsidRPr="00E64383" w:rsidRDefault="00DD1798" w:rsidP="0090306D">
      <w:pPr>
        <w:pStyle w:val="BulletListFinal"/>
      </w:pPr>
      <w:r w:rsidRPr="000A05F6">
        <w:t>Coordinate or support a root cause analysis process if required by internal policy or external mandate</w:t>
      </w:r>
    </w:p>
    <w:p w14:paraId="37DB1881" w14:textId="77777777" w:rsidR="00DD1798" w:rsidRPr="000A05F6" w:rsidRDefault="00DD1798" w:rsidP="005F4962">
      <w:pPr>
        <w:pStyle w:val="Subheading1"/>
      </w:pPr>
      <w:r w:rsidRPr="000A05F6">
        <w:t>Customer Outreach Unit Leader</w:t>
      </w:r>
    </w:p>
    <w:p w14:paraId="6B47ECD8" w14:textId="77777777" w:rsidR="00DD1798" w:rsidRPr="000A05F6" w:rsidRDefault="00DD1798" w:rsidP="0090306D">
      <w:pPr>
        <w:pStyle w:val="BulletList"/>
      </w:pPr>
      <w:r w:rsidRPr="000A05F6">
        <w:t>Compile and analyze customer call volume, service metrics, and inquiry trends</w:t>
      </w:r>
    </w:p>
    <w:p w14:paraId="41560E75" w14:textId="77777777" w:rsidR="00DD1798" w:rsidRPr="000A05F6" w:rsidRDefault="00DD1798" w:rsidP="0090306D">
      <w:pPr>
        <w:pStyle w:val="BulletList"/>
      </w:pPr>
      <w:r w:rsidRPr="000A05F6">
        <w:t>Document CSR team feedback and operational challenges in customer communication</w:t>
      </w:r>
    </w:p>
    <w:p w14:paraId="1D757F3D" w14:textId="5F148647" w:rsidR="00DD1798" w:rsidRPr="00E64383" w:rsidRDefault="00DD1798" w:rsidP="0090306D">
      <w:pPr>
        <w:pStyle w:val="BulletListFinal"/>
      </w:pPr>
      <w:r w:rsidRPr="000A05F6">
        <w:t>Engage key accounts and Community-Based Organizations (CBOs) for input during the debrief process</w:t>
      </w:r>
    </w:p>
    <w:p w14:paraId="3F9F0DBE" w14:textId="77777777" w:rsidR="00DD1798" w:rsidRPr="000A05F6" w:rsidRDefault="00DD1798" w:rsidP="005F4962">
      <w:pPr>
        <w:pStyle w:val="Subheading1"/>
      </w:pPr>
      <w:r w:rsidRPr="000A05F6">
        <w:t>Finance/Administration Section Chief</w:t>
      </w:r>
    </w:p>
    <w:p w14:paraId="53DF0FE8" w14:textId="77777777" w:rsidR="00DD1798" w:rsidRPr="000A05F6" w:rsidRDefault="00DD1798" w:rsidP="0090306D">
      <w:pPr>
        <w:pStyle w:val="BulletList"/>
      </w:pPr>
      <w:r w:rsidRPr="000A05F6">
        <w:t>Review and reconcile all cost documentation and time tracking records</w:t>
      </w:r>
    </w:p>
    <w:p w14:paraId="2F7227FA" w14:textId="77777777" w:rsidR="00DD1798" w:rsidRPr="000A05F6" w:rsidRDefault="00DD1798" w:rsidP="0090306D">
      <w:pPr>
        <w:pStyle w:val="BulletList"/>
      </w:pPr>
      <w:r w:rsidRPr="000A05F6">
        <w:t>Finalize ICS financial forms and prepare materials for post-event financial review or reimbursement processes</w:t>
      </w:r>
    </w:p>
    <w:p w14:paraId="49745C7D" w14:textId="77777777" w:rsidR="00DD1798" w:rsidRPr="00E64383" w:rsidRDefault="00DD1798" w:rsidP="0090306D">
      <w:pPr>
        <w:pStyle w:val="BulletListFinal"/>
      </w:pPr>
      <w:r w:rsidRPr="000A05F6">
        <w:t>Ensure cost recovery efforts are supported by clean and complete documentation</w:t>
      </w:r>
    </w:p>
    <w:p w14:paraId="100D09DF" w14:textId="77777777" w:rsidR="00DD1798" w:rsidRPr="000A05F6" w:rsidRDefault="00DD1798" w:rsidP="005F4962">
      <w:pPr>
        <w:pStyle w:val="Subheading1"/>
      </w:pPr>
      <w:r w:rsidRPr="000A05F6">
        <w:t>Administrative Support Unit (Finance/Admin Section)</w:t>
      </w:r>
    </w:p>
    <w:p w14:paraId="5F40570C" w14:textId="0D398505" w:rsidR="00DD1798" w:rsidRPr="000A05F6" w:rsidRDefault="00DD1798" w:rsidP="0054550A">
      <w:pPr>
        <w:pStyle w:val="BulletList"/>
      </w:pPr>
      <w:r w:rsidRPr="000A05F6">
        <w:t>Coordinate scheduling and facilitation of lessons</w:t>
      </w:r>
      <w:r w:rsidR="00445694">
        <w:t>-</w:t>
      </w:r>
      <w:r w:rsidRPr="000A05F6">
        <w:t>learned workshops across ICS sections</w:t>
      </w:r>
    </w:p>
    <w:p w14:paraId="4258598D" w14:textId="77777777" w:rsidR="00DD1798" w:rsidRPr="000A05F6" w:rsidRDefault="00DD1798" w:rsidP="0090306D">
      <w:pPr>
        <w:pStyle w:val="BulletList"/>
      </w:pPr>
      <w:r w:rsidRPr="000A05F6">
        <w:t>Assemble the final documentation package, including IAPs, ICS forms, action logs, and meeting notes</w:t>
      </w:r>
    </w:p>
    <w:p w14:paraId="5270492B" w14:textId="77777777" w:rsidR="00DD1798" w:rsidRPr="000A05F6" w:rsidRDefault="00DD1798" w:rsidP="0090306D">
      <w:pPr>
        <w:pStyle w:val="BulletListFinal"/>
      </w:pPr>
      <w:r w:rsidRPr="000A05F6">
        <w:t>Archive all planning, response, and recovery documents in accordance with District protocols and retention policies</w:t>
      </w:r>
    </w:p>
    <w:p w14:paraId="65C12B7E" w14:textId="77777777" w:rsidR="00DD1798" w:rsidRPr="0090306D" w:rsidRDefault="00DD1798" w:rsidP="0090306D">
      <w:pPr>
        <w:pStyle w:val="BodyText"/>
        <w:rPr>
          <w:i/>
          <w:iCs/>
        </w:rPr>
      </w:pPr>
      <w:r w:rsidRPr="0090306D">
        <w:rPr>
          <w:i/>
          <w:iCs/>
        </w:rPr>
        <w:t>This phase concludes once all reporting is submitted and lessons learned are integrated into future procedures.</w:t>
      </w:r>
    </w:p>
    <w:p w14:paraId="643989CA" w14:textId="2870A212" w:rsidR="00DD1798" w:rsidRPr="000A05F6" w:rsidRDefault="00B97DBE" w:rsidP="0090306D">
      <w:pPr>
        <w:pStyle w:val="Appendices-Heading1"/>
      </w:pPr>
      <w:r>
        <w:t xml:space="preserve">D. </w:t>
      </w:r>
      <w:r w:rsidR="00DD1798" w:rsidRPr="000A05F6">
        <w:t>General Education</w:t>
      </w:r>
    </w:p>
    <w:p w14:paraId="0E680917" w14:textId="77777777" w:rsidR="00DD1798" w:rsidRPr="000A05F6" w:rsidRDefault="00DD1798" w:rsidP="00DD1798">
      <w:pPr>
        <w:rPr>
          <w:rFonts w:ascii="Arial" w:hAnsi="Arial" w:cs="Arial"/>
          <w:i/>
          <w:iCs/>
          <w:color w:val="FF0000"/>
        </w:rPr>
      </w:pPr>
      <w:r w:rsidRPr="000A05F6">
        <w:rPr>
          <w:rFonts w:ascii="Arial" w:hAnsi="Arial" w:cs="Arial"/>
          <w:b/>
          <w:bCs/>
          <w:i/>
          <w:iCs/>
          <w:color w:val="FF0000"/>
        </w:rPr>
        <w:t>ONGOING PUBLIC OUTREACH AND PREPARATION</w:t>
      </w:r>
    </w:p>
    <w:p w14:paraId="483170C0" w14:textId="77777777" w:rsidR="00DD1798" w:rsidRPr="000A05F6" w:rsidRDefault="00DD1798" w:rsidP="0090306D">
      <w:pPr>
        <w:pStyle w:val="BodyText"/>
      </w:pPr>
      <w:r w:rsidRPr="000A05F6">
        <w:t>This section outlines proactive educational efforts that TDPUD shall undertake throughout the year to inform customers and stakeholders about wildfire mitigation practices, what occurs during a PPS event, and how to be prepared.</w:t>
      </w:r>
    </w:p>
    <w:p w14:paraId="66265C79" w14:textId="77777777" w:rsidR="00DD1798" w:rsidRDefault="00DD1798" w:rsidP="0090306D">
      <w:pPr>
        <w:pStyle w:val="Appendices-Heading2"/>
      </w:pPr>
      <w:r w:rsidRPr="000A05F6">
        <w:t>Communications Overview</w:t>
      </w:r>
    </w:p>
    <w:p w14:paraId="175B7BBE" w14:textId="77777777" w:rsidR="000848BC" w:rsidRPr="000A05F6" w:rsidRDefault="000848BC" w:rsidP="005F4962">
      <w:pPr>
        <w:pStyle w:val="Subheading1"/>
      </w:pPr>
      <w:r w:rsidRPr="000A05F6">
        <w:t>General Communication Tactics</w:t>
      </w:r>
    </w:p>
    <w:p w14:paraId="2FD654FA" w14:textId="77777777" w:rsidR="000848BC" w:rsidRPr="000A05F6" w:rsidRDefault="000848BC" w:rsidP="0090306D">
      <w:pPr>
        <w:pStyle w:val="BodyText"/>
      </w:pPr>
      <w:r w:rsidRPr="000A05F6">
        <w:t>TDPUD shall distribute PPS and wildfire mitigation educational materials through multiple channels, including:</w:t>
      </w:r>
    </w:p>
    <w:p w14:paraId="7D8C3CAD" w14:textId="77777777" w:rsidR="000848BC" w:rsidRPr="000A05F6" w:rsidRDefault="000848BC" w:rsidP="0090306D">
      <w:pPr>
        <w:pStyle w:val="BulletList"/>
      </w:pPr>
      <w:r w:rsidRPr="000A05F6">
        <w:t>Website</w:t>
      </w:r>
    </w:p>
    <w:p w14:paraId="0800A220" w14:textId="77777777" w:rsidR="000848BC" w:rsidRPr="000A05F6" w:rsidRDefault="000848BC" w:rsidP="0090306D">
      <w:pPr>
        <w:pStyle w:val="BulletList"/>
      </w:pPr>
      <w:r w:rsidRPr="000A05F6">
        <w:t>Emails</w:t>
      </w:r>
    </w:p>
    <w:p w14:paraId="1B58610C" w14:textId="77777777" w:rsidR="000848BC" w:rsidRPr="000A05F6" w:rsidRDefault="000848BC" w:rsidP="0090306D">
      <w:pPr>
        <w:pStyle w:val="BulletList"/>
      </w:pPr>
      <w:r w:rsidRPr="000A05F6">
        <w:t>Community events</w:t>
      </w:r>
    </w:p>
    <w:p w14:paraId="288FBE69" w14:textId="77777777" w:rsidR="000848BC" w:rsidRPr="000A05F6" w:rsidRDefault="000848BC" w:rsidP="0090306D">
      <w:pPr>
        <w:pStyle w:val="BulletList"/>
      </w:pPr>
      <w:r w:rsidRPr="000A05F6">
        <w:t>Social media</w:t>
      </w:r>
    </w:p>
    <w:p w14:paraId="2D888CB3" w14:textId="77777777" w:rsidR="000848BC" w:rsidRPr="000A05F6" w:rsidRDefault="000848BC" w:rsidP="0090306D">
      <w:pPr>
        <w:pStyle w:val="BulletList"/>
      </w:pPr>
      <w:r w:rsidRPr="000A05F6">
        <w:lastRenderedPageBreak/>
        <w:t>Printed materials (e.g., flyers, brochures)</w:t>
      </w:r>
    </w:p>
    <w:p w14:paraId="6A8A7E99" w14:textId="77777777" w:rsidR="000848BC" w:rsidRPr="000A05F6" w:rsidRDefault="000848BC" w:rsidP="0090306D">
      <w:pPr>
        <w:pStyle w:val="BulletList"/>
      </w:pPr>
      <w:r w:rsidRPr="000A05F6">
        <w:t>Videos</w:t>
      </w:r>
    </w:p>
    <w:p w14:paraId="5E27B009" w14:textId="77777777" w:rsidR="000848BC" w:rsidRPr="000A05F6" w:rsidRDefault="000848BC" w:rsidP="0090306D">
      <w:pPr>
        <w:pStyle w:val="BulletList"/>
      </w:pPr>
      <w:r w:rsidRPr="000A05F6">
        <w:t>Bill inserts</w:t>
      </w:r>
    </w:p>
    <w:p w14:paraId="0B1E9D14" w14:textId="77777777" w:rsidR="00630193" w:rsidRDefault="000848BC" w:rsidP="005F4962">
      <w:pPr>
        <w:pStyle w:val="BulletListFinal"/>
      </w:pPr>
      <w:r w:rsidRPr="000A05F6">
        <w:t>Radio ads</w:t>
      </w:r>
    </w:p>
    <w:p w14:paraId="489927F8" w14:textId="342BB07E" w:rsidR="000848BC" w:rsidRPr="000A05F6" w:rsidRDefault="00FC5A53" w:rsidP="00630193">
      <w:pPr>
        <w:pStyle w:val="Subheading1"/>
      </w:pPr>
      <w:r>
        <w:t>Communication Schedule</w:t>
      </w:r>
    </w:p>
    <w:p w14:paraId="68B679C7" w14:textId="5FE28738" w:rsidR="00DD1798" w:rsidRDefault="00DD1798" w:rsidP="0090306D">
      <w:pPr>
        <w:pStyle w:val="BodyText"/>
      </w:pPr>
      <w:r w:rsidRPr="000A05F6">
        <w:t>TDPUD will communicate wildfire preparedness and PPS-related information through a mix of recurring and event-specific outreach using the following schedule</w:t>
      </w:r>
      <w:r w:rsidR="00674F71">
        <w:t>:</w:t>
      </w:r>
    </w:p>
    <w:tbl>
      <w:tblPr>
        <w:tblStyle w:val="TableGrid"/>
        <w:tblW w:w="0" w:type="auto"/>
        <w:tblLook w:val="04A0" w:firstRow="1" w:lastRow="0" w:firstColumn="1" w:lastColumn="0" w:noHBand="0" w:noVBand="1"/>
      </w:tblPr>
      <w:tblGrid>
        <w:gridCol w:w="2155"/>
        <w:gridCol w:w="7195"/>
      </w:tblGrid>
      <w:tr w:rsidR="0054550A" w14:paraId="7006E125" w14:textId="77777777" w:rsidTr="0054550A">
        <w:trPr>
          <w:tblHeader/>
        </w:trPr>
        <w:tc>
          <w:tcPr>
            <w:tcW w:w="9350" w:type="dxa"/>
            <w:gridSpan w:val="2"/>
            <w:tcBorders>
              <w:top w:val="nil"/>
              <w:left w:val="nil"/>
              <w:right w:val="nil"/>
            </w:tcBorders>
            <w:vAlign w:val="center"/>
          </w:tcPr>
          <w:p w14:paraId="09A3E7F9" w14:textId="79E0FBD5" w:rsidR="0054550A" w:rsidRPr="0054550A" w:rsidRDefault="0054550A" w:rsidP="0054550A">
            <w:pPr>
              <w:pStyle w:val="AppendicesTable"/>
            </w:pPr>
            <w:r>
              <w:t>Communication Schedule Table</w:t>
            </w:r>
          </w:p>
        </w:tc>
      </w:tr>
      <w:tr w:rsidR="003716A6" w14:paraId="6BC7F5A2" w14:textId="77777777" w:rsidTr="0054550A">
        <w:trPr>
          <w:tblHeader/>
        </w:trPr>
        <w:tc>
          <w:tcPr>
            <w:tcW w:w="2155" w:type="dxa"/>
            <w:shd w:val="clear" w:color="auto" w:fill="00B0F0"/>
          </w:tcPr>
          <w:p w14:paraId="08E056C2" w14:textId="77777777" w:rsidR="003716A6" w:rsidRPr="005F4962" w:rsidRDefault="003716A6" w:rsidP="0090306D">
            <w:pPr>
              <w:pStyle w:val="TableHeading"/>
            </w:pPr>
            <w:r w:rsidRPr="005F4962">
              <w:t>Frequency</w:t>
            </w:r>
          </w:p>
        </w:tc>
        <w:tc>
          <w:tcPr>
            <w:tcW w:w="7195" w:type="dxa"/>
            <w:shd w:val="clear" w:color="auto" w:fill="00B0F0"/>
          </w:tcPr>
          <w:p w14:paraId="216CF38C" w14:textId="77777777" w:rsidR="003716A6" w:rsidRPr="005F4962" w:rsidRDefault="003716A6" w:rsidP="0090306D">
            <w:pPr>
              <w:pStyle w:val="TableHeading"/>
            </w:pPr>
            <w:r w:rsidRPr="005F4962">
              <w:t>Channels</w:t>
            </w:r>
          </w:p>
        </w:tc>
      </w:tr>
      <w:tr w:rsidR="003716A6" w14:paraId="73D936E8" w14:textId="77777777" w:rsidTr="00E22F30">
        <w:tc>
          <w:tcPr>
            <w:tcW w:w="2155" w:type="dxa"/>
            <w:vAlign w:val="center"/>
          </w:tcPr>
          <w:p w14:paraId="71273565" w14:textId="77777777" w:rsidR="003716A6" w:rsidRPr="003716A6" w:rsidRDefault="003716A6" w:rsidP="0090306D">
            <w:pPr>
              <w:pStyle w:val="TableText"/>
            </w:pPr>
            <w:r w:rsidRPr="000A05F6">
              <w:t>Daily</w:t>
            </w:r>
          </w:p>
        </w:tc>
        <w:tc>
          <w:tcPr>
            <w:tcW w:w="7195" w:type="dxa"/>
            <w:vAlign w:val="center"/>
          </w:tcPr>
          <w:p w14:paraId="0838531D" w14:textId="77777777" w:rsidR="003716A6" w:rsidRPr="003716A6" w:rsidRDefault="003716A6" w:rsidP="0090306D">
            <w:pPr>
              <w:pStyle w:val="TableText"/>
            </w:pPr>
            <w:r w:rsidRPr="000A05F6">
              <w:t>Call-hold scripts</w:t>
            </w:r>
          </w:p>
        </w:tc>
      </w:tr>
      <w:tr w:rsidR="003716A6" w14:paraId="24449D05" w14:textId="77777777" w:rsidTr="00E22F30">
        <w:tc>
          <w:tcPr>
            <w:tcW w:w="2155" w:type="dxa"/>
            <w:vAlign w:val="center"/>
          </w:tcPr>
          <w:p w14:paraId="6F1C4509" w14:textId="77777777" w:rsidR="003716A6" w:rsidRPr="003716A6" w:rsidRDefault="003716A6" w:rsidP="0090306D">
            <w:pPr>
              <w:pStyle w:val="TableText"/>
            </w:pPr>
            <w:r w:rsidRPr="000A05F6">
              <w:t>Weekly</w:t>
            </w:r>
          </w:p>
        </w:tc>
        <w:tc>
          <w:tcPr>
            <w:tcW w:w="7195" w:type="dxa"/>
            <w:vAlign w:val="center"/>
          </w:tcPr>
          <w:p w14:paraId="2A9153B2" w14:textId="77777777" w:rsidR="003716A6" w:rsidRPr="003716A6" w:rsidRDefault="003716A6" w:rsidP="0090306D">
            <w:pPr>
              <w:pStyle w:val="TableText"/>
            </w:pPr>
            <w:r w:rsidRPr="000A05F6">
              <w:t>Social media</w:t>
            </w:r>
          </w:p>
        </w:tc>
      </w:tr>
      <w:tr w:rsidR="003716A6" w14:paraId="6ACF7A95" w14:textId="77777777" w:rsidTr="00E22F30">
        <w:tc>
          <w:tcPr>
            <w:tcW w:w="2155" w:type="dxa"/>
            <w:vAlign w:val="center"/>
          </w:tcPr>
          <w:p w14:paraId="77489BFC" w14:textId="77777777" w:rsidR="003716A6" w:rsidRPr="003716A6" w:rsidRDefault="003716A6" w:rsidP="0090306D">
            <w:pPr>
              <w:pStyle w:val="TableText"/>
            </w:pPr>
            <w:r w:rsidRPr="000A05F6">
              <w:t>Bi-monthly</w:t>
            </w:r>
          </w:p>
        </w:tc>
        <w:tc>
          <w:tcPr>
            <w:tcW w:w="7195" w:type="dxa"/>
            <w:vAlign w:val="center"/>
          </w:tcPr>
          <w:p w14:paraId="37950437" w14:textId="77777777" w:rsidR="003716A6" w:rsidRPr="003716A6" w:rsidRDefault="003716A6" w:rsidP="0090306D">
            <w:pPr>
              <w:pStyle w:val="TableText"/>
            </w:pPr>
            <w:r w:rsidRPr="000A05F6">
              <w:t>Advertisements, bill inserts</w:t>
            </w:r>
          </w:p>
        </w:tc>
      </w:tr>
      <w:tr w:rsidR="003716A6" w14:paraId="30FCF811" w14:textId="77777777" w:rsidTr="00E22F30">
        <w:tc>
          <w:tcPr>
            <w:tcW w:w="2155" w:type="dxa"/>
            <w:vAlign w:val="center"/>
          </w:tcPr>
          <w:p w14:paraId="349EA6B5" w14:textId="77777777" w:rsidR="003716A6" w:rsidRPr="003716A6" w:rsidRDefault="003716A6" w:rsidP="0090306D">
            <w:pPr>
              <w:pStyle w:val="TableText"/>
            </w:pPr>
            <w:r w:rsidRPr="000A05F6">
              <w:t>Quarterly</w:t>
            </w:r>
          </w:p>
        </w:tc>
        <w:tc>
          <w:tcPr>
            <w:tcW w:w="7195" w:type="dxa"/>
            <w:vAlign w:val="center"/>
          </w:tcPr>
          <w:p w14:paraId="456E3BE7" w14:textId="77777777" w:rsidR="003716A6" w:rsidRPr="003716A6" w:rsidRDefault="003716A6" w:rsidP="0090306D">
            <w:pPr>
              <w:pStyle w:val="TableText"/>
            </w:pPr>
            <w:r w:rsidRPr="000A05F6">
              <w:t>Email, HOA articles/op-eds, direct mail, public meetings, stakeholder outreach, Public Safety Partner outreach</w:t>
            </w:r>
          </w:p>
        </w:tc>
      </w:tr>
      <w:tr w:rsidR="003716A6" w14:paraId="2327AC3B" w14:textId="77777777" w:rsidTr="00E22F30">
        <w:tc>
          <w:tcPr>
            <w:tcW w:w="2155" w:type="dxa"/>
            <w:vAlign w:val="center"/>
          </w:tcPr>
          <w:p w14:paraId="73C57445" w14:textId="77777777" w:rsidR="003716A6" w:rsidRPr="003716A6" w:rsidRDefault="003716A6" w:rsidP="0090306D">
            <w:pPr>
              <w:pStyle w:val="TableText"/>
            </w:pPr>
            <w:r w:rsidRPr="000A05F6">
              <w:t>As Needed</w:t>
            </w:r>
          </w:p>
        </w:tc>
        <w:tc>
          <w:tcPr>
            <w:tcW w:w="7195" w:type="dxa"/>
            <w:vAlign w:val="center"/>
          </w:tcPr>
          <w:p w14:paraId="790A81EF" w14:textId="77777777" w:rsidR="003716A6" w:rsidRPr="003716A6" w:rsidRDefault="003716A6" w:rsidP="0090306D">
            <w:pPr>
              <w:pStyle w:val="TableText"/>
            </w:pPr>
            <w:r w:rsidRPr="000A05F6">
              <w:t>First responder, critical facilities outreach</w:t>
            </w:r>
          </w:p>
        </w:tc>
      </w:tr>
    </w:tbl>
    <w:p w14:paraId="26E169AA" w14:textId="77777777" w:rsidR="003716A6" w:rsidRDefault="003716A6" w:rsidP="0090306D">
      <w:pPr>
        <w:pStyle w:val="TableSourceNote"/>
      </w:pPr>
    </w:p>
    <w:p w14:paraId="3EA4E17A" w14:textId="7EB1CD02" w:rsidR="00DD1798" w:rsidRPr="000A05F6" w:rsidRDefault="00DD1798" w:rsidP="0090306D">
      <w:pPr>
        <w:pStyle w:val="BodyText"/>
      </w:pPr>
      <w:r w:rsidRPr="000A05F6">
        <w:rPr>
          <w:b/>
          <w:bCs/>
        </w:rPr>
        <w:t>Responsibility:</w:t>
      </w:r>
      <w:r w:rsidRPr="000A05F6">
        <w:t xml:space="preserve"> Communications Specialist (in coordination with PIO and Risk and Compliance</w:t>
      </w:r>
      <w:r w:rsidR="0090306D">
        <w:t> </w:t>
      </w:r>
      <w:r w:rsidRPr="000A05F6">
        <w:t>Specialist)</w:t>
      </w:r>
    </w:p>
    <w:p w14:paraId="566ADBB6" w14:textId="75B30813" w:rsidR="00A01221" w:rsidRDefault="00DD1798" w:rsidP="0090306D">
      <w:pPr>
        <w:pStyle w:val="BodyText"/>
        <w:rPr>
          <w:i/>
          <w:iCs/>
        </w:rPr>
      </w:pPr>
      <w:r w:rsidRPr="0090306D">
        <w:rPr>
          <w:i/>
          <w:iCs/>
        </w:rPr>
        <w:t>General education continues year-round and supports overall community readiness for potential PPS activations.</w:t>
      </w:r>
    </w:p>
    <w:p w14:paraId="3D6574B0" w14:textId="77777777" w:rsidR="000949C1" w:rsidRDefault="00A01221">
      <w:pPr>
        <w:spacing w:before="0" w:after="0" w:line="240" w:lineRule="auto"/>
        <w:rPr>
          <w:i/>
          <w:iCs/>
        </w:rPr>
        <w:sectPr w:rsidR="000949C1" w:rsidSect="00CB7D34">
          <w:footerReference w:type="default" r:id="rId56"/>
          <w:footerReference w:type="first" r:id="rId57"/>
          <w:pgSz w:w="12240" w:h="15840" w:code="1"/>
          <w:pgMar w:top="1440" w:right="1440" w:bottom="1440" w:left="1440" w:header="720" w:footer="720" w:gutter="0"/>
          <w:pgNumType w:start="1"/>
          <w:cols w:space="720"/>
          <w:titlePg/>
          <w:docGrid w:linePitch="360"/>
        </w:sectPr>
      </w:pPr>
      <w:r>
        <w:rPr>
          <w:i/>
          <w:iCs/>
        </w:rPr>
        <w:br w:type="page"/>
      </w:r>
    </w:p>
    <w:p w14:paraId="73F8E1C7" w14:textId="0C3A9C19" w:rsidR="003E6F35" w:rsidRPr="00B7066A" w:rsidRDefault="003E6F35" w:rsidP="00A01221">
      <w:pPr>
        <w:pStyle w:val="Appendix"/>
      </w:pPr>
      <w:r w:rsidRPr="00B7066A">
        <w:lastRenderedPageBreak/>
        <w:t>Appendix</w:t>
      </w:r>
      <w:r>
        <w:t xml:space="preserve"> E</w:t>
      </w:r>
      <w:r w:rsidRPr="00B7066A">
        <w:t xml:space="preserve"> </w:t>
      </w:r>
    </w:p>
    <w:p w14:paraId="7BF8FF93" w14:textId="1F6CE14B" w:rsidR="003E6F35" w:rsidRDefault="003E6F35" w:rsidP="00A01221">
      <w:pPr>
        <w:pStyle w:val="AppendixTitle"/>
      </w:pPr>
      <w:bookmarkStart w:id="152" w:name="_Toc236837860"/>
      <w:r>
        <w:t>Weather and Risk Intell</w:t>
      </w:r>
      <w:r w:rsidR="0001143B">
        <w:t>i</w:t>
      </w:r>
      <w:r>
        <w:t>gence</w:t>
      </w:r>
      <w:r w:rsidR="00A01221">
        <w:br/>
      </w:r>
      <w:bookmarkEnd w:id="152"/>
    </w:p>
    <w:p w14:paraId="7C01FAAA" w14:textId="0AA91041" w:rsidR="00C73BD4" w:rsidRDefault="008E10DB" w:rsidP="00C73BD4">
      <w:pPr>
        <w:pStyle w:val="AppendixTitle"/>
        <w:jc w:val="left"/>
        <w:rPr>
          <w:rFonts w:ascii="Arial" w:hAnsi="Arial" w:cs="Arial"/>
          <w:sz w:val="20"/>
          <w:szCs w:val="20"/>
        </w:rPr>
      </w:pPr>
      <w:r w:rsidRPr="008E10DB">
        <w:rPr>
          <w:noProof/>
        </w:rPr>
        <w:lastRenderedPageBreak/>
        <w:drawing>
          <wp:inline distT="0" distB="0" distL="0" distR="0" wp14:anchorId="11A73608" wp14:editId="4C022DEF">
            <wp:extent cx="5839460" cy="8229600"/>
            <wp:effectExtent l="0" t="0" r="8890" b="0"/>
            <wp:docPr id="13861714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839460" cy="8229600"/>
                    </a:xfrm>
                    <a:prstGeom prst="rect">
                      <a:avLst/>
                    </a:prstGeom>
                    <a:noFill/>
                    <a:ln>
                      <a:noFill/>
                    </a:ln>
                  </pic:spPr>
                </pic:pic>
              </a:graphicData>
            </a:graphic>
          </wp:inline>
        </w:drawing>
      </w:r>
    </w:p>
    <w:p w14:paraId="29265962" w14:textId="47B1E824" w:rsidR="008E10DB" w:rsidRDefault="008E10DB" w:rsidP="008E10DB">
      <w:pPr>
        <w:spacing w:after="67" w:line="259" w:lineRule="auto"/>
      </w:pPr>
      <w:r>
        <w:lastRenderedPageBreak/>
        <w:t>a particular location. In the FWD, ERC is obtained from USFS WFAS</w:t>
      </w:r>
      <w:r>
        <w:rPr>
          <w:vertAlign w:val="superscript"/>
        </w:rPr>
        <w:t>1</w:t>
      </w:r>
      <w:r>
        <w:t>. The ERC table is updated once per day at the same cadence as the FPI table.</w:t>
      </w:r>
    </w:p>
    <w:p w14:paraId="3F3FDA18" w14:textId="77777777" w:rsidR="008E10DB" w:rsidRDefault="008E10DB" w:rsidP="008E10DB">
      <w:pPr>
        <w:spacing w:after="0" w:line="259" w:lineRule="auto"/>
      </w:pPr>
      <w:r>
        <w:rPr>
          <w:rFonts w:ascii="Calibri" w:eastAsia="Calibri" w:hAnsi="Calibri" w:cs="Calibri"/>
          <w:noProof/>
          <w:sz w:val="22"/>
        </w:rPr>
        <mc:AlternateContent>
          <mc:Choice Requires="wpg">
            <w:drawing>
              <wp:inline distT="0" distB="0" distL="0" distR="0" wp14:anchorId="69357604" wp14:editId="42FD739C">
                <wp:extent cx="1828800" cy="6858"/>
                <wp:effectExtent l="0" t="0" r="0" b="0"/>
                <wp:docPr id="2944" name="Group 2944"/>
                <wp:cNvGraphicFramePr/>
                <a:graphic xmlns:a="http://schemas.openxmlformats.org/drawingml/2006/main">
                  <a:graphicData uri="http://schemas.microsoft.com/office/word/2010/wordprocessingGroup">
                    <wpg:wgp>
                      <wpg:cNvGrpSpPr/>
                      <wpg:grpSpPr>
                        <a:xfrm>
                          <a:off x="0" y="0"/>
                          <a:ext cx="1828800" cy="6858"/>
                          <a:chOff x="0" y="0"/>
                          <a:chExt cx="1828800" cy="6858"/>
                        </a:xfrm>
                      </wpg:grpSpPr>
                      <wps:wsp>
                        <wps:cNvPr id="3765" name="Shape 376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7FD86B9" id="Group 2944" o:spid="_x0000_s1026" style="width:2in;height:.55pt;mso-position-horizontal-relative:char;mso-position-vertical-relative:line" coordsize="1828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72ubwIAAC0GAAAOAAAAZHJzL2Uyb0RvYy54bWykVMtu2zAQvBfoPxC615LdxFEFyzk0rS9F&#10;GzTpB9AU9QD4Aklb9t93uZJo1SmCItWBWpK7w53hcjf3JynIkVvXaVUmy0WWEK6YrjrVlMmv568f&#10;8oQ4T1VFhVa8TM7cJffb9+82vSn4SrdaVNwSAFGu6E2ZtN6bIk0da7mkbqENV7BZayuph6lt0srS&#10;HtClSFdZtk57bStjNePOwerDsJlsEb+uOfM/6tpxT0SZQG4eR4vjPozpdkOLxlLTdmxMg74hC0k7&#10;BYdGqAfqKTnY7gWU7JjVTtd+wbRMdV13jCMHYLPMrtjsrD4Y5NIUfWOiTCDtlU5vhmXfjztrnsyj&#10;BSV604AWOAtcTrWV4Q9ZkhNKdo6S8ZMnDBaX+SrPM1CWwd46v80HRVkLsr8IYu2X18LS6cj0j0R6&#10;A6XhLuzd/7F/aqnhKKorgP2jJV1VJh/v1rcJUVRCjaIHwRUUBf2iRK5woNab9Pm0vLkJ+kSitGAH&#10;53dco870+M35oSCryaLtZLGTmkwLZf1qQRvqQ1xIMpikn11UWyaYR9iU+sifNbr5q9uCHC+7Qs29&#10;4p1P5QC+k8f0N4g395yRn5ym/+AMRQSA/+iGLzeeC0bgicpG7rA4V1eoIEOoVAp9phbU44OVnYcG&#10;JDoJEq3uMijl4YKEArRQesNto+XPggexhPrJaygbfBRhwdlm/1lYcqShzeCH4FSYlo6rI+7oiqki&#10;ToivOyEi5BJD/wY5ZDY6hziOHS5GZkMkG7MZ2hw0CyA9NTsQJQbhyVr5GK+gRWOaM7bB3OvqjA0C&#10;BYG3iNJgT0IeY/8MTW8+R69Ll9/+BgAA//8DAFBLAwQUAAYACAAAACEATERrBdkAAAADAQAADwAA&#10;AGRycy9kb3ducmV2LnhtbEyPQUvDQBCF74L/YRnBm92kooSYTSlFPRXBVhBv0+w0Cc3Ohuw2Sf+9&#10;oxe9DDze4833itXsOjXSEFrPBtJFAoq48rbl2sDH/uUuAxUissXOMxm4UIBVeX1VYG79xO807mKt&#10;pIRDjgaaGPtc61A15DAsfE8s3tEPDqPIodZ2wEnKXaeXSfKoHbYsHxrsadNQddqdnYHXCaf1ffo8&#10;bk/HzeVr//D2uU3JmNubef0EKtIc/8Lwgy/oUArTwZ/ZBtUZkCHx94q3zDKRBwmloMtC/2cvvwEA&#10;AP//AwBQSwECLQAUAAYACAAAACEAtoM4kv4AAADhAQAAEwAAAAAAAAAAAAAAAAAAAAAAW0NvbnRl&#10;bnRfVHlwZXNdLnhtbFBLAQItABQABgAIAAAAIQA4/SH/1gAAAJQBAAALAAAAAAAAAAAAAAAAAC8B&#10;AABfcmVscy8ucmVsc1BLAQItABQABgAIAAAAIQD9N72ubwIAAC0GAAAOAAAAAAAAAAAAAAAAAC4C&#10;AABkcnMvZTJvRG9jLnhtbFBLAQItABQABgAIAAAAIQBMRGsF2QAAAAMBAAAPAAAAAAAAAAAAAAAA&#10;AMkEAABkcnMvZG93bnJldi54bWxQSwUGAAAAAAQABADzAAAAzwUAAAAA&#10;">
                <v:shape id="Shape 3765"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zUYxwAAAN0AAAAPAAAAZHJzL2Rvd25yZXYueG1sRI/RasJA&#10;FETfC/7DcoW+SLNpSzSkWcVKBV8KRvsBl+xtEpK9G7NbE/++Wyj4OMzMGSbfTKYTVxpcY1nBcxSD&#10;IC6tbrhS8HXeP6UgnEfW2FkmBTdysFnPHnLMtB25oOvJVyJA2GWooPa+z6R0ZU0GXWR74uB928Gg&#10;D3KopB5wDHDTyZc4XkqDDYeFGnva1VS2px+joLiMlOzc4pj4z+ZQdIuP1XvaKvU4n7ZvIDxN/h7+&#10;bx+0gtfVMoG/N+EJyPUvAAAA//8DAFBLAQItABQABgAIAAAAIQDb4fbL7gAAAIUBAAATAAAAAAAA&#10;AAAAAAAAAAAAAABbQ29udGVudF9UeXBlc10ueG1sUEsBAi0AFAAGAAgAAAAhAFr0LFu/AAAAFQEA&#10;AAsAAAAAAAAAAAAAAAAAHwEAAF9yZWxzLy5yZWxzUEsBAi0AFAAGAAgAAAAhADK7NRjHAAAA3QAA&#10;AA8AAAAAAAAAAAAAAAAABwIAAGRycy9kb3ducmV2LnhtbFBLBQYAAAAAAwADALcAAAD7AgAAAAA=&#10;" path="m,l1828800,r,9144l,9144,,e" fillcolor="black" stroked="f" strokeweight="0">
                  <v:stroke miterlimit="83231f" joinstyle="miter"/>
                  <v:path arrowok="t" textboxrect="0,0,1828800,9144"/>
                </v:shape>
                <w10:anchorlock/>
              </v:group>
            </w:pict>
          </mc:Fallback>
        </mc:AlternateContent>
      </w:r>
      <w:r>
        <w:rPr>
          <w:sz w:val="22"/>
        </w:rPr>
        <w:t xml:space="preserve"> </w:t>
      </w:r>
    </w:p>
    <w:p w14:paraId="0F9EAE3A" w14:textId="77777777" w:rsidR="008E10DB" w:rsidRDefault="008E10DB" w:rsidP="008E10DB">
      <w:pPr>
        <w:spacing w:after="0" w:line="265" w:lineRule="auto"/>
        <w:jc w:val="center"/>
      </w:pPr>
      <w:r>
        <w:rPr>
          <w:rFonts w:ascii="Times New Roman" w:eastAsia="Times New Roman" w:hAnsi="Times New Roman" w:cs="Times New Roman"/>
          <w:b/>
        </w:rPr>
        <w:t xml:space="preserve">Table 1. Sample FPI Table. </w:t>
      </w:r>
    </w:p>
    <w:p w14:paraId="558EA2F0" w14:textId="77777777" w:rsidR="008E10DB" w:rsidRDefault="008E10DB" w:rsidP="008E10DB">
      <w:pPr>
        <w:spacing w:after="0" w:line="259" w:lineRule="auto"/>
        <w:ind w:right="1391"/>
        <w:jc w:val="right"/>
      </w:pPr>
      <w:r>
        <w:rPr>
          <w:noProof/>
        </w:rPr>
        <w:drawing>
          <wp:inline distT="0" distB="0" distL="0" distR="0" wp14:anchorId="104900B1" wp14:editId="5BAC31AF">
            <wp:extent cx="4126992" cy="2663952"/>
            <wp:effectExtent l="0" t="0" r="0" b="0"/>
            <wp:docPr id="112" name="Picture 112"/>
            <wp:cNvGraphicFramePr/>
            <a:graphic xmlns:a="http://schemas.openxmlformats.org/drawingml/2006/main">
              <a:graphicData uri="http://schemas.openxmlformats.org/drawingml/2006/picture">
                <pic:pic xmlns:pic="http://schemas.openxmlformats.org/drawingml/2006/picture">
                  <pic:nvPicPr>
                    <pic:cNvPr id="112" name="Picture 112"/>
                    <pic:cNvPicPr/>
                  </pic:nvPicPr>
                  <pic:blipFill>
                    <a:blip r:embed="rId59"/>
                    <a:stretch>
                      <a:fillRect/>
                    </a:stretch>
                  </pic:blipFill>
                  <pic:spPr>
                    <a:xfrm>
                      <a:off x="0" y="0"/>
                      <a:ext cx="4126992" cy="2663952"/>
                    </a:xfrm>
                    <a:prstGeom prst="rect">
                      <a:avLst/>
                    </a:prstGeom>
                  </pic:spPr>
                </pic:pic>
              </a:graphicData>
            </a:graphic>
          </wp:inline>
        </w:drawing>
      </w:r>
      <w:r>
        <w:t xml:space="preserve"> </w:t>
      </w:r>
    </w:p>
    <w:p w14:paraId="5C0DB00C" w14:textId="77777777" w:rsidR="008E10DB" w:rsidRDefault="008E10DB" w:rsidP="008E10DB">
      <w:pPr>
        <w:spacing w:after="0" w:line="259" w:lineRule="auto"/>
      </w:pPr>
      <w:r>
        <w:t xml:space="preserve"> </w:t>
      </w:r>
    </w:p>
    <w:p w14:paraId="1427948E" w14:textId="77777777" w:rsidR="008E10DB" w:rsidRDefault="008E10DB" w:rsidP="008E10DB">
      <w:pPr>
        <w:spacing w:after="0" w:line="259" w:lineRule="auto"/>
      </w:pPr>
      <w:r>
        <w:rPr>
          <w:sz w:val="22"/>
        </w:rPr>
        <w:t xml:space="preserve"> </w:t>
      </w:r>
    </w:p>
    <w:p w14:paraId="4D7AB70B" w14:textId="77777777" w:rsidR="008E10DB" w:rsidRDefault="008E10DB" w:rsidP="008E10DB">
      <w:pPr>
        <w:spacing w:after="0" w:line="259" w:lineRule="auto"/>
        <w:ind w:left="2577"/>
      </w:pPr>
      <w:r>
        <w:rPr>
          <w:rFonts w:ascii="Times New Roman" w:eastAsia="Times New Roman" w:hAnsi="Times New Roman" w:cs="Times New Roman"/>
          <w:b/>
        </w:rPr>
        <w:t xml:space="preserve">Table 2. Sample Percent of CRI Threshold Table. </w:t>
      </w:r>
    </w:p>
    <w:p w14:paraId="77CD0852" w14:textId="77777777" w:rsidR="008E10DB" w:rsidRDefault="008E10DB" w:rsidP="008E10DB">
      <w:pPr>
        <w:spacing w:after="0" w:line="259" w:lineRule="auto"/>
        <w:ind w:right="1447"/>
        <w:jc w:val="right"/>
      </w:pPr>
      <w:r>
        <w:rPr>
          <w:noProof/>
        </w:rPr>
        <w:drawing>
          <wp:inline distT="0" distB="0" distL="0" distR="0" wp14:anchorId="77FAE6EE" wp14:editId="6F7A28ED">
            <wp:extent cx="4047744" cy="2615184"/>
            <wp:effectExtent l="0" t="0" r="0" b="0"/>
            <wp:docPr id="114" name="Picture 114"/>
            <wp:cNvGraphicFramePr/>
            <a:graphic xmlns:a="http://schemas.openxmlformats.org/drawingml/2006/main">
              <a:graphicData uri="http://schemas.openxmlformats.org/drawingml/2006/picture">
                <pic:pic xmlns:pic="http://schemas.openxmlformats.org/drawingml/2006/picture">
                  <pic:nvPicPr>
                    <pic:cNvPr id="114" name="Picture 114"/>
                    <pic:cNvPicPr/>
                  </pic:nvPicPr>
                  <pic:blipFill>
                    <a:blip r:embed="rId60"/>
                    <a:stretch>
                      <a:fillRect/>
                    </a:stretch>
                  </pic:blipFill>
                  <pic:spPr>
                    <a:xfrm>
                      <a:off x="0" y="0"/>
                      <a:ext cx="4047744" cy="2615184"/>
                    </a:xfrm>
                    <a:prstGeom prst="rect">
                      <a:avLst/>
                    </a:prstGeom>
                  </pic:spPr>
                </pic:pic>
              </a:graphicData>
            </a:graphic>
          </wp:inline>
        </w:drawing>
      </w:r>
      <w:r>
        <w:rPr>
          <w:sz w:val="22"/>
        </w:rPr>
        <w:t xml:space="preserve"> </w:t>
      </w:r>
    </w:p>
    <w:p w14:paraId="0FC51E23" w14:textId="77777777" w:rsidR="008E10DB" w:rsidRDefault="008E10DB" w:rsidP="008E10DB">
      <w:pPr>
        <w:spacing w:after="0" w:line="259" w:lineRule="auto"/>
      </w:pPr>
      <w:r>
        <w:rPr>
          <w:sz w:val="22"/>
        </w:rPr>
        <w:t xml:space="preserve"> </w:t>
      </w:r>
    </w:p>
    <w:p w14:paraId="702494D2" w14:textId="77777777" w:rsidR="008E10DB" w:rsidRDefault="008E10DB" w:rsidP="008E10DB">
      <w:pPr>
        <w:spacing w:after="0" w:line="265" w:lineRule="auto"/>
        <w:ind w:right="6"/>
        <w:jc w:val="center"/>
        <w:rPr>
          <w:rFonts w:ascii="Times New Roman" w:eastAsia="Times New Roman" w:hAnsi="Times New Roman" w:cs="Times New Roman"/>
          <w:b/>
        </w:rPr>
      </w:pPr>
    </w:p>
    <w:p w14:paraId="75FB7981" w14:textId="77777777" w:rsidR="008E10DB" w:rsidRDefault="008E10DB" w:rsidP="008E10DB">
      <w:pPr>
        <w:spacing w:after="0" w:line="265" w:lineRule="auto"/>
        <w:ind w:right="6"/>
        <w:jc w:val="center"/>
        <w:rPr>
          <w:rFonts w:ascii="Times New Roman" w:eastAsia="Times New Roman" w:hAnsi="Times New Roman" w:cs="Times New Roman"/>
          <w:b/>
        </w:rPr>
      </w:pPr>
    </w:p>
    <w:p w14:paraId="403EECCE" w14:textId="77777777" w:rsidR="004D6392" w:rsidRDefault="008E10DB" w:rsidP="008E10DB">
      <w:pPr>
        <w:spacing w:after="0" w:line="265" w:lineRule="auto"/>
        <w:ind w:right="6"/>
        <w:jc w:val="center"/>
        <w:rPr>
          <w:rFonts w:ascii="Times New Roman" w:eastAsia="Times New Roman" w:hAnsi="Times New Roman" w:cs="Times New Roman"/>
          <w:b/>
        </w:rPr>
      </w:pPr>
      <w:r>
        <w:rPr>
          <w:rFonts w:ascii="Times New Roman" w:eastAsia="Times New Roman" w:hAnsi="Times New Roman" w:cs="Times New Roman"/>
          <w:b/>
        </w:rPr>
        <w:lastRenderedPageBreak/>
        <w:t>Table 3. Sample ERC Percentile table</w:t>
      </w:r>
    </w:p>
    <w:p w14:paraId="33BE5862" w14:textId="77777777" w:rsidR="004D6392" w:rsidRDefault="004D6392" w:rsidP="008E10DB">
      <w:pPr>
        <w:spacing w:after="0" w:line="265" w:lineRule="auto"/>
        <w:ind w:right="6"/>
        <w:jc w:val="center"/>
        <w:rPr>
          <w:rFonts w:ascii="Times New Roman" w:eastAsia="Times New Roman" w:hAnsi="Times New Roman" w:cs="Times New Roman"/>
          <w:b/>
        </w:rPr>
      </w:pPr>
    </w:p>
    <w:p w14:paraId="1821F15F" w14:textId="0F6A765D" w:rsidR="008E10DB" w:rsidRDefault="004D6392" w:rsidP="008E10DB">
      <w:pPr>
        <w:spacing w:after="0" w:line="265" w:lineRule="auto"/>
        <w:ind w:right="6"/>
        <w:jc w:val="center"/>
      </w:pPr>
      <w:r>
        <w:rPr>
          <w:rFonts w:ascii="Times New Roman" w:eastAsia="Times New Roman" w:hAnsi="Times New Roman" w:cs="Times New Roman"/>
          <w:b/>
          <w:noProof/>
        </w:rPr>
        <w:drawing>
          <wp:inline distT="0" distB="0" distL="0" distR="0" wp14:anchorId="2DAC31DC" wp14:editId="415840FD">
            <wp:extent cx="4249420" cy="2103120"/>
            <wp:effectExtent l="0" t="0" r="0" b="0"/>
            <wp:docPr id="19638899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249420" cy="2103120"/>
                    </a:xfrm>
                    <a:prstGeom prst="rect">
                      <a:avLst/>
                    </a:prstGeom>
                    <a:noFill/>
                  </pic:spPr>
                </pic:pic>
              </a:graphicData>
            </a:graphic>
          </wp:inline>
        </w:drawing>
      </w:r>
    </w:p>
    <w:p w14:paraId="62F1D10B" w14:textId="77777777" w:rsidR="008E10DB" w:rsidRDefault="008E10DB" w:rsidP="008E10DB">
      <w:pPr>
        <w:pStyle w:val="AppendixTitle"/>
        <w:jc w:val="left"/>
        <w:rPr>
          <w:rFonts w:ascii="Arial" w:hAnsi="Arial" w:cs="Arial"/>
          <w:sz w:val="20"/>
          <w:szCs w:val="20"/>
        </w:rPr>
      </w:pPr>
    </w:p>
    <w:p w14:paraId="293428E0" w14:textId="77777777" w:rsidR="004D6392" w:rsidRDefault="004D6392" w:rsidP="008E10DB">
      <w:pPr>
        <w:pStyle w:val="AppendixTitle"/>
        <w:jc w:val="left"/>
        <w:rPr>
          <w:rFonts w:ascii="Arial" w:hAnsi="Arial" w:cs="Arial"/>
          <w:sz w:val="20"/>
          <w:szCs w:val="20"/>
        </w:rPr>
      </w:pPr>
    </w:p>
    <w:p w14:paraId="53E13CD9" w14:textId="77777777" w:rsidR="004D6392" w:rsidRPr="004D6392" w:rsidRDefault="004D6392" w:rsidP="004D6392">
      <w:pPr>
        <w:keepNext/>
        <w:keepLines/>
        <w:spacing w:before="0" w:after="0" w:line="259" w:lineRule="auto"/>
        <w:ind w:left="-5" w:hanging="10"/>
        <w:outlineLvl w:val="0"/>
        <w:rPr>
          <w:rFonts w:ascii="Times New Roman" w:eastAsia="Times New Roman" w:hAnsi="Times New Roman" w:cs="Times New Roman"/>
          <w:b/>
          <w:color w:val="000000"/>
          <w:kern w:val="2"/>
          <w:szCs w:val="24"/>
          <w14:ligatures w14:val="standardContextual"/>
        </w:rPr>
      </w:pPr>
      <w:r w:rsidRPr="004D6392">
        <w:rPr>
          <w:rFonts w:ascii="Times New Roman" w:eastAsia="Times New Roman" w:hAnsi="Times New Roman" w:cs="Times New Roman"/>
          <w:b/>
          <w:color w:val="000000"/>
          <w:kern w:val="2"/>
          <w:szCs w:val="24"/>
          <w14:ligatures w14:val="standardContextual"/>
        </w:rPr>
        <w:t xml:space="preserve">Fire Weather Summary Plots </w:t>
      </w:r>
    </w:p>
    <w:p w14:paraId="02E82415" w14:textId="77777777" w:rsidR="004D6392" w:rsidRPr="004D6392" w:rsidRDefault="004D6392" w:rsidP="004D6392">
      <w:pPr>
        <w:spacing w:before="0" w:after="0" w:line="259" w:lineRule="auto"/>
        <w:rPr>
          <w:rFonts w:ascii="Times New Roman" w:eastAsia="Times New Roman" w:hAnsi="Times New Roman" w:cs="Times New Roman"/>
          <w:color w:val="000000"/>
          <w:kern w:val="2"/>
          <w:szCs w:val="24"/>
          <w14:ligatures w14:val="standardContextual"/>
        </w:rPr>
      </w:pPr>
      <w:r w:rsidRPr="004D6392">
        <w:rPr>
          <w:rFonts w:ascii="Times New Roman" w:eastAsia="Times New Roman" w:hAnsi="Times New Roman" w:cs="Times New Roman"/>
          <w:color w:val="000000"/>
          <w:kern w:val="2"/>
          <w:szCs w:val="24"/>
          <w14:ligatures w14:val="standardContextual"/>
        </w:rPr>
        <w:t xml:space="preserve"> </w:t>
      </w:r>
    </w:p>
    <w:p w14:paraId="1EBCE58A" w14:textId="77777777" w:rsidR="004D6392" w:rsidRPr="004D6392" w:rsidRDefault="004D6392" w:rsidP="004D6392">
      <w:pPr>
        <w:spacing w:before="0" w:after="5" w:line="248" w:lineRule="auto"/>
        <w:ind w:left="10" w:hanging="10"/>
        <w:jc w:val="both"/>
        <w:rPr>
          <w:rFonts w:ascii="Times New Roman" w:eastAsia="Times New Roman" w:hAnsi="Times New Roman" w:cs="Times New Roman"/>
          <w:color w:val="000000"/>
          <w:kern w:val="2"/>
          <w:szCs w:val="24"/>
          <w14:ligatures w14:val="standardContextual"/>
        </w:rPr>
      </w:pPr>
      <w:r w:rsidRPr="004D6392">
        <w:rPr>
          <w:rFonts w:ascii="Times New Roman" w:eastAsia="Times New Roman" w:hAnsi="Times New Roman" w:cs="Times New Roman"/>
          <w:color w:val="000000"/>
          <w:kern w:val="2"/>
          <w:szCs w:val="24"/>
          <w14:ligatures w14:val="standardContextual"/>
        </w:rPr>
        <w:t xml:space="preserve">After the summary tables, the FWD provides a series of fire weather forecast summary plots, grouped by monitoring zone - see Figure 1 for an example. These plots are intended to provide temporally granular fire weather forecast information for use in decision making. Six panels, arranged in a matrix of 3 columns by two rows, are provided for each monitoring zone. From the upper left, moving clockwise to lower left, these panels are: </w:t>
      </w:r>
    </w:p>
    <w:p w14:paraId="4FBEA38B" w14:textId="77777777" w:rsidR="004D6392" w:rsidRPr="004D6392" w:rsidRDefault="004D6392" w:rsidP="004D6392">
      <w:pPr>
        <w:spacing w:before="0" w:after="0" w:line="259" w:lineRule="auto"/>
        <w:rPr>
          <w:rFonts w:ascii="Times New Roman" w:eastAsia="Times New Roman" w:hAnsi="Times New Roman" w:cs="Times New Roman"/>
          <w:color w:val="000000"/>
          <w:kern w:val="2"/>
          <w:szCs w:val="24"/>
          <w14:ligatures w14:val="standardContextual"/>
        </w:rPr>
      </w:pPr>
      <w:r w:rsidRPr="004D6392">
        <w:rPr>
          <w:rFonts w:ascii="Times New Roman" w:eastAsia="Times New Roman" w:hAnsi="Times New Roman" w:cs="Times New Roman"/>
          <w:color w:val="000000"/>
          <w:kern w:val="2"/>
          <w:szCs w:val="24"/>
          <w14:ligatures w14:val="standardContextual"/>
        </w:rPr>
        <w:t xml:space="preserve"> </w:t>
      </w:r>
    </w:p>
    <w:p w14:paraId="5F94F61E" w14:textId="77777777" w:rsidR="004D6392" w:rsidRPr="004D6392" w:rsidRDefault="004D6392" w:rsidP="004D6392">
      <w:pPr>
        <w:numPr>
          <w:ilvl w:val="0"/>
          <w:numId w:val="30"/>
        </w:numPr>
        <w:spacing w:before="0" w:after="5" w:line="248" w:lineRule="auto"/>
        <w:ind w:right="4" w:hanging="10"/>
        <w:jc w:val="both"/>
        <w:rPr>
          <w:rFonts w:ascii="Times New Roman" w:eastAsia="Times New Roman" w:hAnsi="Times New Roman" w:cs="Times New Roman"/>
          <w:color w:val="000000"/>
          <w:kern w:val="2"/>
          <w:szCs w:val="24"/>
          <w14:ligatures w14:val="standardContextual"/>
        </w:rPr>
      </w:pPr>
      <w:r w:rsidRPr="004D6392">
        <w:rPr>
          <w:rFonts w:ascii="Times New Roman" w:eastAsia="Times New Roman" w:hAnsi="Times New Roman" w:cs="Times New Roman"/>
          <w:color w:val="000000"/>
          <w:kern w:val="2"/>
          <w:szCs w:val="24"/>
          <w:u w:val="single" w:color="000000"/>
          <w14:ligatures w14:val="standardContextual"/>
        </w:rPr>
        <w:t>Fosberg Fire Weather Index</w:t>
      </w:r>
      <w:r w:rsidRPr="004D6392">
        <w:rPr>
          <w:rFonts w:ascii="Times New Roman" w:eastAsia="Times New Roman" w:hAnsi="Times New Roman" w:cs="Times New Roman"/>
          <w:color w:val="000000"/>
          <w:kern w:val="2"/>
          <w:szCs w:val="24"/>
          <w14:ligatures w14:val="standardContextual"/>
        </w:rPr>
        <w:t xml:space="preserve">. FFWI is a fuel-independent meteorological index calculated from relative humidity, temperature, and sustained wind speed. As a general rule of thumb, areas that have a FFWI value above 50 for 3 or more hours are of concern from a fire weather standpoint.  </w:t>
      </w:r>
    </w:p>
    <w:p w14:paraId="70B2C8F1" w14:textId="77777777" w:rsidR="004D6392" w:rsidRPr="004D6392" w:rsidRDefault="004D6392" w:rsidP="004D6392">
      <w:pPr>
        <w:spacing w:before="0" w:after="0" w:line="259" w:lineRule="auto"/>
        <w:ind w:left="720"/>
        <w:rPr>
          <w:rFonts w:ascii="Times New Roman" w:eastAsia="Times New Roman" w:hAnsi="Times New Roman" w:cs="Times New Roman"/>
          <w:color w:val="000000"/>
          <w:kern w:val="2"/>
          <w:szCs w:val="24"/>
          <w14:ligatures w14:val="standardContextual"/>
        </w:rPr>
      </w:pPr>
      <w:r w:rsidRPr="004D6392">
        <w:rPr>
          <w:rFonts w:ascii="Times New Roman" w:eastAsia="Times New Roman" w:hAnsi="Times New Roman" w:cs="Times New Roman"/>
          <w:color w:val="000000"/>
          <w:kern w:val="2"/>
          <w:szCs w:val="24"/>
          <w14:ligatures w14:val="standardContextual"/>
        </w:rPr>
        <w:t xml:space="preserve"> </w:t>
      </w:r>
    </w:p>
    <w:p w14:paraId="15D3C2E9" w14:textId="77777777" w:rsidR="004D6392" w:rsidRPr="004D6392" w:rsidRDefault="004D6392" w:rsidP="004D6392">
      <w:pPr>
        <w:numPr>
          <w:ilvl w:val="0"/>
          <w:numId w:val="30"/>
        </w:numPr>
        <w:spacing w:before="0" w:after="5" w:line="248" w:lineRule="auto"/>
        <w:ind w:right="4" w:hanging="10"/>
        <w:jc w:val="both"/>
        <w:rPr>
          <w:rFonts w:ascii="Times New Roman" w:eastAsia="Times New Roman" w:hAnsi="Times New Roman" w:cs="Times New Roman"/>
          <w:color w:val="000000"/>
          <w:kern w:val="2"/>
          <w:szCs w:val="24"/>
          <w14:ligatures w14:val="standardContextual"/>
        </w:rPr>
      </w:pPr>
      <w:r w:rsidRPr="004D6392">
        <w:rPr>
          <w:rFonts w:ascii="Times New Roman" w:eastAsia="Times New Roman" w:hAnsi="Times New Roman" w:cs="Times New Roman"/>
          <w:color w:val="000000"/>
          <w:kern w:val="2"/>
          <w:szCs w:val="24"/>
          <w:u w:val="single" w:color="000000"/>
          <w14:ligatures w14:val="standardContextual"/>
        </w:rPr>
        <w:t>Wind gust</w:t>
      </w:r>
      <w:r w:rsidRPr="004D6392">
        <w:rPr>
          <w:rFonts w:ascii="Times New Roman" w:eastAsia="Times New Roman" w:hAnsi="Times New Roman" w:cs="Times New Roman"/>
          <w:color w:val="000000"/>
          <w:kern w:val="2"/>
          <w:szCs w:val="24"/>
          <w14:ligatures w14:val="standardContextual"/>
        </w:rPr>
        <w:t xml:space="preserve">. This panel plots the 3-second average wind gust (mph) at 20 ft above the average height of predominant vegetative cover. Powerline-caused ignitions are a strong function of wind gust, increasing by approximately a factor of 10 for every 15 mph increase above 20 mph.  </w:t>
      </w:r>
    </w:p>
    <w:p w14:paraId="77E913C5" w14:textId="77777777" w:rsidR="004D6392" w:rsidRPr="004D6392" w:rsidRDefault="004D6392" w:rsidP="004D6392">
      <w:pPr>
        <w:spacing w:before="0" w:after="0" w:line="259" w:lineRule="auto"/>
        <w:rPr>
          <w:rFonts w:ascii="Times New Roman" w:eastAsia="Times New Roman" w:hAnsi="Times New Roman" w:cs="Times New Roman"/>
          <w:color w:val="000000"/>
          <w:kern w:val="2"/>
          <w:szCs w:val="24"/>
          <w14:ligatures w14:val="standardContextual"/>
        </w:rPr>
      </w:pPr>
      <w:r w:rsidRPr="004D6392">
        <w:rPr>
          <w:rFonts w:ascii="Times New Roman" w:eastAsia="Times New Roman" w:hAnsi="Times New Roman" w:cs="Times New Roman"/>
          <w:color w:val="000000"/>
          <w:kern w:val="2"/>
          <w:szCs w:val="24"/>
          <w14:ligatures w14:val="standardContextual"/>
        </w:rPr>
        <w:t xml:space="preserve"> </w:t>
      </w:r>
    </w:p>
    <w:p w14:paraId="43A8766F" w14:textId="77777777" w:rsidR="004D6392" w:rsidRPr="004D6392" w:rsidRDefault="004D6392" w:rsidP="004D6392">
      <w:pPr>
        <w:numPr>
          <w:ilvl w:val="0"/>
          <w:numId w:val="30"/>
        </w:numPr>
        <w:spacing w:before="0" w:after="5" w:line="248" w:lineRule="auto"/>
        <w:ind w:right="4" w:hanging="10"/>
        <w:jc w:val="both"/>
        <w:rPr>
          <w:rFonts w:ascii="Times New Roman" w:eastAsia="Times New Roman" w:hAnsi="Times New Roman" w:cs="Times New Roman"/>
          <w:color w:val="000000"/>
          <w:kern w:val="2"/>
          <w:szCs w:val="24"/>
          <w14:ligatures w14:val="standardContextual"/>
        </w:rPr>
      </w:pPr>
      <w:r w:rsidRPr="004D6392">
        <w:rPr>
          <w:rFonts w:ascii="Times New Roman" w:eastAsia="Times New Roman" w:hAnsi="Times New Roman" w:cs="Times New Roman"/>
          <w:color w:val="000000"/>
          <w:kern w:val="2"/>
          <w:szCs w:val="24"/>
          <w:u w:val="single" w:color="000000"/>
          <w14:ligatures w14:val="standardContextual"/>
        </w:rPr>
        <w:t>Wind speed</w:t>
      </w:r>
      <w:r w:rsidRPr="004D6392">
        <w:rPr>
          <w:rFonts w:ascii="Times New Roman" w:eastAsia="Times New Roman" w:hAnsi="Times New Roman" w:cs="Times New Roman"/>
          <w:color w:val="000000"/>
          <w:kern w:val="2"/>
          <w:szCs w:val="24"/>
          <w14:ligatures w14:val="standardContextual"/>
        </w:rPr>
        <w:t xml:space="preserve">. This is the sustained, nominally 10-minute average, wind speed at 20 ft above the average height of predominant vegetative cover. Sustained wind speed is the primary driver of continuous fire front propagation. </w:t>
      </w:r>
    </w:p>
    <w:p w14:paraId="30D4628E" w14:textId="77777777" w:rsidR="004D6392" w:rsidRPr="004D6392" w:rsidRDefault="004D6392" w:rsidP="004D6392">
      <w:pPr>
        <w:spacing w:before="0" w:after="0" w:line="259" w:lineRule="auto"/>
        <w:rPr>
          <w:rFonts w:ascii="Times New Roman" w:eastAsia="Times New Roman" w:hAnsi="Times New Roman" w:cs="Times New Roman"/>
          <w:color w:val="000000"/>
          <w:kern w:val="2"/>
          <w:szCs w:val="24"/>
          <w14:ligatures w14:val="standardContextual"/>
        </w:rPr>
      </w:pPr>
      <w:r w:rsidRPr="004D6392">
        <w:rPr>
          <w:rFonts w:ascii="Times New Roman" w:eastAsia="Times New Roman" w:hAnsi="Times New Roman" w:cs="Times New Roman"/>
          <w:color w:val="000000"/>
          <w:kern w:val="2"/>
          <w:szCs w:val="24"/>
          <w14:ligatures w14:val="standardContextual"/>
        </w:rPr>
        <w:t xml:space="preserve"> </w:t>
      </w:r>
    </w:p>
    <w:p w14:paraId="5ED5C072" w14:textId="77777777" w:rsidR="004D6392" w:rsidRPr="004D6392" w:rsidRDefault="004D6392" w:rsidP="004D6392">
      <w:pPr>
        <w:numPr>
          <w:ilvl w:val="0"/>
          <w:numId w:val="30"/>
        </w:numPr>
        <w:spacing w:before="0" w:after="5" w:line="248" w:lineRule="auto"/>
        <w:ind w:right="4" w:hanging="10"/>
        <w:jc w:val="both"/>
        <w:rPr>
          <w:rFonts w:ascii="Times New Roman" w:eastAsia="Times New Roman" w:hAnsi="Times New Roman" w:cs="Times New Roman"/>
          <w:color w:val="000000"/>
          <w:kern w:val="2"/>
          <w:szCs w:val="24"/>
          <w14:ligatures w14:val="standardContextual"/>
        </w:rPr>
      </w:pPr>
      <w:r w:rsidRPr="004D6392">
        <w:rPr>
          <w:rFonts w:ascii="Times New Roman" w:eastAsia="Times New Roman" w:hAnsi="Times New Roman" w:cs="Times New Roman"/>
          <w:color w:val="000000"/>
          <w:kern w:val="2"/>
          <w:szCs w:val="24"/>
          <w:u w:val="single" w:color="000000"/>
          <w14:ligatures w14:val="standardContextual"/>
        </w:rPr>
        <w:t>Firebrand ignition probability</w:t>
      </w:r>
      <w:r w:rsidRPr="004D6392">
        <w:rPr>
          <w:rFonts w:ascii="Times New Roman" w:eastAsia="Times New Roman" w:hAnsi="Times New Roman" w:cs="Times New Roman"/>
          <w:color w:val="000000"/>
          <w:kern w:val="2"/>
          <w:szCs w:val="24"/>
          <w14:ligatures w14:val="standardContextual"/>
        </w:rPr>
        <w:t xml:space="preserve">. This is the NFDRS Ignition Component (IC), an estimate of the probability that a firebrand making contact with a receptive fuel bed would result in a fire requiring suppression. It is useful for estimating the likelihood that small metallic or woody particles generated by powerline interactions could ignite a fire.  </w:t>
      </w:r>
    </w:p>
    <w:p w14:paraId="4944AD9B" w14:textId="77777777" w:rsidR="004D6392" w:rsidRPr="004D6392" w:rsidRDefault="004D6392" w:rsidP="004D6392">
      <w:pPr>
        <w:spacing w:before="0" w:after="0" w:line="259" w:lineRule="auto"/>
        <w:rPr>
          <w:rFonts w:ascii="Times New Roman" w:eastAsia="Times New Roman" w:hAnsi="Times New Roman" w:cs="Times New Roman"/>
          <w:color w:val="000000"/>
          <w:kern w:val="2"/>
          <w:szCs w:val="24"/>
          <w14:ligatures w14:val="standardContextual"/>
        </w:rPr>
      </w:pPr>
      <w:r w:rsidRPr="004D6392">
        <w:rPr>
          <w:rFonts w:ascii="Times New Roman" w:eastAsia="Times New Roman" w:hAnsi="Times New Roman" w:cs="Times New Roman"/>
          <w:color w:val="000000"/>
          <w:kern w:val="2"/>
          <w:szCs w:val="24"/>
          <w14:ligatures w14:val="standardContextual"/>
        </w:rPr>
        <w:t xml:space="preserve"> </w:t>
      </w:r>
    </w:p>
    <w:p w14:paraId="6AC4E521" w14:textId="77777777" w:rsidR="004D6392" w:rsidRPr="004D6392" w:rsidRDefault="004D6392" w:rsidP="004D6392">
      <w:pPr>
        <w:numPr>
          <w:ilvl w:val="0"/>
          <w:numId w:val="30"/>
        </w:numPr>
        <w:spacing w:before="0" w:after="5" w:line="248" w:lineRule="auto"/>
        <w:ind w:right="4" w:hanging="10"/>
        <w:jc w:val="both"/>
        <w:rPr>
          <w:rFonts w:ascii="Times New Roman" w:eastAsia="Times New Roman" w:hAnsi="Times New Roman" w:cs="Times New Roman"/>
          <w:color w:val="000000"/>
          <w:kern w:val="2"/>
          <w:szCs w:val="24"/>
          <w14:ligatures w14:val="standardContextual"/>
        </w:rPr>
      </w:pPr>
      <w:r w:rsidRPr="004D6392">
        <w:rPr>
          <w:rFonts w:ascii="Times New Roman" w:eastAsia="Times New Roman" w:hAnsi="Times New Roman" w:cs="Times New Roman"/>
          <w:color w:val="000000"/>
          <w:kern w:val="2"/>
          <w:szCs w:val="24"/>
          <w:u w:val="single" w:color="000000"/>
          <w14:ligatures w14:val="standardContextual"/>
        </w:rPr>
        <w:t>CRI</w:t>
      </w:r>
      <w:r w:rsidRPr="004D6392">
        <w:rPr>
          <w:rFonts w:ascii="Times New Roman" w:eastAsia="Times New Roman" w:hAnsi="Times New Roman" w:cs="Times New Roman"/>
          <w:color w:val="000000"/>
          <w:kern w:val="2"/>
          <w:szCs w:val="24"/>
          <w14:ligatures w14:val="standardContextual"/>
        </w:rPr>
        <w:t xml:space="preserve">. This is the CRI described above in the Forecast Summary Tables section. In this panel, the CRI is not normalized by its threshold and the 80%, 90%, and 100% threshold lines are indicated on the plot. </w:t>
      </w:r>
    </w:p>
    <w:p w14:paraId="1E970A51" w14:textId="77777777" w:rsidR="004D6392" w:rsidRPr="004D6392" w:rsidRDefault="004D6392" w:rsidP="004D6392">
      <w:pPr>
        <w:spacing w:before="0" w:after="0" w:line="259" w:lineRule="auto"/>
        <w:rPr>
          <w:rFonts w:ascii="Times New Roman" w:eastAsia="Times New Roman" w:hAnsi="Times New Roman" w:cs="Times New Roman"/>
          <w:color w:val="000000"/>
          <w:kern w:val="2"/>
          <w:szCs w:val="24"/>
          <w14:ligatures w14:val="standardContextual"/>
        </w:rPr>
      </w:pPr>
      <w:r w:rsidRPr="004D6392">
        <w:rPr>
          <w:rFonts w:ascii="Times New Roman" w:eastAsia="Times New Roman" w:hAnsi="Times New Roman" w:cs="Times New Roman"/>
          <w:color w:val="000000"/>
          <w:kern w:val="2"/>
          <w:szCs w:val="24"/>
          <w14:ligatures w14:val="standardContextual"/>
        </w:rPr>
        <w:t xml:space="preserve"> </w:t>
      </w:r>
    </w:p>
    <w:p w14:paraId="23738B7C" w14:textId="77777777" w:rsidR="004D6392" w:rsidRPr="004D6392" w:rsidRDefault="004D6392" w:rsidP="004D6392">
      <w:pPr>
        <w:numPr>
          <w:ilvl w:val="0"/>
          <w:numId w:val="30"/>
        </w:numPr>
        <w:spacing w:before="0" w:after="5" w:line="248" w:lineRule="auto"/>
        <w:ind w:right="4" w:hanging="10"/>
        <w:jc w:val="both"/>
        <w:rPr>
          <w:rFonts w:ascii="Times New Roman" w:eastAsia="Times New Roman" w:hAnsi="Times New Roman" w:cs="Times New Roman"/>
          <w:color w:val="000000"/>
          <w:kern w:val="2"/>
          <w:szCs w:val="24"/>
          <w14:ligatures w14:val="standardContextual"/>
        </w:rPr>
      </w:pPr>
      <w:r w:rsidRPr="004D6392">
        <w:rPr>
          <w:rFonts w:ascii="Times New Roman" w:eastAsia="Times New Roman" w:hAnsi="Times New Roman" w:cs="Times New Roman"/>
          <w:color w:val="000000"/>
          <w:kern w:val="2"/>
          <w:szCs w:val="24"/>
          <w:u w:val="single" w:color="000000"/>
          <w14:ligatures w14:val="standardContextual"/>
        </w:rPr>
        <w:t>Head fire flame length</w:t>
      </w:r>
      <w:r w:rsidRPr="004D6392">
        <w:rPr>
          <w:rFonts w:ascii="Times New Roman" w:eastAsia="Times New Roman" w:hAnsi="Times New Roman" w:cs="Times New Roman"/>
          <w:color w:val="000000"/>
          <w:kern w:val="2"/>
          <w:szCs w:val="24"/>
          <w14:ligatures w14:val="standardContextual"/>
        </w:rPr>
        <w:t>. This is the modeled average head fire flame length. It is calculated from the Rothermel fire behavior model as implemented in the fire model ELMFIRE</w:t>
      </w:r>
      <w:r w:rsidRPr="004D6392">
        <w:rPr>
          <w:rFonts w:ascii="Times New Roman" w:eastAsia="Times New Roman" w:hAnsi="Times New Roman" w:cs="Times New Roman"/>
          <w:color w:val="000000"/>
          <w:kern w:val="2"/>
          <w:szCs w:val="24"/>
          <w:vertAlign w:val="superscript"/>
          <w14:ligatures w14:val="standardContextual"/>
        </w:rPr>
        <w:t>3</w:t>
      </w:r>
      <w:r w:rsidRPr="004D6392">
        <w:rPr>
          <w:rFonts w:ascii="Times New Roman" w:eastAsia="Times New Roman" w:hAnsi="Times New Roman" w:cs="Times New Roman"/>
          <w:color w:val="000000"/>
          <w:kern w:val="2"/>
          <w:szCs w:val="24"/>
          <w14:ligatures w14:val="standardContextual"/>
        </w:rPr>
        <w:t xml:space="preserve">. Flame length is directly related to resistance to control and is also viewed as a proxy for fire consequence. </w:t>
      </w:r>
    </w:p>
    <w:p w14:paraId="22BAE785" w14:textId="77777777" w:rsidR="004D6392" w:rsidRPr="004D6392" w:rsidRDefault="004D6392" w:rsidP="004D6392">
      <w:pPr>
        <w:spacing w:before="0" w:after="0" w:line="259" w:lineRule="auto"/>
        <w:rPr>
          <w:rFonts w:ascii="Times New Roman" w:eastAsia="Times New Roman" w:hAnsi="Times New Roman" w:cs="Times New Roman"/>
          <w:color w:val="000000"/>
          <w:kern w:val="2"/>
          <w:szCs w:val="24"/>
          <w14:ligatures w14:val="standardContextual"/>
        </w:rPr>
      </w:pPr>
      <w:r w:rsidRPr="004D6392">
        <w:rPr>
          <w:rFonts w:ascii="Times New Roman" w:eastAsia="Times New Roman" w:hAnsi="Times New Roman" w:cs="Times New Roman"/>
          <w:color w:val="000000"/>
          <w:kern w:val="2"/>
          <w:szCs w:val="24"/>
          <w14:ligatures w14:val="standardContextual"/>
        </w:rPr>
        <w:t xml:space="preserve"> </w:t>
      </w:r>
    </w:p>
    <w:p w14:paraId="77509A20" w14:textId="77777777" w:rsidR="004D6392" w:rsidRPr="004D6392" w:rsidRDefault="004D6392" w:rsidP="004D6392">
      <w:pPr>
        <w:spacing w:before="0" w:after="5" w:line="248" w:lineRule="auto"/>
        <w:ind w:left="10" w:hanging="10"/>
        <w:jc w:val="both"/>
        <w:rPr>
          <w:rFonts w:ascii="Times New Roman" w:eastAsia="Times New Roman" w:hAnsi="Times New Roman" w:cs="Times New Roman"/>
          <w:color w:val="000000"/>
          <w:kern w:val="2"/>
          <w:szCs w:val="24"/>
          <w14:ligatures w14:val="standardContextual"/>
        </w:rPr>
      </w:pPr>
      <w:r w:rsidRPr="004D6392">
        <w:rPr>
          <w:rFonts w:ascii="Times New Roman" w:eastAsia="Times New Roman" w:hAnsi="Times New Roman" w:cs="Times New Roman"/>
          <w:color w:val="000000"/>
          <w:kern w:val="2"/>
          <w:szCs w:val="24"/>
          <w14:ligatures w14:val="standardContextual"/>
        </w:rPr>
        <w:t xml:space="preserve">The fire weather summary plots are updated four times per day, at approximately 00:45, 06:45, 12:45, and 18:45 PDT. Four panels (FFWI, wind gust, sustained wind speed, and firebrand ignition probability) include data from 7 different weather models. Flame length is calculated from a “hybrid” forecast (described below), and CRI is calculated from </w:t>
      </w:r>
      <w:r w:rsidRPr="004D6392">
        <w:rPr>
          <w:rFonts w:ascii="Times New Roman" w:eastAsia="Times New Roman" w:hAnsi="Times New Roman" w:cs="Times New Roman"/>
          <w:color w:val="000000"/>
          <w:kern w:val="2"/>
          <w:szCs w:val="24"/>
          <w14:ligatures w14:val="standardContextual"/>
        </w:rPr>
        <w:lastRenderedPageBreak/>
        <w:t xml:space="preserve">the hybrid forecast as well as the hybrid forecast plus the wind gust forecast from the ECMWF weather model, described in greater detail below. </w:t>
      </w:r>
    </w:p>
    <w:p w14:paraId="6A35C265" w14:textId="77777777" w:rsidR="004D6392" w:rsidRPr="004D6392" w:rsidRDefault="004D6392" w:rsidP="004D6392">
      <w:pPr>
        <w:spacing w:before="0" w:after="0" w:line="259" w:lineRule="auto"/>
        <w:rPr>
          <w:rFonts w:ascii="Times New Roman" w:eastAsia="Times New Roman" w:hAnsi="Times New Roman" w:cs="Times New Roman"/>
          <w:color w:val="000000"/>
          <w:kern w:val="2"/>
          <w:szCs w:val="24"/>
          <w14:ligatures w14:val="standardContextual"/>
        </w:rPr>
      </w:pPr>
      <w:r w:rsidRPr="004D6392">
        <w:rPr>
          <w:rFonts w:ascii="Times New Roman" w:eastAsia="Times New Roman" w:hAnsi="Times New Roman" w:cs="Times New Roman"/>
          <w:color w:val="000000"/>
          <w:kern w:val="2"/>
          <w:szCs w:val="24"/>
          <w14:ligatures w14:val="standardContextual"/>
        </w:rPr>
        <w:t xml:space="preserve"> </w:t>
      </w:r>
    </w:p>
    <w:p w14:paraId="2B6F97CD" w14:textId="77777777" w:rsidR="004D6392" w:rsidRPr="004D6392" w:rsidRDefault="004D6392" w:rsidP="004D6392">
      <w:pPr>
        <w:keepNext/>
        <w:keepLines/>
        <w:spacing w:before="0" w:after="0" w:line="259" w:lineRule="auto"/>
        <w:outlineLvl w:val="0"/>
        <w:rPr>
          <w:rFonts w:ascii="Times New Roman" w:eastAsia="Times New Roman" w:hAnsi="Times New Roman" w:cs="Times New Roman"/>
          <w:b/>
          <w:color w:val="000000"/>
          <w:kern w:val="2"/>
          <w:szCs w:val="24"/>
          <w14:ligatures w14:val="standardContextual"/>
        </w:rPr>
      </w:pPr>
      <w:r w:rsidRPr="004D6392">
        <w:rPr>
          <w:rFonts w:ascii="Times New Roman" w:eastAsia="Times New Roman" w:hAnsi="Times New Roman" w:cs="Times New Roman"/>
          <w:b/>
          <w:color w:val="000000"/>
          <w:kern w:val="2"/>
          <w:sz w:val="22"/>
          <w:szCs w:val="24"/>
          <w14:ligatures w14:val="standardContextual"/>
        </w:rPr>
        <w:t xml:space="preserve">Weather Forecast Models used in FWD </w:t>
      </w:r>
    </w:p>
    <w:p w14:paraId="731F57A8" w14:textId="77777777" w:rsidR="004D6392" w:rsidRPr="004D6392" w:rsidRDefault="004D6392" w:rsidP="004D6392">
      <w:pPr>
        <w:spacing w:before="0" w:after="0" w:line="259" w:lineRule="auto"/>
        <w:rPr>
          <w:rFonts w:ascii="Times New Roman" w:eastAsia="Times New Roman" w:hAnsi="Times New Roman" w:cs="Times New Roman"/>
          <w:color w:val="000000"/>
          <w:kern w:val="2"/>
          <w:szCs w:val="24"/>
          <w14:ligatures w14:val="standardContextual"/>
        </w:rPr>
      </w:pPr>
      <w:r w:rsidRPr="004D6392">
        <w:rPr>
          <w:rFonts w:ascii="Times New Roman" w:eastAsia="Times New Roman" w:hAnsi="Times New Roman" w:cs="Times New Roman"/>
          <w:color w:val="000000"/>
          <w:kern w:val="2"/>
          <w:sz w:val="22"/>
          <w:szCs w:val="24"/>
          <w14:ligatures w14:val="standardContextual"/>
        </w:rPr>
        <w:t xml:space="preserve"> </w:t>
      </w:r>
    </w:p>
    <w:p w14:paraId="1472AD1D" w14:textId="77777777" w:rsidR="004D6392" w:rsidRPr="004D6392" w:rsidRDefault="004D6392" w:rsidP="004D6392">
      <w:pPr>
        <w:spacing w:before="0" w:after="5" w:line="248" w:lineRule="auto"/>
        <w:ind w:left="10" w:hanging="10"/>
        <w:jc w:val="both"/>
        <w:rPr>
          <w:rFonts w:ascii="Times New Roman" w:eastAsia="Times New Roman" w:hAnsi="Times New Roman" w:cs="Times New Roman"/>
          <w:color w:val="000000"/>
          <w:kern w:val="2"/>
          <w:szCs w:val="24"/>
          <w14:ligatures w14:val="standardContextual"/>
        </w:rPr>
      </w:pPr>
      <w:r w:rsidRPr="004D6392">
        <w:rPr>
          <w:rFonts w:ascii="Times New Roman" w:eastAsia="Times New Roman" w:hAnsi="Times New Roman" w:cs="Times New Roman"/>
          <w:color w:val="000000"/>
          <w:kern w:val="2"/>
          <w:szCs w:val="24"/>
          <w14:ligatures w14:val="standardContextual"/>
        </w:rPr>
        <w:t xml:space="preserve">Data in the fire weather summary plots are obtained from 7 operational weather forecast models. These industry standard weather models are widely-used and understood in the meteorological, atmospheric sciences, and fire science communities. Background information on these models is beyond the scope of this document and can be obtained from the organizations that maintain and operate them. The seven models used in the FWD, along with their spatial resolution and forecast duration as used in the FWD, are: </w:t>
      </w:r>
    </w:p>
    <w:p w14:paraId="0E67E65D" w14:textId="77777777" w:rsidR="004D6392" w:rsidRPr="004D6392" w:rsidRDefault="004D6392" w:rsidP="004D6392">
      <w:pPr>
        <w:spacing w:before="0" w:after="0" w:line="259" w:lineRule="auto"/>
        <w:rPr>
          <w:rFonts w:ascii="Times New Roman" w:eastAsia="Times New Roman" w:hAnsi="Times New Roman" w:cs="Times New Roman"/>
          <w:color w:val="000000"/>
          <w:kern w:val="2"/>
          <w:szCs w:val="24"/>
          <w14:ligatures w14:val="standardContextual"/>
        </w:rPr>
      </w:pPr>
      <w:r w:rsidRPr="004D6392">
        <w:rPr>
          <w:rFonts w:ascii="Times New Roman" w:eastAsia="Times New Roman" w:hAnsi="Times New Roman" w:cs="Times New Roman"/>
          <w:color w:val="000000"/>
          <w:kern w:val="2"/>
          <w:szCs w:val="24"/>
          <w14:ligatures w14:val="standardContextual"/>
        </w:rPr>
        <w:t xml:space="preserve"> </w:t>
      </w:r>
    </w:p>
    <w:p w14:paraId="42FD336F" w14:textId="77777777" w:rsidR="004D6392" w:rsidRPr="004D6392" w:rsidRDefault="004D6392" w:rsidP="004D6392">
      <w:pPr>
        <w:numPr>
          <w:ilvl w:val="0"/>
          <w:numId w:val="31"/>
        </w:numPr>
        <w:spacing w:before="0" w:after="5" w:line="248" w:lineRule="auto"/>
        <w:ind w:right="4" w:hanging="10"/>
        <w:jc w:val="both"/>
        <w:rPr>
          <w:rFonts w:ascii="Times New Roman" w:eastAsia="Times New Roman" w:hAnsi="Times New Roman" w:cs="Times New Roman"/>
          <w:color w:val="000000"/>
          <w:kern w:val="2"/>
          <w:szCs w:val="24"/>
          <w14:ligatures w14:val="standardContextual"/>
        </w:rPr>
      </w:pPr>
      <w:r w:rsidRPr="004D6392">
        <w:rPr>
          <w:rFonts w:ascii="Times New Roman" w:eastAsia="Times New Roman" w:hAnsi="Times New Roman" w:cs="Times New Roman"/>
          <w:color w:val="000000"/>
          <w:kern w:val="2"/>
          <w:szCs w:val="24"/>
          <w14:ligatures w14:val="standardContextual"/>
        </w:rPr>
        <w:t xml:space="preserve">ECMWF:  European Center for Medium-Range Weather Forecasts HIRES forecast (0.1°, 8 days).  </w:t>
      </w:r>
    </w:p>
    <w:p w14:paraId="06AB0544" w14:textId="77777777" w:rsidR="004D6392" w:rsidRPr="004D6392" w:rsidRDefault="004D6392" w:rsidP="004D6392">
      <w:pPr>
        <w:numPr>
          <w:ilvl w:val="0"/>
          <w:numId w:val="31"/>
        </w:numPr>
        <w:spacing w:before="0" w:after="5" w:line="248" w:lineRule="auto"/>
        <w:ind w:right="4" w:hanging="10"/>
        <w:jc w:val="both"/>
        <w:rPr>
          <w:rFonts w:ascii="Times New Roman" w:eastAsia="Times New Roman" w:hAnsi="Times New Roman" w:cs="Times New Roman"/>
          <w:color w:val="000000"/>
          <w:kern w:val="2"/>
          <w:szCs w:val="24"/>
          <w14:ligatures w14:val="standardContextual"/>
        </w:rPr>
      </w:pPr>
      <w:r w:rsidRPr="004D6392">
        <w:rPr>
          <w:rFonts w:ascii="Times New Roman" w:eastAsia="Times New Roman" w:hAnsi="Times New Roman" w:cs="Times New Roman"/>
          <w:color w:val="000000"/>
          <w:kern w:val="2"/>
          <w:szCs w:val="24"/>
          <w14:ligatures w14:val="standardContextual"/>
        </w:rPr>
        <w:t xml:space="preserve">HRRR:  High Resolution Rapid Refresh (3 km, 48 hours) </w:t>
      </w:r>
    </w:p>
    <w:p w14:paraId="69F5B04E" w14:textId="77777777" w:rsidR="004D6392" w:rsidRPr="004D6392" w:rsidRDefault="004D6392" w:rsidP="004D6392">
      <w:pPr>
        <w:numPr>
          <w:ilvl w:val="0"/>
          <w:numId w:val="31"/>
        </w:numPr>
        <w:spacing w:before="0" w:after="5" w:line="248" w:lineRule="auto"/>
        <w:ind w:right="4" w:hanging="10"/>
        <w:jc w:val="both"/>
        <w:rPr>
          <w:rFonts w:ascii="Times New Roman" w:eastAsia="Times New Roman" w:hAnsi="Times New Roman" w:cs="Times New Roman"/>
          <w:color w:val="000000"/>
          <w:kern w:val="2"/>
          <w:szCs w:val="24"/>
          <w14:ligatures w14:val="standardContextual"/>
        </w:rPr>
      </w:pPr>
      <w:r w:rsidRPr="004D6392">
        <w:rPr>
          <w:rFonts w:ascii="Times New Roman" w:eastAsia="Times New Roman" w:hAnsi="Times New Roman" w:cs="Times New Roman"/>
          <w:color w:val="000000"/>
          <w:kern w:val="2"/>
          <w:szCs w:val="24"/>
          <w14:ligatures w14:val="standardContextual"/>
        </w:rPr>
        <w:t xml:space="preserve">NAM 3 km:  North American Mesoscale Model nest (3 km, 60 hrs) </w:t>
      </w:r>
    </w:p>
    <w:p w14:paraId="11799FCB" w14:textId="77777777" w:rsidR="004D6392" w:rsidRPr="004D6392" w:rsidRDefault="004D6392" w:rsidP="004D6392">
      <w:pPr>
        <w:numPr>
          <w:ilvl w:val="0"/>
          <w:numId w:val="31"/>
        </w:numPr>
        <w:spacing w:before="0" w:after="5" w:line="248" w:lineRule="auto"/>
        <w:ind w:right="4" w:hanging="10"/>
        <w:jc w:val="both"/>
        <w:rPr>
          <w:rFonts w:ascii="Times New Roman" w:eastAsia="Times New Roman" w:hAnsi="Times New Roman" w:cs="Times New Roman"/>
          <w:color w:val="000000"/>
          <w:kern w:val="2"/>
          <w:szCs w:val="24"/>
          <w14:ligatures w14:val="standardContextual"/>
        </w:rPr>
      </w:pPr>
      <w:r w:rsidRPr="004D6392">
        <w:rPr>
          <w:rFonts w:ascii="Times New Roman" w:eastAsia="Times New Roman" w:hAnsi="Times New Roman" w:cs="Times New Roman"/>
          <w:color w:val="000000"/>
          <w:kern w:val="2"/>
          <w:szCs w:val="24"/>
          <w14:ligatures w14:val="standardContextual"/>
        </w:rPr>
        <w:t xml:space="preserve">NAM 12 km:  North American Mesoscale Model (12 km, 84 hrs) </w:t>
      </w:r>
    </w:p>
    <w:p w14:paraId="01F3E11A" w14:textId="77777777" w:rsidR="004D6392" w:rsidRPr="004D6392" w:rsidRDefault="004D6392" w:rsidP="004D6392">
      <w:pPr>
        <w:numPr>
          <w:ilvl w:val="0"/>
          <w:numId w:val="31"/>
        </w:numPr>
        <w:spacing w:before="0" w:after="5" w:line="248" w:lineRule="auto"/>
        <w:ind w:right="4" w:hanging="10"/>
        <w:jc w:val="both"/>
        <w:rPr>
          <w:rFonts w:ascii="Times New Roman" w:eastAsia="Times New Roman" w:hAnsi="Times New Roman" w:cs="Times New Roman"/>
          <w:color w:val="000000"/>
          <w:kern w:val="2"/>
          <w:szCs w:val="24"/>
          <w14:ligatures w14:val="standardContextual"/>
        </w:rPr>
      </w:pPr>
      <w:r w:rsidRPr="004D6392">
        <w:rPr>
          <w:rFonts w:ascii="Times New Roman" w:eastAsia="Times New Roman" w:hAnsi="Times New Roman" w:cs="Times New Roman"/>
          <w:color w:val="000000"/>
          <w:kern w:val="2"/>
          <w:szCs w:val="24"/>
          <w14:ligatures w14:val="standardContextual"/>
        </w:rPr>
        <w:t xml:space="preserve">GFS 0.125°: Global Forecast System (0.125°, 8 days) </w:t>
      </w:r>
    </w:p>
    <w:p w14:paraId="040F5853" w14:textId="77777777" w:rsidR="004D6392" w:rsidRPr="004D6392" w:rsidRDefault="004D6392" w:rsidP="004D6392">
      <w:pPr>
        <w:numPr>
          <w:ilvl w:val="0"/>
          <w:numId w:val="31"/>
        </w:numPr>
        <w:spacing w:before="0" w:after="5" w:line="248" w:lineRule="auto"/>
        <w:ind w:right="4" w:hanging="10"/>
        <w:jc w:val="both"/>
        <w:rPr>
          <w:rFonts w:ascii="Times New Roman" w:eastAsia="Times New Roman" w:hAnsi="Times New Roman" w:cs="Times New Roman"/>
          <w:color w:val="000000"/>
          <w:kern w:val="2"/>
          <w:szCs w:val="24"/>
          <w14:ligatures w14:val="standardContextual"/>
        </w:rPr>
      </w:pPr>
      <w:r w:rsidRPr="004D6392">
        <w:rPr>
          <w:rFonts w:ascii="Times New Roman" w:eastAsia="Times New Roman" w:hAnsi="Times New Roman" w:cs="Times New Roman"/>
          <w:color w:val="000000"/>
          <w:kern w:val="2"/>
          <w:szCs w:val="24"/>
          <w14:ligatures w14:val="standardContextual"/>
        </w:rPr>
        <w:t xml:space="preserve">GFS 0.125°: Global Forecast System (0.25°, 8 days) </w:t>
      </w:r>
    </w:p>
    <w:p w14:paraId="5BBC0C45" w14:textId="77777777" w:rsidR="004D6392" w:rsidRPr="004D6392" w:rsidRDefault="004D6392" w:rsidP="004D6392">
      <w:pPr>
        <w:numPr>
          <w:ilvl w:val="0"/>
          <w:numId w:val="31"/>
        </w:numPr>
        <w:spacing w:before="0" w:after="5" w:line="248" w:lineRule="auto"/>
        <w:ind w:right="4" w:hanging="10"/>
        <w:jc w:val="both"/>
        <w:rPr>
          <w:rFonts w:ascii="Times New Roman" w:eastAsia="Times New Roman" w:hAnsi="Times New Roman" w:cs="Times New Roman"/>
          <w:color w:val="000000"/>
          <w:kern w:val="2"/>
          <w:szCs w:val="24"/>
          <w14:ligatures w14:val="standardContextual"/>
        </w:rPr>
      </w:pPr>
      <w:r w:rsidRPr="004D6392">
        <w:rPr>
          <w:rFonts w:ascii="Times New Roman" w:eastAsia="Times New Roman" w:hAnsi="Times New Roman" w:cs="Times New Roman"/>
          <w:color w:val="000000"/>
          <w:kern w:val="2"/>
          <w:szCs w:val="24"/>
          <w14:ligatures w14:val="standardContextual"/>
        </w:rPr>
        <w:t xml:space="preserve">NBM:  National Blend of Models (2.5 km, 8 days) </w:t>
      </w:r>
    </w:p>
    <w:p w14:paraId="582F92AA" w14:textId="77777777" w:rsidR="004D6392" w:rsidRPr="004D6392" w:rsidRDefault="004D6392" w:rsidP="004D6392">
      <w:pPr>
        <w:spacing w:before="0" w:after="251" w:line="259" w:lineRule="auto"/>
        <w:rPr>
          <w:rFonts w:ascii="Times New Roman" w:eastAsia="Times New Roman" w:hAnsi="Times New Roman" w:cs="Times New Roman"/>
          <w:color w:val="000000"/>
          <w:kern w:val="2"/>
          <w:szCs w:val="24"/>
          <w14:ligatures w14:val="standardContextual"/>
        </w:rPr>
      </w:pPr>
      <w:r w:rsidRPr="004D6392">
        <w:rPr>
          <w:rFonts w:ascii="Times New Roman" w:eastAsia="Times New Roman" w:hAnsi="Times New Roman" w:cs="Times New Roman"/>
          <w:color w:val="000000"/>
          <w:kern w:val="2"/>
          <w:szCs w:val="24"/>
          <w14:ligatures w14:val="standardContextual"/>
        </w:rPr>
        <w:t xml:space="preserve"> </w:t>
      </w:r>
    </w:p>
    <w:p w14:paraId="341A6BFC" w14:textId="77777777" w:rsidR="004D6392" w:rsidRPr="004D6392" w:rsidRDefault="004D6392" w:rsidP="004D6392">
      <w:pPr>
        <w:spacing w:before="0" w:after="0" w:line="216" w:lineRule="auto"/>
        <w:ind w:right="6430"/>
        <w:rPr>
          <w:rFonts w:ascii="Times New Roman" w:eastAsia="Times New Roman" w:hAnsi="Times New Roman" w:cs="Times New Roman"/>
          <w:color w:val="000000"/>
          <w:kern w:val="2"/>
          <w:szCs w:val="24"/>
          <w14:ligatures w14:val="standardContextual"/>
        </w:rPr>
      </w:pPr>
      <w:r w:rsidRPr="004D6392">
        <w:rPr>
          <w:rFonts w:ascii="Calibri" w:eastAsia="Calibri" w:hAnsi="Calibri" w:cs="Calibri"/>
          <w:noProof/>
          <w:color w:val="000000"/>
          <w:kern w:val="2"/>
          <w:sz w:val="22"/>
          <w:szCs w:val="24"/>
          <w14:ligatures w14:val="standardContextual"/>
        </w:rPr>
        <mc:AlternateContent>
          <mc:Choice Requires="wpg">
            <w:drawing>
              <wp:inline distT="0" distB="0" distL="0" distR="0" wp14:anchorId="6FD1FBD0" wp14:editId="65B657B1">
                <wp:extent cx="1828800" cy="6858"/>
                <wp:effectExtent l="0" t="0" r="0" b="0"/>
                <wp:docPr id="3306" name="Group 3306"/>
                <wp:cNvGraphicFramePr/>
                <a:graphic xmlns:a="http://schemas.openxmlformats.org/drawingml/2006/main">
                  <a:graphicData uri="http://schemas.microsoft.com/office/word/2010/wordprocessingGroup">
                    <wpg:wgp>
                      <wpg:cNvGrpSpPr/>
                      <wpg:grpSpPr>
                        <a:xfrm>
                          <a:off x="0" y="0"/>
                          <a:ext cx="1828800" cy="6858"/>
                          <a:chOff x="0" y="0"/>
                          <a:chExt cx="1828800" cy="6858"/>
                        </a:xfrm>
                      </wpg:grpSpPr>
                      <wps:wsp>
                        <wps:cNvPr id="3767" name="Shape 376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7E3309FC" id="Group 3306" o:spid="_x0000_s1026" style="width:2in;height:.55pt;mso-position-horizontal-relative:char;mso-position-vertical-relative:line" coordsize="1828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18aNgIAAIEFAAAOAAAAZHJzL2Uyb0RvYy54bWykVE1v2zAMvQ/YfxB0X5xkXeIZcXpY11yG&#10;rUDbH6DIsi1AX5CUOPn3o5jYcVOgGDIfZEp6ovgeKa7uD1qRvfBBWlPS2WRKiTDcVtI0JX19efyS&#10;UxIiMxVT1oiSHkWg9+vPn1adK8TctlZVwhNwYkLRuZK2MboiywJvhWZhYp0wsFlbr1mEqW+yyrMO&#10;vGuVzafTRdZZXzlvuQgBVh9Om3SN/uta8PinroOIRJUUYos4ehy3aczWK1Y0nrlW8nMY7IYoNJMG&#10;Lh1cPbDIyM7Ld6605N4GW8cJtzqzdS25QA7AZja9YrPxdueQS1N0jRtkAmmvdLrZLf+933j37J48&#10;KNG5BrTAWeJyqL1Of4iSHFCy4yCZOETCYXGWz/N8Cspy2Fvk3/KTorwF2d8d4u3Pj45l/ZXZm0A6&#10;B6URLuzD/7F/bpkTKGoogP2TJ7Iq6dflYkmJYRpqFBEEV1AUxA0ShSKAWjfp8312d5f0GYiygu9C&#10;3AiLOrP9rxBPBVn1Fmt7ix9Mb3oo6w8L2rGYzqUgk0m6UaLakmIcaVPbvXixCItX2YIYL7vKjFFD&#10;zvtyAGyP6P8O/Y2RI/I9qP+fwFBE4PAfYfhyh3vBSDxR2YE7LI7VDVbJ6lEqlegG32x/KE/2LPUF&#10;/M6JeQNTJkmXqptBb6oVi/jIjU1+MFNaRuhfSmpQeL4ER2c3yqRrBHagU9qgqPvSSdbWVkd8dLgO&#10;9Q3Bp7KHd440zj0pNZLxHFGXzrn+CwAA//8DAFBLAwQUAAYACAAAACEATERrBdkAAAADAQAADwAA&#10;AGRycy9kb3ducmV2LnhtbEyPQUvDQBCF74L/YRnBm92kooSYTSlFPRXBVhBv0+w0Cc3Ohuw2Sf+9&#10;oxe9DDze4833itXsOjXSEFrPBtJFAoq48rbl2sDH/uUuAxUissXOMxm4UIBVeX1VYG79xO807mKt&#10;pIRDjgaaGPtc61A15DAsfE8s3tEPDqPIodZ2wEnKXaeXSfKoHbYsHxrsadNQddqdnYHXCaf1ffo8&#10;bk/HzeVr//D2uU3JmNubef0EKtIc/8Lwgy/oUArTwZ/ZBtUZkCHx94q3zDKRBwmloMtC/2cvvwEA&#10;AP//AwBQSwECLQAUAAYACAAAACEAtoM4kv4AAADhAQAAEwAAAAAAAAAAAAAAAAAAAAAAW0NvbnRl&#10;bnRfVHlwZXNdLnhtbFBLAQItABQABgAIAAAAIQA4/SH/1gAAAJQBAAALAAAAAAAAAAAAAAAAAC8B&#10;AABfcmVscy8ucmVsc1BLAQItABQABgAIAAAAIQBcp18aNgIAAIEFAAAOAAAAAAAAAAAAAAAAAC4C&#10;AABkcnMvZTJvRG9jLnhtbFBLAQItABQABgAIAAAAIQBMRGsF2QAAAAMBAAAPAAAAAAAAAAAAAAAA&#10;AJAEAABkcnMvZG93bnJldi54bWxQSwUGAAAAAAQABADzAAAAlgUAAAAA&#10;">
                <v:shape id="Shape 3767"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Q70xQAAAN0AAAAPAAAAZHJzL2Rvd25yZXYueG1sRI/RisIw&#10;FETfBf8hXGFfRNNVtNI1iiu74Itg1Q+4NHfbYnNTm2i7f28EwcdhZs4wy3VnKnGnxpWWFXyOIxDE&#10;mdUl5wrOp9/RAoTzyBory6TgnxysV/3eEhNtW07pfvS5CBB2CSoovK8TKV1WkEE3tjVx8P5sY9AH&#10;2eRSN9gGuKnkJIrm0mDJYaHAmrYFZZfjzShIry3Ntm54mPl9uUur4U/8vbgo9THoNl8gPHX+HX61&#10;d1rBNJ7H8HwTnoBcPQAAAP//AwBQSwECLQAUAAYACAAAACEA2+H2y+4AAACFAQAAEwAAAAAAAAAA&#10;AAAAAAAAAAAAW0NvbnRlbnRfVHlwZXNdLnhtbFBLAQItABQABgAIAAAAIQBa9CxbvwAAABUBAAAL&#10;AAAAAAAAAAAAAAAAAB8BAABfcmVscy8ucmVsc1BLAQItABQABgAIAAAAIQCtJQ70xQAAAN0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r w:rsidRPr="004D6392">
        <w:rPr>
          <w:rFonts w:ascii="Times New Roman" w:eastAsia="Times New Roman" w:hAnsi="Times New Roman" w:cs="Times New Roman"/>
          <w:color w:val="000000"/>
          <w:kern w:val="2"/>
          <w:sz w:val="22"/>
          <w:szCs w:val="24"/>
          <w14:ligatures w14:val="standardContextual"/>
        </w:rPr>
        <w:t xml:space="preserve"> </w:t>
      </w:r>
      <w:r w:rsidRPr="004D6392">
        <w:rPr>
          <w:rFonts w:ascii="Times New Roman" w:eastAsia="Times New Roman" w:hAnsi="Times New Roman" w:cs="Times New Roman"/>
          <w:color w:val="000000"/>
          <w:kern w:val="2"/>
          <w:sz w:val="14"/>
          <w:szCs w:val="24"/>
          <w14:ligatures w14:val="standardContextual"/>
        </w:rPr>
        <w:t xml:space="preserve">3 </w:t>
      </w:r>
      <w:r w:rsidRPr="004D6392">
        <w:rPr>
          <w:rFonts w:ascii="Times New Roman" w:eastAsia="Times New Roman" w:hAnsi="Times New Roman" w:cs="Times New Roman"/>
          <w:color w:val="000000"/>
          <w:kern w:val="2"/>
          <w:sz w:val="22"/>
          <w:szCs w:val="24"/>
          <w14:ligatures w14:val="standardContextual"/>
        </w:rPr>
        <w:t xml:space="preserve"> </w:t>
      </w:r>
      <w:r w:rsidRPr="004D6392">
        <w:rPr>
          <w:rFonts w:ascii="Times New Roman" w:eastAsia="Times New Roman" w:hAnsi="Times New Roman" w:cs="Times New Roman"/>
          <w:color w:val="000000"/>
          <w:kern w:val="2"/>
          <w:szCs w:val="24"/>
          <w14:ligatures w14:val="standardContextual"/>
        </w:rPr>
        <w:t>https://elmfire.io</w:t>
      </w:r>
      <w:r w:rsidRPr="004D6392">
        <w:rPr>
          <w:rFonts w:ascii="Times New Roman" w:eastAsia="Times New Roman" w:hAnsi="Times New Roman" w:cs="Times New Roman"/>
          <w:color w:val="000000"/>
          <w:kern w:val="2"/>
          <w:sz w:val="22"/>
          <w:szCs w:val="24"/>
          <w14:ligatures w14:val="standardContextual"/>
        </w:rPr>
        <w:t xml:space="preserve"> </w:t>
      </w:r>
    </w:p>
    <w:p w14:paraId="74AD6F6C" w14:textId="77777777" w:rsidR="004D6392" w:rsidRPr="004D6392" w:rsidRDefault="004D6392" w:rsidP="004D6392">
      <w:pPr>
        <w:spacing w:before="0" w:after="5" w:line="248" w:lineRule="auto"/>
        <w:ind w:left="10" w:hanging="10"/>
        <w:jc w:val="both"/>
        <w:rPr>
          <w:rFonts w:ascii="Times New Roman" w:eastAsia="Times New Roman" w:hAnsi="Times New Roman" w:cs="Times New Roman"/>
          <w:color w:val="000000"/>
          <w:kern w:val="2"/>
          <w:szCs w:val="24"/>
          <w14:ligatures w14:val="standardContextual"/>
        </w:rPr>
      </w:pPr>
      <w:r w:rsidRPr="004D6392">
        <w:rPr>
          <w:rFonts w:ascii="Times New Roman" w:eastAsia="Times New Roman" w:hAnsi="Times New Roman" w:cs="Times New Roman"/>
          <w:color w:val="000000"/>
          <w:kern w:val="2"/>
          <w:szCs w:val="24"/>
          <w14:ligatures w14:val="standardContextual"/>
        </w:rPr>
        <w:t>Particularly for wind gust forecasting, the high-resolution HRRR and NAM 3 km models are preferred for forecast durations less than 48 hours (HRRR) and 60 hours (NAM). After 60 hours, the NBM and ECMWF models are preferred for wind gust forecasting. For a geospatial view of these models, the PyreCast tool (</w:t>
      </w:r>
      <w:r w:rsidRPr="004D6392">
        <w:rPr>
          <w:rFonts w:ascii="Times New Roman" w:eastAsia="Times New Roman" w:hAnsi="Times New Roman" w:cs="Times New Roman"/>
          <w:color w:val="0000FF"/>
          <w:kern w:val="2"/>
          <w:szCs w:val="24"/>
          <w:u w:val="single" w:color="0000FF"/>
          <w14:ligatures w14:val="standardContextual"/>
        </w:rPr>
        <w:t>https://pyrecast.org</w:t>
      </w:r>
      <w:r w:rsidRPr="004D6392">
        <w:rPr>
          <w:rFonts w:ascii="Times New Roman" w:eastAsia="Times New Roman" w:hAnsi="Times New Roman" w:cs="Times New Roman"/>
          <w:color w:val="000000"/>
          <w:kern w:val="2"/>
          <w:szCs w:val="24"/>
          <w14:ligatures w14:val="standardContextual"/>
        </w:rPr>
        <w:t xml:space="preserve">) is recommended. CloudFire has developed and maintains the weather pipeline that powers FWD and PyreCast, so the same forecast data in the FWD can also be viewed geospatially in PyreCast.  </w:t>
      </w:r>
    </w:p>
    <w:p w14:paraId="3C986A03" w14:textId="77777777" w:rsidR="004D6392" w:rsidRPr="004D6392" w:rsidRDefault="004D6392" w:rsidP="004D6392">
      <w:pPr>
        <w:spacing w:before="0" w:after="0" w:line="259" w:lineRule="auto"/>
        <w:rPr>
          <w:rFonts w:ascii="Times New Roman" w:eastAsia="Times New Roman" w:hAnsi="Times New Roman" w:cs="Times New Roman"/>
          <w:color w:val="000000"/>
          <w:kern w:val="2"/>
          <w:szCs w:val="24"/>
          <w14:ligatures w14:val="standardContextual"/>
        </w:rPr>
      </w:pPr>
      <w:r w:rsidRPr="004D6392">
        <w:rPr>
          <w:rFonts w:ascii="Times New Roman" w:eastAsia="Times New Roman" w:hAnsi="Times New Roman" w:cs="Times New Roman"/>
          <w:color w:val="000000"/>
          <w:kern w:val="2"/>
          <w:szCs w:val="24"/>
          <w14:ligatures w14:val="standardContextual"/>
        </w:rPr>
        <w:t xml:space="preserve"> </w:t>
      </w:r>
    </w:p>
    <w:p w14:paraId="3E27BE98" w14:textId="77777777" w:rsidR="004D6392" w:rsidRPr="004D6392" w:rsidRDefault="004D6392" w:rsidP="004D6392">
      <w:pPr>
        <w:spacing w:before="0" w:after="5" w:line="248" w:lineRule="auto"/>
        <w:ind w:left="10" w:hanging="10"/>
        <w:jc w:val="both"/>
        <w:rPr>
          <w:rFonts w:ascii="Times New Roman" w:eastAsia="Times New Roman" w:hAnsi="Times New Roman" w:cs="Times New Roman"/>
          <w:color w:val="000000"/>
          <w:kern w:val="2"/>
          <w:szCs w:val="24"/>
          <w14:ligatures w14:val="standardContextual"/>
        </w:rPr>
      </w:pPr>
      <w:r w:rsidRPr="004D6392">
        <w:rPr>
          <w:rFonts w:ascii="Times New Roman" w:eastAsia="Times New Roman" w:hAnsi="Times New Roman" w:cs="Times New Roman"/>
          <w:color w:val="000000"/>
          <w:kern w:val="2"/>
          <w:szCs w:val="24"/>
          <w14:ligatures w14:val="standardContextual"/>
        </w:rPr>
        <w:t xml:space="preserve">Modeled flame length is calculated with ELMFIRE using a hybrid forecast constructed as follows: </w:t>
      </w:r>
    </w:p>
    <w:p w14:paraId="15C7AE54" w14:textId="77777777" w:rsidR="004D6392" w:rsidRPr="004D6392" w:rsidRDefault="004D6392" w:rsidP="004D6392">
      <w:pPr>
        <w:numPr>
          <w:ilvl w:val="0"/>
          <w:numId w:val="32"/>
        </w:numPr>
        <w:spacing w:before="0" w:after="5" w:line="248" w:lineRule="auto"/>
        <w:ind w:right="4" w:hanging="10"/>
        <w:jc w:val="both"/>
        <w:rPr>
          <w:rFonts w:ascii="Times New Roman" w:eastAsia="Times New Roman" w:hAnsi="Times New Roman" w:cs="Times New Roman"/>
          <w:color w:val="000000"/>
          <w:kern w:val="2"/>
          <w:szCs w:val="24"/>
          <w14:ligatures w14:val="standardContextual"/>
        </w:rPr>
      </w:pPr>
      <w:r w:rsidRPr="004D6392">
        <w:rPr>
          <w:rFonts w:ascii="Times New Roman" w:eastAsia="Times New Roman" w:hAnsi="Times New Roman" w:cs="Times New Roman"/>
          <w:color w:val="000000"/>
          <w:kern w:val="2"/>
          <w:szCs w:val="24"/>
          <w14:ligatures w14:val="standardContextual"/>
        </w:rPr>
        <w:t xml:space="preserve">0-48 hr:  Average of HRRR and NAM 3 km </w:t>
      </w:r>
    </w:p>
    <w:p w14:paraId="28778F94" w14:textId="77777777" w:rsidR="004D6392" w:rsidRPr="004D6392" w:rsidRDefault="004D6392" w:rsidP="004D6392">
      <w:pPr>
        <w:numPr>
          <w:ilvl w:val="0"/>
          <w:numId w:val="32"/>
        </w:numPr>
        <w:spacing w:before="0" w:after="5" w:line="248" w:lineRule="auto"/>
        <w:ind w:right="4" w:hanging="10"/>
        <w:jc w:val="both"/>
        <w:rPr>
          <w:rFonts w:ascii="Times New Roman" w:eastAsia="Times New Roman" w:hAnsi="Times New Roman" w:cs="Times New Roman"/>
          <w:color w:val="000000"/>
          <w:kern w:val="2"/>
          <w:szCs w:val="24"/>
          <w14:ligatures w14:val="standardContextual"/>
        </w:rPr>
      </w:pPr>
      <w:r w:rsidRPr="004D6392">
        <w:rPr>
          <w:rFonts w:ascii="Times New Roman" w:eastAsia="Times New Roman" w:hAnsi="Times New Roman" w:cs="Times New Roman"/>
          <w:color w:val="000000"/>
          <w:kern w:val="2"/>
          <w:szCs w:val="24"/>
          <w14:ligatures w14:val="standardContextual"/>
        </w:rPr>
        <w:t xml:space="preserve">49-60 hr:  NAM 3 km </w:t>
      </w:r>
    </w:p>
    <w:p w14:paraId="0DCBEA0D" w14:textId="77777777" w:rsidR="004D6392" w:rsidRPr="004D6392" w:rsidRDefault="004D6392" w:rsidP="004D6392">
      <w:pPr>
        <w:numPr>
          <w:ilvl w:val="0"/>
          <w:numId w:val="32"/>
        </w:numPr>
        <w:spacing w:before="0" w:after="5" w:line="248" w:lineRule="auto"/>
        <w:ind w:right="4" w:hanging="10"/>
        <w:jc w:val="both"/>
        <w:rPr>
          <w:rFonts w:ascii="Times New Roman" w:eastAsia="Times New Roman" w:hAnsi="Times New Roman" w:cs="Times New Roman"/>
          <w:color w:val="000000"/>
          <w:kern w:val="2"/>
          <w:szCs w:val="24"/>
          <w14:ligatures w14:val="standardContextual"/>
        </w:rPr>
      </w:pPr>
      <w:r w:rsidRPr="004D6392">
        <w:rPr>
          <w:rFonts w:ascii="Times New Roman" w:eastAsia="Times New Roman" w:hAnsi="Times New Roman" w:cs="Times New Roman"/>
          <w:color w:val="000000"/>
          <w:kern w:val="2"/>
          <w:szCs w:val="24"/>
          <w14:ligatures w14:val="standardContextual"/>
        </w:rPr>
        <w:t xml:space="preserve">&gt; 61 hr:  GFS 0.125° </w:t>
      </w:r>
    </w:p>
    <w:p w14:paraId="62DE9A8F" w14:textId="77777777" w:rsidR="004D6392" w:rsidRPr="004D6392" w:rsidRDefault="004D6392" w:rsidP="004D6392">
      <w:pPr>
        <w:spacing w:before="0" w:after="0" w:line="259" w:lineRule="auto"/>
        <w:rPr>
          <w:rFonts w:ascii="Times New Roman" w:eastAsia="Times New Roman" w:hAnsi="Times New Roman" w:cs="Times New Roman"/>
          <w:color w:val="000000"/>
          <w:kern w:val="2"/>
          <w:szCs w:val="24"/>
          <w14:ligatures w14:val="standardContextual"/>
        </w:rPr>
      </w:pPr>
      <w:r w:rsidRPr="004D6392">
        <w:rPr>
          <w:rFonts w:ascii="Times New Roman" w:eastAsia="Times New Roman" w:hAnsi="Times New Roman" w:cs="Times New Roman"/>
          <w:color w:val="000000"/>
          <w:kern w:val="2"/>
          <w:szCs w:val="24"/>
          <w14:ligatures w14:val="standardContextual"/>
        </w:rPr>
        <w:t xml:space="preserve"> </w:t>
      </w:r>
    </w:p>
    <w:p w14:paraId="10DC55BD" w14:textId="77777777" w:rsidR="004D6392" w:rsidRPr="004D6392" w:rsidRDefault="004D6392" w:rsidP="004D6392">
      <w:pPr>
        <w:spacing w:before="0" w:after="5" w:line="248" w:lineRule="auto"/>
        <w:ind w:left="10" w:hanging="10"/>
        <w:jc w:val="both"/>
        <w:rPr>
          <w:rFonts w:ascii="Times New Roman" w:eastAsia="Times New Roman" w:hAnsi="Times New Roman" w:cs="Times New Roman"/>
          <w:color w:val="000000"/>
          <w:kern w:val="2"/>
          <w:szCs w:val="24"/>
          <w14:ligatures w14:val="standardContextual"/>
        </w:rPr>
      </w:pPr>
      <w:r w:rsidRPr="004D6392">
        <w:rPr>
          <w:rFonts w:ascii="Times New Roman" w:eastAsia="Times New Roman" w:hAnsi="Times New Roman" w:cs="Times New Roman"/>
          <w:color w:val="000000"/>
          <w:kern w:val="2"/>
          <w:szCs w:val="24"/>
          <w14:ligatures w14:val="standardContextual"/>
        </w:rPr>
        <w:t>Due to the ECMWF model’s superior wind gust forecast skill relative to the GFS, the CRI is calculated using both the hybrid gust forecast (labeled “HRRR/NAM/GFS gust” in the CRI panel) and the ECMWF gust forecast (labeled  “ECMWF gust” in the CRI panel). Note that 1.0 degree of latitude is approximately 111 km, so the resolution of the 0.1° ECMWF forecast is 11.1 km.</w:t>
      </w:r>
    </w:p>
    <w:p w14:paraId="16D2D857" w14:textId="77777777" w:rsidR="008E40B0" w:rsidRDefault="008E40B0" w:rsidP="008E40B0">
      <w:pPr>
        <w:spacing w:after="0" w:line="259" w:lineRule="auto"/>
        <w:ind w:right="3"/>
        <w:jc w:val="center"/>
        <w:rPr>
          <w:rFonts w:ascii="Times New Roman" w:eastAsia="Times New Roman" w:hAnsi="Times New Roman" w:cs="Times New Roman"/>
          <w:b/>
        </w:rPr>
      </w:pPr>
    </w:p>
    <w:p w14:paraId="110EDF83" w14:textId="77777777" w:rsidR="008E40B0" w:rsidRDefault="008E40B0" w:rsidP="008E40B0">
      <w:pPr>
        <w:spacing w:after="0" w:line="259" w:lineRule="auto"/>
        <w:ind w:right="3"/>
        <w:jc w:val="center"/>
        <w:rPr>
          <w:rFonts w:ascii="Times New Roman" w:eastAsia="Times New Roman" w:hAnsi="Times New Roman" w:cs="Times New Roman"/>
          <w:b/>
        </w:rPr>
      </w:pPr>
    </w:p>
    <w:p w14:paraId="00DADCDE" w14:textId="77777777" w:rsidR="008E40B0" w:rsidRDefault="008E40B0" w:rsidP="008E40B0">
      <w:pPr>
        <w:spacing w:after="0" w:line="259" w:lineRule="auto"/>
        <w:ind w:right="3"/>
        <w:jc w:val="center"/>
        <w:rPr>
          <w:rFonts w:ascii="Times New Roman" w:eastAsia="Times New Roman" w:hAnsi="Times New Roman" w:cs="Times New Roman"/>
          <w:b/>
        </w:rPr>
      </w:pPr>
    </w:p>
    <w:p w14:paraId="3D6582B6" w14:textId="77777777" w:rsidR="008E40B0" w:rsidRDefault="008E40B0" w:rsidP="008E40B0">
      <w:pPr>
        <w:spacing w:after="0" w:line="259" w:lineRule="auto"/>
        <w:ind w:right="3"/>
        <w:jc w:val="center"/>
        <w:rPr>
          <w:rFonts w:ascii="Times New Roman" w:eastAsia="Times New Roman" w:hAnsi="Times New Roman" w:cs="Times New Roman"/>
          <w:b/>
        </w:rPr>
      </w:pPr>
    </w:p>
    <w:p w14:paraId="0BFD8FE6" w14:textId="77777777" w:rsidR="008E40B0" w:rsidRDefault="008E40B0" w:rsidP="008E40B0">
      <w:pPr>
        <w:spacing w:after="0" w:line="259" w:lineRule="auto"/>
        <w:ind w:right="3"/>
        <w:jc w:val="center"/>
        <w:rPr>
          <w:rFonts w:ascii="Times New Roman" w:eastAsia="Times New Roman" w:hAnsi="Times New Roman" w:cs="Times New Roman"/>
          <w:b/>
        </w:rPr>
      </w:pPr>
    </w:p>
    <w:p w14:paraId="347ADBBB" w14:textId="77777777" w:rsidR="008E40B0" w:rsidRDefault="008E40B0" w:rsidP="008E40B0">
      <w:pPr>
        <w:spacing w:after="0" w:line="259" w:lineRule="auto"/>
        <w:ind w:right="3"/>
        <w:jc w:val="center"/>
        <w:rPr>
          <w:rFonts w:ascii="Times New Roman" w:eastAsia="Times New Roman" w:hAnsi="Times New Roman" w:cs="Times New Roman"/>
          <w:b/>
        </w:rPr>
      </w:pPr>
    </w:p>
    <w:p w14:paraId="128C0AC2" w14:textId="77777777" w:rsidR="008E40B0" w:rsidRDefault="008E40B0" w:rsidP="008E40B0">
      <w:pPr>
        <w:spacing w:after="0" w:line="259" w:lineRule="auto"/>
        <w:ind w:right="3"/>
        <w:jc w:val="center"/>
        <w:rPr>
          <w:rFonts w:ascii="Times New Roman" w:eastAsia="Times New Roman" w:hAnsi="Times New Roman" w:cs="Times New Roman"/>
          <w:b/>
        </w:rPr>
      </w:pPr>
    </w:p>
    <w:p w14:paraId="18FAC8C7" w14:textId="77777777" w:rsidR="008E40B0" w:rsidRDefault="008E40B0" w:rsidP="008E40B0">
      <w:pPr>
        <w:spacing w:after="0" w:line="259" w:lineRule="auto"/>
        <w:ind w:right="3"/>
        <w:jc w:val="center"/>
        <w:rPr>
          <w:rFonts w:ascii="Times New Roman" w:eastAsia="Times New Roman" w:hAnsi="Times New Roman" w:cs="Times New Roman"/>
          <w:b/>
        </w:rPr>
      </w:pPr>
    </w:p>
    <w:p w14:paraId="4A7A551C" w14:textId="619E8254" w:rsidR="008E40B0" w:rsidRDefault="008E40B0" w:rsidP="008E40B0">
      <w:pPr>
        <w:spacing w:after="0" w:line="259" w:lineRule="auto"/>
        <w:ind w:right="3"/>
        <w:jc w:val="center"/>
      </w:pPr>
      <w:r>
        <w:rPr>
          <w:rFonts w:ascii="Times New Roman" w:eastAsia="Times New Roman" w:hAnsi="Times New Roman" w:cs="Times New Roman"/>
          <w:b/>
        </w:rPr>
        <w:lastRenderedPageBreak/>
        <w:t xml:space="preserve">Composite Risk Index (CRI) Overview </w:t>
      </w:r>
    </w:p>
    <w:p w14:paraId="521FDEA0" w14:textId="77777777" w:rsidR="008E40B0" w:rsidRDefault="008E40B0" w:rsidP="008E40B0">
      <w:pPr>
        <w:spacing w:after="0" w:line="259" w:lineRule="auto"/>
      </w:pPr>
      <w:r>
        <w:t xml:space="preserve"> </w:t>
      </w:r>
    </w:p>
    <w:p w14:paraId="124E703A" w14:textId="25AE8FFF" w:rsidR="008E40B0" w:rsidRDefault="008E40B0" w:rsidP="008E40B0">
      <w:pPr>
        <w:ind w:left="-5"/>
      </w:pPr>
      <w:r>
        <w:t>The Composite Risk Index (CRI) is a screening criterion that combines a function of wind gust (as a proxy for utility fire ignition likelihood) and flame length (as a proxy for fire consequence) into a single forecastable composite index. CRI is intended for use in implementation of incremental utility fire mitigation measures up to and including proactive de-energization / public safety power shutoff when weather and fuel conditions create elevated risk from powerline caused fires. CRI is defined as wind gust force (in units of lb/ft</w:t>
      </w:r>
      <w:r>
        <w:rPr>
          <w:vertAlign w:val="superscript"/>
        </w:rPr>
        <w:t>2</w:t>
      </w:r>
      <w:r>
        <w:t>) multiplied by 10 × head fire flame length</w:t>
      </w:r>
      <w:r>
        <w:rPr>
          <w:vertAlign w:val="superscript"/>
        </w:rPr>
        <w:footnoteReference w:id="6"/>
      </w:r>
      <w:r>
        <w:t xml:space="preserve">, which is expressed mathematically in Equation 1 as: </w:t>
      </w:r>
    </w:p>
    <w:p w14:paraId="66340DBA" w14:textId="77777777" w:rsidR="008E40B0" w:rsidRDefault="008E40B0" w:rsidP="008E40B0">
      <w:pPr>
        <w:tabs>
          <w:tab w:val="center" w:pos="2638"/>
          <w:tab w:val="center" w:pos="4686"/>
          <w:tab w:val="center" w:pos="5976"/>
          <w:tab w:val="center" w:pos="7232"/>
          <w:tab w:val="right" w:pos="9363"/>
        </w:tabs>
        <w:spacing w:after="8" w:line="259" w:lineRule="auto"/>
      </w:pPr>
      <w:r>
        <w:t xml:space="preserve"> </w:t>
      </w:r>
      <w:r>
        <w:tab/>
      </w:r>
      <w:r>
        <w:rPr>
          <w:rFonts w:ascii="Cambria" w:eastAsia="Cambria" w:hAnsi="Cambria" w:cs="Cambria"/>
        </w:rPr>
        <w:t>Composite risk index 𝐹</w:t>
      </w:r>
      <w:r>
        <w:rPr>
          <w:rFonts w:ascii="Cambria" w:eastAsia="Cambria" w:hAnsi="Cambria" w:cs="Cambria"/>
        </w:rPr>
        <w:tab/>
        <w:t>10 𝐿</w:t>
      </w:r>
      <w:r>
        <w:rPr>
          <w:rFonts w:ascii="Cambria" w:eastAsia="Cambria" w:hAnsi="Cambria" w:cs="Cambria"/>
        </w:rPr>
        <w:tab/>
        <w:t xml:space="preserve"> 0.00256 𝑉</w:t>
      </w:r>
      <w:r>
        <w:rPr>
          <w:rFonts w:ascii="Cambria" w:eastAsia="Cambria" w:hAnsi="Cambria" w:cs="Cambria"/>
        </w:rPr>
        <w:tab/>
        <w:t>10 𝐿</w:t>
      </w:r>
      <w:r>
        <w:t xml:space="preserve"> </w:t>
      </w:r>
      <w:r>
        <w:tab/>
        <w:t xml:space="preserve">(1) </w:t>
      </w:r>
    </w:p>
    <w:p w14:paraId="58828008" w14:textId="25A9E417" w:rsidR="008E40B0" w:rsidRDefault="008E40B0" w:rsidP="008E40B0">
      <w:pPr>
        <w:spacing w:after="2" w:line="259" w:lineRule="auto"/>
      </w:pPr>
      <w:r>
        <w:t xml:space="preserve"> Here, </w:t>
      </w:r>
      <w:r>
        <w:rPr>
          <w:rFonts w:ascii="Times New Roman" w:eastAsia="Times New Roman" w:hAnsi="Times New Roman" w:cs="Times New Roman"/>
          <w:i/>
        </w:rPr>
        <w:t>F</w:t>
      </w:r>
      <w:r>
        <w:rPr>
          <w:rFonts w:ascii="Times New Roman" w:eastAsia="Times New Roman" w:hAnsi="Times New Roman" w:cs="Times New Roman"/>
          <w:i/>
          <w:vertAlign w:val="subscript"/>
        </w:rPr>
        <w:t>wind</w:t>
      </w:r>
      <w:r>
        <w:t xml:space="preserve"> is wind gust force (lb/ft</w:t>
      </w:r>
      <w:r>
        <w:rPr>
          <w:vertAlign w:val="superscript"/>
        </w:rPr>
        <w:footnoteReference w:id="7"/>
      </w:r>
      <w:r>
        <w:t xml:space="preserve">), </w:t>
      </w:r>
      <w:r>
        <w:rPr>
          <w:rFonts w:ascii="Times New Roman" w:eastAsia="Times New Roman" w:hAnsi="Times New Roman" w:cs="Times New Roman"/>
          <w:i/>
        </w:rPr>
        <w:t>L</w:t>
      </w:r>
      <w:r>
        <w:rPr>
          <w:rFonts w:ascii="Times New Roman" w:eastAsia="Times New Roman" w:hAnsi="Times New Roman" w:cs="Times New Roman"/>
          <w:i/>
          <w:vertAlign w:val="subscript"/>
        </w:rPr>
        <w:t>f</w:t>
      </w:r>
      <w:r>
        <w:t xml:space="preserve"> is head fire flame length (ft), and </w:t>
      </w:r>
      <w:r>
        <w:rPr>
          <w:rFonts w:ascii="Times New Roman" w:eastAsia="Times New Roman" w:hAnsi="Times New Roman" w:cs="Times New Roman"/>
          <w:i/>
        </w:rPr>
        <w:t>V</w:t>
      </w:r>
      <w:r>
        <w:rPr>
          <w:rFonts w:ascii="Times New Roman" w:eastAsia="Times New Roman" w:hAnsi="Times New Roman" w:cs="Times New Roman"/>
          <w:i/>
          <w:vertAlign w:val="subscript"/>
        </w:rPr>
        <w:t>g</w:t>
      </w:r>
      <w:r>
        <w:t xml:space="preserve"> is 3-second wind gust speed (mph). In this formulation, wind force represents probability of powerline-caused ignitions and </w:t>
      </w:r>
      <w:r>
        <w:rPr>
          <w:rFonts w:ascii="Times New Roman" w:eastAsia="Times New Roman" w:hAnsi="Times New Roman" w:cs="Times New Roman"/>
          <w:i/>
        </w:rPr>
        <w:t>L</w:t>
      </w:r>
      <w:r>
        <w:rPr>
          <w:rFonts w:ascii="Times New Roman" w:eastAsia="Times New Roman" w:hAnsi="Times New Roman" w:cs="Times New Roman"/>
          <w:i/>
          <w:vertAlign w:val="subscript"/>
        </w:rPr>
        <w:t>f</w:t>
      </w:r>
      <w:r>
        <w:t xml:space="preserve"> represents the consequence of those ignitions as flame length directly affects resistance to control. The decision to use wind force, which scales with the square of wind speed, to represent the ignition axis in this composite risk index is based in part on work completed during the California Public Utilities Commission (CPUC) high fire threat district mapping</w:t>
      </w:r>
      <w:r>
        <w:rPr>
          <w:vertAlign w:val="superscript"/>
        </w:rPr>
        <w:t>2</w:t>
      </w:r>
      <w:r>
        <w:t xml:space="preserve">. In that work, an Independent Expert Team (IET) led by CAL FIRE deliberated over several powerline-fire ignition models and after analyzing ten years of fault records from utilities selected the following formula for the ignition axis: </w:t>
      </w:r>
    </w:p>
    <w:p w14:paraId="21769A29" w14:textId="77777777" w:rsidR="008E40B0" w:rsidRDefault="008E40B0" w:rsidP="008E40B0">
      <w:pPr>
        <w:tabs>
          <w:tab w:val="center" w:pos="3572"/>
          <w:tab w:val="center" w:pos="5328"/>
          <w:tab w:val="right" w:pos="9363"/>
        </w:tabs>
        <w:spacing w:after="8" w:line="259" w:lineRule="auto"/>
      </w:pPr>
      <w:r>
        <w:t xml:space="preserve"> </w:t>
      </w:r>
      <w:r>
        <w:tab/>
      </w:r>
      <w:r>
        <w:rPr>
          <w:rFonts w:ascii="Cambria" w:eastAsia="Cambria" w:hAnsi="Cambria" w:cs="Cambria"/>
        </w:rPr>
        <w:t>IET ignition axis</w:t>
      </w:r>
      <w:r>
        <w:rPr>
          <w:rFonts w:ascii="Cambria" w:eastAsia="Cambria" w:hAnsi="Cambria" w:cs="Cambria"/>
        </w:rPr>
        <w:tab/>
        <w:t xml:space="preserve"> 0.00256 𝑉 𝑃</w:t>
      </w:r>
      <w:r>
        <w:t xml:space="preserve"> </w:t>
      </w:r>
      <w:r>
        <w:tab/>
        <w:t xml:space="preserve">(2) </w:t>
      </w:r>
    </w:p>
    <w:p w14:paraId="7A8F1C44" w14:textId="006083D0" w:rsidR="008E40B0" w:rsidRDefault="008E40B0" w:rsidP="008E40B0">
      <w:pPr>
        <w:spacing w:after="0" w:line="259" w:lineRule="auto"/>
        <w:ind w:left="463"/>
      </w:pPr>
      <w:r>
        <w:t xml:space="preserve"> where </w:t>
      </w:r>
      <w:r>
        <w:rPr>
          <w:rFonts w:ascii="Times New Roman" w:eastAsia="Times New Roman" w:hAnsi="Times New Roman" w:cs="Times New Roman"/>
          <w:i/>
        </w:rPr>
        <w:t>P</w:t>
      </w:r>
      <w:r>
        <w:rPr>
          <w:rFonts w:ascii="Times New Roman" w:eastAsia="Times New Roman" w:hAnsi="Times New Roman" w:cs="Times New Roman"/>
          <w:i/>
          <w:vertAlign w:val="subscript"/>
        </w:rPr>
        <w:t>ign</w:t>
      </w:r>
      <w:r>
        <w:t xml:space="preserve"> is ignition probability which is similar to the NFDRS Ignition Component (IC). The same formula is used here but without the </w:t>
      </w:r>
      <w:r>
        <w:rPr>
          <w:rFonts w:ascii="Times New Roman" w:eastAsia="Times New Roman" w:hAnsi="Times New Roman" w:cs="Times New Roman"/>
          <w:i/>
        </w:rPr>
        <w:t>P</w:t>
      </w:r>
      <w:r>
        <w:rPr>
          <w:rFonts w:ascii="Times New Roman" w:eastAsia="Times New Roman" w:hAnsi="Times New Roman" w:cs="Times New Roman"/>
          <w:i/>
          <w:vertAlign w:val="subscript"/>
        </w:rPr>
        <w:t>ign</w:t>
      </w:r>
      <w:r>
        <w:rPr>
          <w:vertAlign w:val="superscript"/>
        </w:rPr>
        <w:t xml:space="preserve"> </w:t>
      </w:r>
      <w:r>
        <w:t xml:space="preserve">factor. The choice to omit </w:t>
      </w:r>
      <w:r>
        <w:rPr>
          <w:rFonts w:ascii="Times New Roman" w:eastAsia="Times New Roman" w:hAnsi="Times New Roman" w:cs="Times New Roman"/>
          <w:i/>
        </w:rPr>
        <w:t>P</w:t>
      </w:r>
      <w:r>
        <w:rPr>
          <w:rFonts w:ascii="Times New Roman" w:eastAsia="Times New Roman" w:hAnsi="Times New Roman" w:cs="Times New Roman"/>
          <w:i/>
          <w:vertAlign w:val="subscript"/>
        </w:rPr>
        <w:t>ign</w:t>
      </w:r>
      <w:r>
        <w:t xml:space="preserve"> is conservative because in a line down situation, ignition is probable and </w:t>
      </w:r>
      <w:r>
        <w:rPr>
          <w:rFonts w:ascii="Times New Roman" w:eastAsia="Times New Roman" w:hAnsi="Times New Roman" w:cs="Times New Roman"/>
          <w:i/>
        </w:rPr>
        <w:t>P</w:t>
      </w:r>
      <w:r>
        <w:rPr>
          <w:rFonts w:ascii="Times New Roman" w:eastAsia="Times New Roman" w:hAnsi="Times New Roman" w:cs="Times New Roman"/>
          <w:i/>
          <w:vertAlign w:val="subscript"/>
        </w:rPr>
        <w:t>ign</w:t>
      </w:r>
      <w:r>
        <w:t xml:space="preserve"> can only decrease the ignition axis as defined in Equation 2. </w:t>
      </w:r>
    </w:p>
    <w:p w14:paraId="5F3C47A0" w14:textId="77777777" w:rsidR="008E40B0" w:rsidRDefault="008E40B0" w:rsidP="008E40B0">
      <w:pPr>
        <w:spacing w:after="0" w:line="259" w:lineRule="auto"/>
      </w:pPr>
      <w:r>
        <w:t xml:space="preserve"> </w:t>
      </w:r>
    </w:p>
    <w:p w14:paraId="2FCE2DF4" w14:textId="5C6839C9" w:rsidR="008E40B0" w:rsidRDefault="008E40B0" w:rsidP="008E40B0">
      <w:pPr>
        <w:ind w:left="-5"/>
      </w:pPr>
      <w:r>
        <w:t xml:space="preserve">The CRI in Equation 1 is calculated for each zone using weather model forecast data and fire modeling (see for example </w:t>
      </w:r>
      <w:r>
        <w:rPr>
          <w:color w:val="0000FF"/>
          <w:u w:val="single" w:color="0000FF"/>
        </w:rPr>
        <w:t>https://nvfireweather.com</w:t>
      </w:r>
      <w:r>
        <w:t xml:space="preserve">). Forecasts are provided 8 days into the future and are automatically refreshed every 6 hours (00:45, 06:45, 12:45, and 18:45 PDT). The weather models used in calculation of the CRI include High Resolution Rapid Refresh (HRRR, 3 km, 48 hours), North American Mesoscale Model nest (NAM, 3 km, 60 hrs), Global Forecast System (GFS, 0.125°, 8 days), and the European Center for Medium-Range Weather Forecasts (ECMWF) HIRES forecast (ECMWF HIRES, 0.1°, 8 days).  </w:t>
      </w:r>
    </w:p>
    <w:p w14:paraId="63855624" w14:textId="6C26C05D" w:rsidR="008E40B0" w:rsidRDefault="008E40B0" w:rsidP="008E40B0">
      <w:pPr>
        <w:ind w:left="-5"/>
      </w:pPr>
      <w:r>
        <w:t>The operational fire spread model ELMFIRE (</w:t>
      </w:r>
      <w:r>
        <w:rPr>
          <w:u w:val="single" w:color="000000"/>
        </w:rPr>
        <w:t>E</w:t>
      </w:r>
      <w:r>
        <w:t xml:space="preserve">ulerian </w:t>
      </w:r>
      <w:r>
        <w:rPr>
          <w:u w:val="single" w:color="000000"/>
        </w:rPr>
        <w:t>L</w:t>
      </w:r>
      <w:r>
        <w:t xml:space="preserve">evel set </w:t>
      </w:r>
      <w:r>
        <w:rPr>
          <w:u w:val="single" w:color="000000"/>
        </w:rPr>
        <w:t>M</w:t>
      </w:r>
      <w:r>
        <w:t xml:space="preserve">odel of </w:t>
      </w:r>
      <w:r>
        <w:rPr>
          <w:u w:val="single" w:color="000000"/>
        </w:rPr>
        <w:t>FIRE</w:t>
      </w:r>
      <w:r>
        <w:t xml:space="preserve"> spread)</w:t>
      </w:r>
      <w:r>
        <w:rPr>
          <w:vertAlign w:val="superscript"/>
        </w:rPr>
        <w:footnoteReference w:id="8"/>
      </w:r>
      <w:r>
        <w:rPr>
          <w:vertAlign w:val="superscript"/>
        </w:rPr>
        <w:t>,</w:t>
      </w:r>
      <w:r>
        <w:rPr>
          <w:vertAlign w:val="superscript"/>
        </w:rPr>
        <w:footnoteReference w:id="9"/>
      </w:r>
      <w:r>
        <w:t xml:space="preserve"> is used to calculate head fire flame length at every 30 m pixel within each zone for each discrete timestep in the forecast period. Although </w:t>
      </w:r>
      <w:r>
        <w:lastRenderedPageBreak/>
        <w:t xml:space="preserve">flame length and wind gust vary spatially within a given zone, Equation 1 requires a single value of wind gust and flame length. Therefore, spatial mean values of flame length and wind gust are calculated using zonal statistics for each time in the forecast period. The flame length calculation directly or indirectly includes the following factors: </w:t>
      </w:r>
      <w:r>
        <w:rPr>
          <w:rFonts w:ascii="Segoe UI Symbol" w:eastAsia="Segoe UI Symbol" w:hAnsi="Segoe UI Symbol" w:cs="Segoe UI Symbol"/>
        </w:rPr>
        <w:t></w:t>
      </w:r>
      <w:r>
        <w:rPr>
          <w:rFonts w:ascii="Arial" w:eastAsia="Arial" w:hAnsi="Arial" w:cs="Arial"/>
        </w:rPr>
        <w:t xml:space="preserve"> </w:t>
      </w:r>
      <w:r>
        <w:t xml:space="preserve">Surface fuel characteristics (fuel type, fuel load, </w:t>
      </w:r>
      <w:r>
        <w:rPr>
          <w:rFonts w:ascii="Times New Roman" w:eastAsia="Times New Roman" w:hAnsi="Times New Roman" w:cs="Times New Roman"/>
          <w:i/>
        </w:rPr>
        <w:t>etc</w:t>
      </w:r>
      <w:r>
        <w:t xml:space="preserve">.) </w:t>
      </w:r>
    </w:p>
    <w:p w14:paraId="0D468803" w14:textId="77777777" w:rsidR="008E40B0" w:rsidRDefault="008E40B0" w:rsidP="008E40B0">
      <w:pPr>
        <w:numPr>
          <w:ilvl w:val="0"/>
          <w:numId w:val="33"/>
        </w:numPr>
        <w:spacing w:before="0" w:after="4" w:line="249" w:lineRule="auto"/>
        <w:jc w:val="both"/>
      </w:pPr>
      <w:r>
        <w:t xml:space="preserve">Dead fuel moisture by size / time lag class (1-hr, 10-hr, and 100-hr) </w:t>
      </w:r>
    </w:p>
    <w:p w14:paraId="65DC81E7" w14:textId="77777777" w:rsidR="008E40B0" w:rsidRDefault="008E40B0" w:rsidP="008E40B0">
      <w:pPr>
        <w:numPr>
          <w:ilvl w:val="0"/>
          <w:numId w:val="33"/>
        </w:numPr>
        <w:spacing w:before="0" w:after="4" w:line="249" w:lineRule="auto"/>
        <w:jc w:val="both"/>
      </w:pPr>
      <w:r>
        <w:t xml:space="preserve">Live herbaceous and live woody fuel moisture </w:t>
      </w:r>
    </w:p>
    <w:p w14:paraId="57705834" w14:textId="77777777" w:rsidR="008E40B0" w:rsidRDefault="008E40B0" w:rsidP="008E40B0">
      <w:pPr>
        <w:numPr>
          <w:ilvl w:val="0"/>
          <w:numId w:val="33"/>
        </w:numPr>
        <w:spacing w:before="0" w:after="4" w:line="249" w:lineRule="auto"/>
        <w:jc w:val="both"/>
      </w:pPr>
      <w:r>
        <w:t xml:space="preserve">Sustained mid-flame wind speed and direction </w:t>
      </w:r>
    </w:p>
    <w:p w14:paraId="0BF4A234" w14:textId="77777777" w:rsidR="008E40B0" w:rsidRDefault="008E40B0" w:rsidP="008E40B0">
      <w:pPr>
        <w:numPr>
          <w:ilvl w:val="0"/>
          <w:numId w:val="33"/>
        </w:numPr>
        <w:spacing w:before="0" w:after="4" w:line="249" w:lineRule="auto"/>
        <w:jc w:val="both"/>
      </w:pPr>
      <w:r>
        <w:t xml:space="preserve">Topographical slope and aspect </w:t>
      </w:r>
    </w:p>
    <w:p w14:paraId="42FF5A2A" w14:textId="77777777" w:rsidR="008E40B0" w:rsidRDefault="008E40B0" w:rsidP="008E40B0">
      <w:pPr>
        <w:numPr>
          <w:ilvl w:val="0"/>
          <w:numId w:val="33"/>
        </w:numPr>
        <w:spacing w:before="0" w:after="4" w:line="249" w:lineRule="auto"/>
        <w:jc w:val="both"/>
      </w:pPr>
      <w:r>
        <w:t>Relative humidity, temperature, precipitation, and solar heating</w:t>
      </w:r>
    </w:p>
    <w:p w14:paraId="5932DCB7" w14:textId="77777777" w:rsidR="008E40B0" w:rsidRDefault="008E40B0" w:rsidP="008E40B0">
      <w:pPr>
        <w:spacing w:after="0" w:line="259" w:lineRule="auto"/>
      </w:pPr>
      <w:r>
        <w:t xml:space="preserve"> </w:t>
      </w:r>
    </w:p>
    <w:p w14:paraId="0F4A420F" w14:textId="77777777" w:rsidR="008E40B0" w:rsidRDefault="008E40B0" w:rsidP="008E40B0">
      <w:pPr>
        <w:spacing w:after="287"/>
        <w:ind w:left="-5"/>
      </w:pPr>
      <w:r>
        <w:t xml:space="preserve">A CRI threshold exceedance analysis is conducted for each zone using ~15 years of historical gridded (2.5 km resolution) hourly mesoscale weather analysis data to calculate CRI via Equation 1 for each hour in the period of record. This analysis provides zone-specific estimates of the probability that a specific numerical CRI value is exceeded in a given year, allowing CRI threshold guidelines to be established for each zone based on an annual exceedance probability (or inversely, a recurrence interval). </w:t>
      </w:r>
    </w:p>
    <w:p w14:paraId="613AACB9" w14:textId="2ED4EA4E" w:rsidR="008E40B0" w:rsidRDefault="008E40B0" w:rsidP="008E40B0">
      <w:pPr>
        <w:ind w:left="-5"/>
      </w:pPr>
    </w:p>
    <w:p w14:paraId="23011BC9" w14:textId="77777777" w:rsidR="008E40B0" w:rsidRDefault="008E40B0" w:rsidP="008E40B0">
      <w:pPr>
        <w:spacing w:after="0" w:line="259" w:lineRule="auto"/>
      </w:pPr>
      <w:r>
        <w:rPr>
          <w:rFonts w:ascii="Calibri" w:eastAsia="Calibri" w:hAnsi="Calibri" w:cs="Calibri"/>
          <w:noProof/>
          <w:sz w:val="22"/>
        </w:rPr>
        <mc:AlternateContent>
          <mc:Choice Requires="wpg">
            <w:drawing>
              <wp:inline distT="0" distB="0" distL="0" distR="0" wp14:anchorId="7C93BB0B" wp14:editId="4A7B8AB5">
                <wp:extent cx="1828800" cy="6858"/>
                <wp:effectExtent l="0" t="0" r="0" b="0"/>
                <wp:docPr id="1628" name="Group 1628"/>
                <wp:cNvGraphicFramePr/>
                <a:graphic xmlns:a="http://schemas.openxmlformats.org/drawingml/2006/main">
                  <a:graphicData uri="http://schemas.microsoft.com/office/word/2010/wordprocessingGroup">
                    <wpg:wgp>
                      <wpg:cNvGrpSpPr/>
                      <wpg:grpSpPr>
                        <a:xfrm>
                          <a:off x="0" y="0"/>
                          <a:ext cx="1828800" cy="6858"/>
                          <a:chOff x="0" y="0"/>
                          <a:chExt cx="1828800" cy="6858"/>
                        </a:xfrm>
                      </wpg:grpSpPr>
                      <wps:wsp>
                        <wps:cNvPr id="2051" name="Shape 205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7F08219" id="Group 1628" o:spid="_x0000_s1026" style="width:2in;height:.55pt;mso-position-horizontal-relative:char;mso-position-vertical-relative:line" coordsize="1828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p62bgIAAC0GAAAOAAAAZHJzL2Uyb0RvYy54bWykVMtu2zAQvBfoPxC6N5KMJFUFyzk0rS9F&#10;GzTpB9AU9QD4Aklb9t93uZJo1SmCwtWBWpK7w53hctcPRynIgVvXa1Ul+U2WEK6YrnvVVsmvl68f&#10;ioQ4T1VNhVa8Sk7cJQ+b9+/Wgyn5Snda1NwSAFGuHEyVdN6bMk0d67ik7kYbrmCz0VZSD1PbprWl&#10;A6BLka6y7D4dtK2N1Yw7B6uP42ayQfym4cz/aBrHPRFVArl5HC2OuzCmmzUtW0tN17MpDXpFFpL2&#10;Cg6NUI/UU7K3/Sso2TOrnW78DdMy1U3TM44cgE2eXbDZWr03yKUth9ZEmUDaC52uhmXfD1trns2T&#10;BSUG04IWOAtcjo2V4Q9ZkiNKdoqS8aMnDBbzYlUUGSjLYO++uCtGRVkHsr8KYt2Xt8LS+cj0j0QG&#10;A6Xhzuzd/7F/7qjhKKorgf2TJX1dJavsLk+IohJqFD0IrqAo6BclcqUDta7S51N+exv0iURpyfbO&#10;b7lGnenhm/NjQdazRbvZYkc1mxbK+s2CNtSHuJBkMMmwuKiuSjCPsCn1gb9odPMXtwU5nneFWnrF&#10;O5/LAXxnj/lvEG/puSA/O83/0RmKCAD/0Q1fbjwXjMATlY3cYXGprlBBhlCpFPpMI6jHByt7Dw1I&#10;9BIkWn3MoJTHCxIK0ELpjbeNlj8JHsQS6idvoGzwUYQFZ9vdZ2HJgYY2gx+CU2E6Oq1OuJMrpoo4&#10;Ib7phYiQOYb+DXLMbHIOcRw7XIzMxkg2ZTO2OWgWQHpudiBKDMKTtfIxXkGLxjQXbIO50/UJGwQK&#10;Am8RpcGehDym/hma3nKOXucuv/kNAAD//wMAUEsDBBQABgAIAAAAIQBMRGsF2QAAAAMBAAAPAAAA&#10;ZHJzL2Rvd25yZXYueG1sTI9BS8NAEIXvgv9hGcGb3aSihJhNKUU9FcFWEG/T7DQJzc6G7DZJ/72j&#10;F70MPN7jzfeK1ew6NdIQWs8G0kUCirjytuXawMf+5S4DFSKyxc4zGbhQgFV5fVVgbv3E7zTuYq2k&#10;hEOOBpoY+1zrUDXkMCx8Tyze0Q8Oo8ih1nbAScpdp5dJ8qgdtiwfGuxp01B12p2dgdcJp/V9+jxu&#10;T8fN5Wv/8Pa5TcmY25t5/QQq0hz/wvCDL+hQCtPBn9kG1RmQIfH3irfMMpEHCaWgy0L/Zy+/AQAA&#10;//8DAFBLAQItABQABgAIAAAAIQC2gziS/gAAAOEBAAATAAAAAAAAAAAAAAAAAAAAAABbQ29udGVu&#10;dF9UeXBlc10ueG1sUEsBAi0AFAAGAAgAAAAhADj9If/WAAAAlAEAAAsAAAAAAAAAAAAAAAAALwEA&#10;AF9yZWxzLy5yZWxzUEsBAi0AFAAGAAgAAAAhAA8ynrZuAgAALQYAAA4AAAAAAAAAAAAAAAAALgIA&#10;AGRycy9lMm9Eb2MueG1sUEsBAi0AFAAGAAgAAAAhAExEawXZAAAAAwEAAA8AAAAAAAAAAAAAAAAA&#10;yAQAAGRycy9kb3ducmV2LnhtbFBLBQYAAAAABAAEAPMAAADOBQAAAAA=&#10;">
                <v:shape id="Shape 2051"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c96xgAAAN0AAAAPAAAAZHJzL2Rvd25yZXYueG1sRI/RaoNA&#10;FETfC/2H5Rb6EppVwSaYbEIrLeSlEE0/4OLeqMS9a92t2r/PBgp5HGbmDLPdz6YTIw2utawgXkYg&#10;iCurW64VfJ8+X9YgnEfW2FkmBX/kYL97fNhipu3EBY2lr0WAsMtQQeN9n0npqoYMuqXtiYN3toNB&#10;H+RQSz3gFOCmk0kUvUqDLYeFBnvKG6ou5a9RUPxMlOZucUz9V3sousXH6n19Uer5aX7bgPA0+3v4&#10;v33QCpIojeH2JjwBubsCAAD//wMAUEsBAi0AFAAGAAgAAAAhANvh9svuAAAAhQEAABMAAAAAAAAA&#10;AAAAAAAAAAAAAFtDb250ZW50X1R5cGVzXS54bWxQSwECLQAUAAYACAAAACEAWvQsW78AAAAVAQAA&#10;CwAAAAAAAAAAAAAAAAAfAQAAX3JlbHMvLnJlbHNQSwECLQAUAAYACAAAACEAq53PesYAAADdAAAA&#10;DwAAAAAAAAAAAAAAAAAHAgAAZHJzL2Rvd25yZXYueG1sUEsFBgAAAAADAAMAtwAAAPoCAAAAAA==&#10;" path="m,l1828800,r,9144l,9144,,e" fillcolor="black" stroked="f" strokeweight="0">
                  <v:stroke miterlimit="83231f" joinstyle="miter"/>
                  <v:path arrowok="t" textboxrect="0,0,1828800,9144"/>
                </v:shape>
                <w10:anchorlock/>
              </v:group>
            </w:pict>
          </mc:Fallback>
        </mc:AlternateContent>
      </w:r>
      <w:r>
        <w:rPr>
          <w:sz w:val="22"/>
        </w:rPr>
        <w:t xml:space="preserve"> </w:t>
      </w:r>
    </w:p>
    <w:p w14:paraId="0506F885" w14:textId="0A977654" w:rsidR="004D6392" w:rsidRDefault="004D6392" w:rsidP="008E10DB">
      <w:pPr>
        <w:pStyle w:val="AppendixTitle"/>
        <w:jc w:val="left"/>
        <w:rPr>
          <w:rFonts w:ascii="Times New Roman" w:hAnsi="Times New Roman" w:cs="Times New Roman"/>
          <w:sz w:val="20"/>
          <w:szCs w:val="20"/>
        </w:rPr>
      </w:pPr>
    </w:p>
    <w:p w14:paraId="65E0596E" w14:textId="77777777" w:rsidR="004D6392" w:rsidRDefault="004D6392" w:rsidP="008E10DB">
      <w:pPr>
        <w:pStyle w:val="AppendixTitle"/>
        <w:jc w:val="left"/>
        <w:rPr>
          <w:rFonts w:ascii="Times New Roman" w:hAnsi="Times New Roman" w:cs="Times New Roman"/>
          <w:sz w:val="20"/>
          <w:szCs w:val="20"/>
        </w:rPr>
      </w:pPr>
    </w:p>
    <w:p w14:paraId="0455D978" w14:textId="77777777" w:rsidR="004D6392" w:rsidRDefault="004D6392" w:rsidP="008E10DB">
      <w:pPr>
        <w:pStyle w:val="AppendixTitle"/>
        <w:jc w:val="left"/>
        <w:rPr>
          <w:rFonts w:ascii="Times New Roman" w:hAnsi="Times New Roman" w:cs="Times New Roman"/>
          <w:sz w:val="20"/>
          <w:szCs w:val="20"/>
        </w:rPr>
      </w:pPr>
    </w:p>
    <w:p w14:paraId="5608F993" w14:textId="77777777" w:rsidR="004D6392" w:rsidRDefault="004D6392" w:rsidP="008E10DB">
      <w:pPr>
        <w:pStyle w:val="AppendixTitle"/>
        <w:jc w:val="left"/>
        <w:rPr>
          <w:rFonts w:ascii="Times New Roman" w:hAnsi="Times New Roman" w:cs="Times New Roman"/>
          <w:sz w:val="20"/>
          <w:szCs w:val="20"/>
        </w:rPr>
      </w:pPr>
    </w:p>
    <w:p w14:paraId="3FBA7E55" w14:textId="77777777" w:rsidR="004D6392" w:rsidRDefault="004D6392" w:rsidP="008E10DB">
      <w:pPr>
        <w:pStyle w:val="AppendixTitle"/>
        <w:jc w:val="left"/>
        <w:rPr>
          <w:rFonts w:ascii="Times New Roman" w:hAnsi="Times New Roman" w:cs="Times New Roman"/>
          <w:sz w:val="20"/>
          <w:szCs w:val="20"/>
        </w:rPr>
      </w:pPr>
    </w:p>
    <w:p w14:paraId="3EF090F0" w14:textId="77777777" w:rsidR="004D6392" w:rsidRDefault="004D6392" w:rsidP="008E10DB">
      <w:pPr>
        <w:pStyle w:val="AppendixTitle"/>
        <w:jc w:val="left"/>
        <w:rPr>
          <w:rFonts w:ascii="Times New Roman" w:hAnsi="Times New Roman" w:cs="Times New Roman"/>
          <w:sz w:val="20"/>
          <w:szCs w:val="20"/>
        </w:rPr>
      </w:pPr>
    </w:p>
    <w:p w14:paraId="459897C1" w14:textId="77777777" w:rsidR="004D6392" w:rsidRDefault="004D6392" w:rsidP="008E10DB">
      <w:pPr>
        <w:pStyle w:val="AppendixTitle"/>
        <w:jc w:val="left"/>
        <w:rPr>
          <w:rFonts w:ascii="Times New Roman" w:hAnsi="Times New Roman" w:cs="Times New Roman"/>
          <w:sz w:val="20"/>
          <w:szCs w:val="20"/>
        </w:rPr>
      </w:pPr>
    </w:p>
    <w:p w14:paraId="02AB130E" w14:textId="77777777" w:rsidR="004D6392" w:rsidRDefault="004D6392" w:rsidP="008E10DB">
      <w:pPr>
        <w:pStyle w:val="AppendixTitle"/>
        <w:jc w:val="left"/>
        <w:rPr>
          <w:rFonts w:ascii="Times New Roman" w:hAnsi="Times New Roman" w:cs="Times New Roman"/>
          <w:sz w:val="20"/>
          <w:szCs w:val="20"/>
        </w:rPr>
      </w:pPr>
    </w:p>
    <w:p w14:paraId="643879AF" w14:textId="77777777" w:rsidR="004D6392" w:rsidRDefault="004D6392" w:rsidP="008E10DB">
      <w:pPr>
        <w:pStyle w:val="AppendixTitle"/>
        <w:jc w:val="left"/>
        <w:rPr>
          <w:rFonts w:ascii="Times New Roman" w:hAnsi="Times New Roman" w:cs="Times New Roman"/>
          <w:sz w:val="20"/>
          <w:szCs w:val="20"/>
        </w:rPr>
      </w:pPr>
    </w:p>
    <w:p w14:paraId="2F1C1ED6" w14:textId="77777777" w:rsidR="004D6392" w:rsidRDefault="004D6392" w:rsidP="008E10DB">
      <w:pPr>
        <w:pStyle w:val="AppendixTitle"/>
        <w:jc w:val="left"/>
        <w:rPr>
          <w:rFonts w:ascii="Times New Roman" w:hAnsi="Times New Roman" w:cs="Times New Roman"/>
          <w:sz w:val="20"/>
          <w:szCs w:val="20"/>
        </w:rPr>
      </w:pPr>
    </w:p>
    <w:p w14:paraId="3C7F7F8D" w14:textId="77777777" w:rsidR="004D6392" w:rsidRDefault="004D6392" w:rsidP="008E10DB">
      <w:pPr>
        <w:pStyle w:val="AppendixTitle"/>
        <w:jc w:val="left"/>
        <w:rPr>
          <w:rFonts w:ascii="Times New Roman" w:hAnsi="Times New Roman" w:cs="Times New Roman"/>
          <w:sz w:val="20"/>
          <w:szCs w:val="20"/>
        </w:rPr>
      </w:pPr>
    </w:p>
    <w:p w14:paraId="35E2836B" w14:textId="77777777" w:rsidR="004D6392" w:rsidRDefault="004D6392" w:rsidP="008E10DB">
      <w:pPr>
        <w:pStyle w:val="AppendixTitle"/>
        <w:jc w:val="left"/>
        <w:rPr>
          <w:rFonts w:ascii="Times New Roman" w:hAnsi="Times New Roman" w:cs="Times New Roman"/>
          <w:sz w:val="20"/>
          <w:szCs w:val="20"/>
        </w:rPr>
      </w:pPr>
    </w:p>
    <w:p w14:paraId="01C70E74" w14:textId="77777777" w:rsidR="004D6392" w:rsidRDefault="004D6392" w:rsidP="008E10DB">
      <w:pPr>
        <w:pStyle w:val="AppendixTitle"/>
        <w:jc w:val="left"/>
        <w:rPr>
          <w:rFonts w:ascii="Times New Roman" w:hAnsi="Times New Roman" w:cs="Times New Roman"/>
          <w:sz w:val="20"/>
          <w:szCs w:val="20"/>
        </w:rPr>
      </w:pPr>
    </w:p>
    <w:p w14:paraId="3BA11927" w14:textId="77777777" w:rsidR="004D6392" w:rsidRDefault="004D6392" w:rsidP="008E10DB">
      <w:pPr>
        <w:pStyle w:val="AppendixTitle"/>
        <w:jc w:val="left"/>
        <w:rPr>
          <w:rFonts w:ascii="Times New Roman" w:hAnsi="Times New Roman" w:cs="Times New Roman"/>
          <w:sz w:val="20"/>
          <w:szCs w:val="20"/>
        </w:rPr>
      </w:pPr>
    </w:p>
    <w:p w14:paraId="5927CE15" w14:textId="77777777" w:rsidR="004D6392" w:rsidRDefault="004D6392" w:rsidP="008E10DB">
      <w:pPr>
        <w:pStyle w:val="AppendixTitle"/>
        <w:jc w:val="left"/>
        <w:rPr>
          <w:rFonts w:ascii="Times New Roman" w:hAnsi="Times New Roman" w:cs="Times New Roman"/>
          <w:sz w:val="20"/>
          <w:szCs w:val="20"/>
        </w:rPr>
      </w:pPr>
    </w:p>
    <w:p w14:paraId="4DC3885A" w14:textId="77777777" w:rsidR="004D6392" w:rsidRDefault="004D6392" w:rsidP="008E10DB">
      <w:pPr>
        <w:pStyle w:val="AppendixTitle"/>
        <w:jc w:val="left"/>
        <w:rPr>
          <w:rFonts w:ascii="Times New Roman" w:hAnsi="Times New Roman" w:cs="Times New Roman"/>
          <w:sz w:val="20"/>
          <w:szCs w:val="20"/>
        </w:rPr>
      </w:pPr>
    </w:p>
    <w:p w14:paraId="53D03D12" w14:textId="77777777" w:rsidR="004D6392" w:rsidRDefault="004D6392" w:rsidP="008E10DB">
      <w:pPr>
        <w:pStyle w:val="AppendixTitle"/>
        <w:jc w:val="left"/>
        <w:rPr>
          <w:rFonts w:ascii="Times New Roman" w:hAnsi="Times New Roman" w:cs="Times New Roman"/>
          <w:sz w:val="20"/>
          <w:szCs w:val="20"/>
        </w:rPr>
      </w:pPr>
    </w:p>
    <w:p w14:paraId="0E1C7D62" w14:textId="77777777" w:rsidR="004D6392" w:rsidRPr="004D6392" w:rsidRDefault="004D6392" w:rsidP="008E10DB">
      <w:pPr>
        <w:pStyle w:val="AppendixTitle"/>
        <w:jc w:val="left"/>
        <w:rPr>
          <w:rFonts w:ascii="Times New Roman" w:hAnsi="Times New Roman" w:cs="Times New Roman"/>
          <w:sz w:val="20"/>
          <w:szCs w:val="20"/>
        </w:rPr>
      </w:pPr>
    </w:p>
    <w:sectPr w:rsidR="004D6392" w:rsidRPr="004D6392" w:rsidSect="00CB7D34">
      <w:footerReference w:type="default" r:id="rId62"/>
      <w:footerReference w:type="first" r:id="rId63"/>
      <w:pgSz w:w="12240" w:h="15840" w:code="1"/>
      <w:pgMar w:top="1440" w:right="1440" w:bottom="1440" w:left="1440" w:header="720" w:footer="720" w:gutter="0"/>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0" w:author="Jennifer Garman" w:date="2026-08-06T10:23:00Z" w:initials="JG">
    <w:p w14:paraId="3C421726" w14:textId="0A765C99" w:rsidR="0021383A" w:rsidRDefault="0021383A">
      <w:pPr>
        <w:pStyle w:val="CommentText"/>
      </w:pPr>
      <w:r>
        <w:rPr>
          <w:rStyle w:val="CommentReference"/>
        </w:rPr>
        <w:annotationRef/>
      </w:r>
      <w:r>
        <w:t>Jeremy: I added this to introduce the table so that we could get the section/heading formatting consistent. Feel free to modify or remove.</w:t>
      </w:r>
    </w:p>
  </w:comment>
  <w:comment w:id="60" w:author="Mike Swanson" w:date="2026-06-29T09:51:00Z" w:initials="MS">
    <w:p w14:paraId="47FE78FA" w14:textId="77777777" w:rsidR="00D46F04" w:rsidRDefault="00D46F04" w:rsidP="00D46F04">
      <w:pPr>
        <w:pStyle w:val="CommentText"/>
      </w:pPr>
      <w:r>
        <w:rPr>
          <w:rStyle w:val="CommentReference"/>
        </w:rPr>
        <w:annotationRef/>
      </w:r>
      <w:r>
        <w:t>Add a piece on Composite Risk index from Cloudfire</w:t>
      </w:r>
    </w:p>
  </w:comment>
  <w:comment w:id="61" w:author="Jennifer Garman" w:date="2026-08-06T10:26:00Z" w:initials="JG">
    <w:p w14:paraId="01090EA1" w14:textId="571A0AFE" w:rsidR="0021383A" w:rsidRDefault="0021383A">
      <w:pPr>
        <w:pStyle w:val="CommentText"/>
      </w:pPr>
      <w:r>
        <w:rPr>
          <w:rStyle w:val="CommentReference"/>
        </w:rPr>
        <w:annotationRef/>
      </w:r>
      <w:r>
        <w:t>Jeremy: Do you want this comment left in the PDF also?</w:t>
      </w:r>
    </w:p>
  </w:comment>
  <w:comment w:id="62" w:author="Jeremy Cawn" w:date="2026-08-06T11:33:00Z" w:initials="JC">
    <w:p w14:paraId="0659276D" w14:textId="77777777" w:rsidR="00AB36F1" w:rsidRDefault="00AB36F1" w:rsidP="00AB36F1">
      <w:pPr>
        <w:pStyle w:val="CommentText"/>
      </w:pPr>
      <w:r>
        <w:rPr>
          <w:rStyle w:val="CommentReference"/>
        </w:rPr>
        <w:annotationRef/>
      </w:r>
      <w:r>
        <w:t>Yes.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C421726" w15:done="1"/>
  <w15:commentEx w15:paraId="47FE78FA" w15:done="1"/>
  <w15:commentEx w15:paraId="01090EA1" w15:paraIdParent="47FE78FA" w15:done="1"/>
  <w15:commentEx w15:paraId="0659276D" w15:paraIdParent="47FE78F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2A46B9E" w16cex:dateUtc="2026-08-06T17:23:00Z">
    <w16cex:extLst>
      <w16:ext w16:uri="{CE6994B0-6A32-4C9F-8C6B-6E91EDA988CE}">
        <cr:reactions xmlns:cr="http://schemas.microsoft.com/office/comments/2020/reactions">
          <cr:reaction reactionType="1">
            <cr:reactionInfo dateUtc="2026-08-06T18:33:24Z">
              <cr:user userId="S::jcawn@dudek.com::da65f457-08b7-4501-ae59-bf6864123f45" userProvider="AD" userName="Jeremy Cawn"/>
            </cr:reactionInfo>
          </cr:reaction>
        </cr:reactions>
      </w16:ext>
    </w16cex:extLst>
  </w16cex:commentExtensible>
  <w16cex:commentExtensible w16cex:durableId="4F224113" w16cex:dateUtc="2026-06-29T16:51:00Z"/>
  <w16cex:commentExtensible w16cex:durableId="18820FAF" w16cex:dateUtc="2026-08-06T17:26:00Z"/>
  <w16cex:commentExtensible w16cex:durableId="083D2AF8" w16cex:dateUtc="2026-08-06T18: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C421726" w16cid:durableId="52A46B9E"/>
  <w16cid:commentId w16cid:paraId="47FE78FA" w16cid:durableId="4F224113"/>
  <w16cid:commentId w16cid:paraId="01090EA1" w16cid:durableId="18820FAF"/>
  <w16cid:commentId w16cid:paraId="0659276D" w16cid:durableId="083D2AF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012A8" w14:textId="77777777" w:rsidR="00622C52" w:rsidRDefault="00622C52" w:rsidP="00B868EA">
      <w:pPr>
        <w:pStyle w:val="TableText"/>
      </w:pPr>
      <w:r>
        <w:separator/>
      </w:r>
    </w:p>
    <w:p w14:paraId="1C5871B4" w14:textId="77777777" w:rsidR="00622C52" w:rsidRDefault="00622C52"/>
  </w:endnote>
  <w:endnote w:type="continuationSeparator" w:id="0">
    <w:p w14:paraId="3947DC73" w14:textId="77777777" w:rsidR="00622C52" w:rsidRDefault="00622C52" w:rsidP="00B868EA">
      <w:pPr>
        <w:pStyle w:val="TableText"/>
      </w:pPr>
      <w:r>
        <w:continuationSeparator/>
      </w:r>
    </w:p>
    <w:p w14:paraId="14E0F39C" w14:textId="77777777" w:rsidR="00622C52" w:rsidRDefault="00622C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Franklin Gothic Medium Cond">
    <w:panose1 w:val="020B0606030402020204"/>
    <w:charset w:val="00"/>
    <w:family w:val="swiss"/>
    <w:pitch w:val="variable"/>
    <w:sig w:usb0="00000287" w:usb1="00000000" w:usb2="00000000" w:usb3="00000000" w:csb0="0000009F" w:csb1="00000000"/>
  </w:font>
  <w:font w:name="Avenir Next LT Pro">
    <w:charset w:val="00"/>
    <w:family w:val="swiss"/>
    <w:pitch w:val="variable"/>
    <w:sig w:usb0="800000EF" w:usb1="5000204A" w:usb2="00000000" w:usb3="00000000" w:csb0="00000093" w:csb1="00000000"/>
  </w:font>
  <w:font w:name="Segoe UI Semibold">
    <w:panose1 w:val="020B07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Light">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Bold">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2A9C5" w14:textId="4CA45F97" w:rsidR="00A406E7" w:rsidRPr="00622756" w:rsidRDefault="00A406E7" w:rsidP="00622756">
    <w:pPr>
      <w:tabs>
        <w:tab w:val="center" w:pos="5040"/>
        <w:tab w:val="right" w:pos="10080"/>
      </w:tabs>
      <w:ind w:left="72" w:right="72"/>
      <w:contextualSpacing/>
      <w:jc w:val="right"/>
      <w:rPr>
        <w:rFonts w:ascii="Avenir Next LT Pro" w:hAnsi="Avenir Next LT Pro" w:cs="Arial"/>
        <w:caps/>
        <w:sz w:val="16"/>
        <w:szCs w:val="16"/>
      </w:rPr>
    </w:pPr>
  </w:p>
  <w:p w14:paraId="49D79CD8" w14:textId="77777777" w:rsidR="00A406E7" w:rsidRDefault="00A406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AD256" w14:textId="7F1DA2A5" w:rsidR="003B5CDE" w:rsidRDefault="003B5CDE" w:rsidP="003B5CDE">
    <w:pPr>
      <w:pStyle w:val="Header"/>
      <w:ind w:right="360"/>
      <w:rPr>
        <w:color w:val="4F81BD" w:themeColor="accent1"/>
      </w:rPr>
    </w:pPr>
  </w:p>
  <w:p w14:paraId="43F3F89F" w14:textId="77777777" w:rsidR="003B5CDE" w:rsidRDefault="003B5CDE" w:rsidP="003B5CDE">
    <w:pPr>
      <w:pStyle w:val="Header"/>
      <w:pBdr>
        <w:top w:val="single" w:sz="24" w:space="1" w:color="4F81BD" w:themeColor="accent1"/>
      </w:pBdr>
      <w:ind w:right="360"/>
      <w:rPr>
        <w:color w:val="4F81BD" w:themeColor="accent1"/>
      </w:rPr>
    </w:pPr>
  </w:p>
  <w:p w14:paraId="0195BB44" w14:textId="77777777" w:rsidR="003B5CDE" w:rsidRPr="00DD763F" w:rsidRDefault="003B5CDE" w:rsidP="003B5CDE">
    <w:pPr>
      <w:pStyle w:val="Header"/>
      <w:ind w:right="360"/>
      <w:rPr>
        <w:color w:val="4F81BD" w:themeColor="accent1"/>
      </w:rPr>
    </w:pPr>
    <w:r>
      <w:rPr>
        <w:color w:val="4F81BD" w:themeColor="accent1"/>
      </w:rPr>
      <w:t>Truckee Donner Public Utility District</w:t>
    </w:r>
    <w:r w:rsidRPr="00DD763F">
      <w:rPr>
        <w:color w:val="4F81BD" w:themeColor="accent1"/>
      </w:rPr>
      <w:t xml:space="preserve"> Wildfire Mitigation </w:t>
    </w:r>
    <w:r>
      <w:rPr>
        <w:color w:val="4F81BD" w:themeColor="accent1"/>
      </w:rPr>
      <w:t>Plan</w:t>
    </w:r>
  </w:p>
  <w:sdt>
    <w:sdtPr>
      <w:rPr>
        <w:rStyle w:val="PageNumber"/>
      </w:rPr>
      <w:id w:val="-414705056"/>
      <w:docPartObj>
        <w:docPartGallery w:val="Page Numbers (Bottom of Page)"/>
        <w:docPartUnique/>
      </w:docPartObj>
    </w:sdtPr>
    <w:sdtEndPr>
      <w:rPr>
        <w:rStyle w:val="PageNumber"/>
        <w:b w:val="0"/>
        <w:color w:val="0F243E" w:themeColor="text2" w:themeShade="80"/>
        <w:szCs w:val="32"/>
      </w:rPr>
    </w:sdtEndPr>
    <w:sdtContent>
      <w:p w14:paraId="683DC876" w14:textId="77777777" w:rsidR="003B5CDE" w:rsidRPr="00DD763F" w:rsidRDefault="003B5CDE" w:rsidP="003B5CDE">
        <w:pPr>
          <w:pStyle w:val="Footer"/>
          <w:framePr w:wrap="none" w:vAnchor="text" w:hAnchor="page" w:x="10281" w:y="208"/>
          <w:rPr>
            <w:rStyle w:val="PageNumber"/>
            <w:b w:val="0"/>
            <w:color w:val="0F243E" w:themeColor="text2" w:themeShade="80"/>
            <w:szCs w:val="32"/>
          </w:rPr>
        </w:pPr>
        <w:r w:rsidRPr="00DD763F">
          <w:rPr>
            <w:rStyle w:val="PageNumber"/>
            <w:b w:val="0"/>
            <w:color w:val="0F243E" w:themeColor="text2" w:themeShade="80"/>
            <w:szCs w:val="32"/>
          </w:rPr>
          <w:fldChar w:fldCharType="begin"/>
        </w:r>
        <w:r w:rsidRPr="00DD763F">
          <w:rPr>
            <w:rStyle w:val="PageNumber"/>
            <w:color w:val="0F243E" w:themeColor="text2" w:themeShade="80"/>
            <w:szCs w:val="32"/>
          </w:rPr>
          <w:instrText xml:space="preserve"> PAGE </w:instrText>
        </w:r>
        <w:r w:rsidRPr="00DD763F">
          <w:rPr>
            <w:rStyle w:val="PageNumber"/>
            <w:b w:val="0"/>
            <w:color w:val="0F243E" w:themeColor="text2" w:themeShade="80"/>
            <w:szCs w:val="32"/>
          </w:rPr>
          <w:fldChar w:fldCharType="separate"/>
        </w:r>
        <w:r>
          <w:rPr>
            <w:rStyle w:val="PageNumber"/>
            <w:color w:val="0F243E" w:themeColor="text2" w:themeShade="80"/>
            <w:szCs w:val="32"/>
          </w:rPr>
          <w:t>i</w:t>
        </w:r>
        <w:r w:rsidRPr="00DD763F">
          <w:rPr>
            <w:rStyle w:val="PageNumber"/>
            <w:b w:val="0"/>
            <w:color w:val="0F243E" w:themeColor="text2" w:themeShade="80"/>
            <w:szCs w:val="32"/>
          </w:rPr>
          <w:fldChar w:fldCharType="end"/>
        </w:r>
      </w:p>
    </w:sdtContent>
  </w:sdt>
  <w:p w14:paraId="25404FE1" w14:textId="328AD997" w:rsidR="003B5CDE" w:rsidRPr="00DD763F" w:rsidRDefault="003B5CDE" w:rsidP="003B5CDE">
    <w:pPr>
      <w:pStyle w:val="Header"/>
      <w:rPr>
        <w:color w:val="4F81BD" w:themeColor="accent1"/>
      </w:rPr>
    </w:pPr>
    <w:r w:rsidRPr="00DD763F">
      <w:rPr>
        <w:color w:val="4F81BD" w:themeColor="accent1"/>
      </w:rPr>
      <w:t xml:space="preserve">Version </w:t>
    </w:r>
    <w:r w:rsidR="00D93001">
      <w:rPr>
        <w:color w:val="4F81BD" w:themeColor="accent1"/>
      </w:rPr>
      <w:t>7</w:t>
    </w:r>
    <w:r>
      <w:rPr>
        <w:color w:val="4F81BD" w:themeColor="accent1"/>
      </w:rPr>
      <w:t>.0</w:t>
    </w:r>
  </w:p>
  <w:p w14:paraId="2F453717" w14:textId="50B6EFFC" w:rsidR="003B5CDE" w:rsidRPr="003A6D31" w:rsidRDefault="00DA3FDE" w:rsidP="003B5CDE">
    <w:pPr>
      <w:pStyle w:val="Header"/>
      <w:rPr>
        <w:color w:val="4F81BD" w:themeColor="accent1"/>
      </w:rPr>
    </w:pPr>
    <w:r>
      <w:rPr>
        <w:color w:val="4F81BD" w:themeColor="accent1"/>
      </w:rPr>
      <w:t xml:space="preserve">June </w:t>
    </w:r>
    <w:r w:rsidR="00D93001">
      <w:rPr>
        <w:color w:val="4F81BD" w:themeColor="accent1"/>
      </w:rPr>
      <w:t>8</w:t>
    </w:r>
    <w:r w:rsidR="003B5CDE">
      <w:rPr>
        <w:color w:val="4F81BD" w:themeColor="accent1"/>
      </w:rPr>
      <w:t>, 202</w:t>
    </w:r>
    <w:r w:rsidR="00D93001">
      <w:rPr>
        <w:color w:val="4F81BD" w:themeColor="accent1"/>
      </w:rPr>
      <w:t>6</w:t>
    </w:r>
  </w:p>
  <w:p w14:paraId="0D5F4AB8" w14:textId="77777777" w:rsidR="003B5CDE" w:rsidRPr="001D7993" w:rsidRDefault="003B5CDE" w:rsidP="001D7993">
    <w:pPr>
      <w:spacing w:before="0" w:after="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35BA4" w14:textId="17C4A298" w:rsidR="003B5CDE" w:rsidRDefault="003B5CDE" w:rsidP="003B5CDE">
    <w:pPr>
      <w:pStyle w:val="Header"/>
      <w:ind w:right="360"/>
      <w:rPr>
        <w:color w:val="4F81BD" w:themeColor="accent1"/>
      </w:rPr>
    </w:pPr>
  </w:p>
  <w:p w14:paraId="1EBF74A1" w14:textId="77777777" w:rsidR="003B5CDE" w:rsidRDefault="003B5CDE" w:rsidP="003B5CDE">
    <w:pPr>
      <w:pStyle w:val="Header"/>
      <w:pBdr>
        <w:top w:val="single" w:sz="24" w:space="1" w:color="4F81BD" w:themeColor="accent1"/>
      </w:pBdr>
      <w:ind w:right="360"/>
      <w:rPr>
        <w:color w:val="4F81BD" w:themeColor="accent1"/>
      </w:rPr>
    </w:pPr>
  </w:p>
  <w:p w14:paraId="31E9F3FE" w14:textId="77777777" w:rsidR="003B5CDE" w:rsidRPr="00DD763F" w:rsidRDefault="003B5CDE" w:rsidP="003B5CDE">
    <w:pPr>
      <w:pStyle w:val="Header"/>
      <w:ind w:right="360"/>
      <w:rPr>
        <w:color w:val="4F81BD" w:themeColor="accent1"/>
      </w:rPr>
    </w:pPr>
    <w:r>
      <w:rPr>
        <w:color w:val="4F81BD" w:themeColor="accent1"/>
      </w:rPr>
      <w:t>Truckee Donner Public Utility District</w:t>
    </w:r>
    <w:r w:rsidRPr="00DD763F">
      <w:rPr>
        <w:color w:val="4F81BD" w:themeColor="accent1"/>
      </w:rPr>
      <w:t xml:space="preserve"> Wildfire Mitigation </w:t>
    </w:r>
    <w:r>
      <w:rPr>
        <w:color w:val="4F81BD" w:themeColor="accent1"/>
      </w:rPr>
      <w:t>Plan</w:t>
    </w:r>
  </w:p>
  <w:sdt>
    <w:sdtPr>
      <w:rPr>
        <w:rStyle w:val="PageNumber"/>
      </w:rPr>
      <w:id w:val="-1759206643"/>
      <w:docPartObj>
        <w:docPartGallery w:val="Page Numbers (Bottom of Page)"/>
        <w:docPartUnique/>
      </w:docPartObj>
    </w:sdtPr>
    <w:sdtEndPr>
      <w:rPr>
        <w:rStyle w:val="PageNumber"/>
        <w:b w:val="0"/>
        <w:color w:val="0F243E" w:themeColor="text2" w:themeShade="80"/>
        <w:szCs w:val="32"/>
      </w:rPr>
    </w:sdtEndPr>
    <w:sdtContent>
      <w:p w14:paraId="77423741" w14:textId="77777777" w:rsidR="003B5CDE" w:rsidRPr="00DD763F" w:rsidRDefault="003B5CDE" w:rsidP="003B5CDE">
        <w:pPr>
          <w:pStyle w:val="Footer"/>
          <w:framePr w:wrap="none" w:vAnchor="text" w:hAnchor="page" w:x="10281" w:y="208"/>
          <w:rPr>
            <w:rStyle w:val="PageNumber"/>
            <w:b w:val="0"/>
            <w:color w:val="0F243E" w:themeColor="text2" w:themeShade="80"/>
            <w:szCs w:val="32"/>
          </w:rPr>
        </w:pPr>
        <w:r w:rsidRPr="00DD763F">
          <w:rPr>
            <w:rStyle w:val="PageNumber"/>
            <w:b w:val="0"/>
            <w:color w:val="0F243E" w:themeColor="text2" w:themeShade="80"/>
            <w:szCs w:val="32"/>
          </w:rPr>
          <w:fldChar w:fldCharType="begin"/>
        </w:r>
        <w:r w:rsidRPr="00DD763F">
          <w:rPr>
            <w:rStyle w:val="PageNumber"/>
            <w:color w:val="0F243E" w:themeColor="text2" w:themeShade="80"/>
            <w:szCs w:val="32"/>
          </w:rPr>
          <w:instrText xml:space="preserve"> PAGE </w:instrText>
        </w:r>
        <w:r w:rsidRPr="00DD763F">
          <w:rPr>
            <w:rStyle w:val="PageNumber"/>
            <w:b w:val="0"/>
            <w:color w:val="0F243E" w:themeColor="text2" w:themeShade="80"/>
            <w:szCs w:val="32"/>
          </w:rPr>
          <w:fldChar w:fldCharType="separate"/>
        </w:r>
        <w:r>
          <w:rPr>
            <w:rStyle w:val="PageNumber"/>
            <w:color w:val="0F243E" w:themeColor="text2" w:themeShade="80"/>
            <w:szCs w:val="32"/>
          </w:rPr>
          <w:t>4</w:t>
        </w:r>
        <w:r w:rsidRPr="00DD763F">
          <w:rPr>
            <w:rStyle w:val="PageNumber"/>
            <w:b w:val="0"/>
            <w:color w:val="0F243E" w:themeColor="text2" w:themeShade="80"/>
            <w:szCs w:val="32"/>
          </w:rPr>
          <w:fldChar w:fldCharType="end"/>
        </w:r>
      </w:p>
    </w:sdtContent>
  </w:sdt>
  <w:p w14:paraId="424EAC9A" w14:textId="1521818C" w:rsidR="003B5CDE" w:rsidRPr="00DD763F" w:rsidRDefault="003B5CDE" w:rsidP="003B5CDE">
    <w:pPr>
      <w:pStyle w:val="Header"/>
      <w:rPr>
        <w:color w:val="4F81BD" w:themeColor="accent1"/>
      </w:rPr>
    </w:pPr>
    <w:r w:rsidRPr="00DD763F">
      <w:rPr>
        <w:color w:val="4F81BD" w:themeColor="accent1"/>
      </w:rPr>
      <w:t xml:space="preserve">Version </w:t>
    </w:r>
    <w:r w:rsidR="00D93001">
      <w:rPr>
        <w:color w:val="4F81BD" w:themeColor="accent1"/>
      </w:rPr>
      <w:t>7</w:t>
    </w:r>
    <w:r>
      <w:rPr>
        <w:color w:val="4F81BD" w:themeColor="accent1"/>
      </w:rPr>
      <w:t>.0</w:t>
    </w:r>
  </w:p>
  <w:p w14:paraId="5F4070AD" w14:textId="0AE89A92" w:rsidR="003B5CDE" w:rsidRPr="003A6D31" w:rsidRDefault="00DA3FDE" w:rsidP="003B5CDE">
    <w:pPr>
      <w:pStyle w:val="Header"/>
      <w:rPr>
        <w:color w:val="4F81BD" w:themeColor="accent1"/>
      </w:rPr>
    </w:pPr>
    <w:r>
      <w:rPr>
        <w:color w:val="4F81BD" w:themeColor="accent1"/>
      </w:rPr>
      <w:t xml:space="preserve">June </w:t>
    </w:r>
    <w:r w:rsidR="00EC26F7">
      <w:rPr>
        <w:color w:val="4F81BD" w:themeColor="accent1"/>
      </w:rPr>
      <w:t>8</w:t>
    </w:r>
    <w:r w:rsidR="003B5CDE">
      <w:rPr>
        <w:color w:val="4F81BD" w:themeColor="accent1"/>
      </w:rPr>
      <w:t xml:space="preserve">, </w:t>
    </w:r>
    <w:r w:rsidR="0080758D">
      <w:rPr>
        <w:color w:val="4F81BD" w:themeColor="accent1"/>
      </w:rPr>
      <w:t>202</w:t>
    </w:r>
    <w:r w:rsidR="00EC26F7">
      <w:rPr>
        <w:color w:val="4F81BD" w:themeColor="accent1"/>
      </w:rPr>
      <w:t>6</w:t>
    </w:r>
  </w:p>
  <w:p w14:paraId="462F89CB" w14:textId="77777777" w:rsidR="003B5CDE" w:rsidRPr="00AF6038" w:rsidRDefault="003B5CDE" w:rsidP="00AF6038">
    <w:pPr>
      <w:spacing w:before="0" w:after="0" w:line="240"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0C66F" w14:textId="77777777" w:rsidR="001D7993" w:rsidRDefault="001D7993" w:rsidP="001D7993">
    <w:pPr>
      <w:pStyle w:val="Header"/>
      <w:ind w:right="360"/>
      <w:rPr>
        <w:color w:val="4F81BD" w:themeColor="accent1"/>
      </w:rPr>
    </w:pPr>
  </w:p>
  <w:p w14:paraId="4D495D20" w14:textId="77777777" w:rsidR="001D7993" w:rsidRDefault="001D7993" w:rsidP="001D7993">
    <w:pPr>
      <w:pStyle w:val="Header"/>
      <w:pBdr>
        <w:top w:val="single" w:sz="24" w:space="1" w:color="4F81BD" w:themeColor="accent1"/>
      </w:pBdr>
      <w:ind w:right="360"/>
      <w:rPr>
        <w:color w:val="4F81BD" w:themeColor="accent1"/>
      </w:rPr>
    </w:pPr>
  </w:p>
  <w:p w14:paraId="1286756F" w14:textId="77777777" w:rsidR="001D7993" w:rsidRPr="00DD763F" w:rsidRDefault="001D7993" w:rsidP="001D7993">
    <w:pPr>
      <w:pStyle w:val="Header"/>
      <w:ind w:right="360"/>
      <w:rPr>
        <w:color w:val="4F81BD" w:themeColor="accent1"/>
      </w:rPr>
    </w:pPr>
    <w:r>
      <w:rPr>
        <w:color w:val="4F81BD" w:themeColor="accent1"/>
      </w:rPr>
      <w:t>Truckee Donner Public Utility District</w:t>
    </w:r>
    <w:r w:rsidRPr="00DD763F">
      <w:rPr>
        <w:color w:val="4F81BD" w:themeColor="accent1"/>
      </w:rPr>
      <w:t xml:space="preserve"> Wildfire Mitigation </w:t>
    </w:r>
    <w:r>
      <w:rPr>
        <w:color w:val="4F81BD" w:themeColor="accent1"/>
      </w:rPr>
      <w:t>Plan</w:t>
    </w:r>
  </w:p>
  <w:sdt>
    <w:sdtPr>
      <w:rPr>
        <w:rStyle w:val="PageNumber"/>
      </w:rPr>
      <w:id w:val="-1590535612"/>
      <w:docPartObj>
        <w:docPartGallery w:val="Page Numbers (Bottom of Page)"/>
        <w:docPartUnique/>
      </w:docPartObj>
    </w:sdtPr>
    <w:sdtEndPr>
      <w:rPr>
        <w:rStyle w:val="PageNumber"/>
        <w:b w:val="0"/>
        <w:color w:val="0F243E" w:themeColor="text2" w:themeShade="80"/>
        <w:szCs w:val="32"/>
      </w:rPr>
    </w:sdtEndPr>
    <w:sdtContent>
      <w:p w14:paraId="4B53F0E0" w14:textId="77777777" w:rsidR="001D7993" w:rsidRPr="00DD763F" w:rsidRDefault="001D7993" w:rsidP="001D7993">
        <w:pPr>
          <w:pStyle w:val="Footer"/>
          <w:framePr w:wrap="none" w:vAnchor="text" w:hAnchor="page" w:x="10281" w:y="208"/>
          <w:rPr>
            <w:rStyle w:val="PageNumber"/>
            <w:b w:val="0"/>
            <w:color w:val="0F243E" w:themeColor="text2" w:themeShade="80"/>
            <w:szCs w:val="32"/>
          </w:rPr>
        </w:pPr>
        <w:r w:rsidRPr="00DD763F">
          <w:rPr>
            <w:rStyle w:val="PageNumber"/>
            <w:b w:val="0"/>
            <w:color w:val="0F243E" w:themeColor="text2" w:themeShade="80"/>
            <w:szCs w:val="32"/>
          </w:rPr>
          <w:fldChar w:fldCharType="begin"/>
        </w:r>
        <w:r w:rsidRPr="00DD763F">
          <w:rPr>
            <w:rStyle w:val="PageNumber"/>
            <w:color w:val="0F243E" w:themeColor="text2" w:themeShade="80"/>
            <w:szCs w:val="32"/>
          </w:rPr>
          <w:instrText xml:space="preserve"> PAGE </w:instrText>
        </w:r>
        <w:r w:rsidRPr="00DD763F">
          <w:rPr>
            <w:rStyle w:val="PageNumber"/>
            <w:b w:val="0"/>
            <w:color w:val="0F243E" w:themeColor="text2" w:themeShade="80"/>
            <w:szCs w:val="32"/>
          </w:rPr>
          <w:fldChar w:fldCharType="separate"/>
        </w:r>
        <w:r>
          <w:rPr>
            <w:rStyle w:val="PageNumber"/>
            <w:b w:val="0"/>
            <w:color w:val="0F243E" w:themeColor="text2" w:themeShade="80"/>
            <w:szCs w:val="32"/>
          </w:rPr>
          <w:t>1</w:t>
        </w:r>
        <w:r w:rsidRPr="00DD763F">
          <w:rPr>
            <w:rStyle w:val="PageNumber"/>
            <w:b w:val="0"/>
            <w:color w:val="0F243E" w:themeColor="text2" w:themeShade="80"/>
            <w:szCs w:val="32"/>
          </w:rPr>
          <w:fldChar w:fldCharType="end"/>
        </w:r>
      </w:p>
    </w:sdtContent>
  </w:sdt>
  <w:p w14:paraId="6E4C9B23" w14:textId="77777777" w:rsidR="001D7993" w:rsidRPr="00DD763F" w:rsidRDefault="001D7993" w:rsidP="001D7993">
    <w:pPr>
      <w:pStyle w:val="Header"/>
      <w:rPr>
        <w:color w:val="4F81BD" w:themeColor="accent1"/>
      </w:rPr>
    </w:pPr>
    <w:r w:rsidRPr="00DD763F">
      <w:rPr>
        <w:color w:val="4F81BD" w:themeColor="accent1"/>
      </w:rPr>
      <w:t xml:space="preserve">Version </w:t>
    </w:r>
    <w:r>
      <w:rPr>
        <w:color w:val="4F81BD" w:themeColor="accent1"/>
      </w:rPr>
      <w:t>7.0</w:t>
    </w:r>
  </w:p>
  <w:p w14:paraId="0BE87EC9" w14:textId="77777777" w:rsidR="001D7993" w:rsidRPr="003A6D31" w:rsidRDefault="001D7993" w:rsidP="001D7993">
    <w:pPr>
      <w:pStyle w:val="Header"/>
      <w:rPr>
        <w:color w:val="4F81BD" w:themeColor="accent1"/>
      </w:rPr>
    </w:pPr>
    <w:r>
      <w:rPr>
        <w:color w:val="4F81BD" w:themeColor="accent1"/>
      </w:rPr>
      <w:t>June 8, 2026</w:t>
    </w:r>
  </w:p>
  <w:p w14:paraId="71549C3D" w14:textId="77777777" w:rsidR="001D7993" w:rsidRPr="007E1A8D" w:rsidRDefault="001D7993" w:rsidP="001D7993">
    <w:pPr>
      <w:spacing w:before="0" w:after="0" w:line="240" w:lineRule="auto"/>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DFCEF" w14:textId="77777777" w:rsidR="008605FB" w:rsidRDefault="008605FB" w:rsidP="008605FB">
    <w:pPr>
      <w:pStyle w:val="Header"/>
      <w:ind w:right="360"/>
      <w:rPr>
        <w:color w:val="4F81BD" w:themeColor="accent1"/>
      </w:rPr>
    </w:pPr>
  </w:p>
  <w:p w14:paraId="500D2282" w14:textId="77777777" w:rsidR="008605FB" w:rsidRDefault="008605FB" w:rsidP="008605FB">
    <w:pPr>
      <w:pStyle w:val="Header"/>
      <w:pBdr>
        <w:top w:val="single" w:sz="24" w:space="1" w:color="4F81BD" w:themeColor="accent1"/>
      </w:pBdr>
      <w:ind w:right="360"/>
      <w:rPr>
        <w:color w:val="4F81BD" w:themeColor="accent1"/>
      </w:rPr>
    </w:pPr>
  </w:p>
  <w:p w14:paraId="22F1AC38" w14:textId="77777777" w:rsidR="008605FB" w:rsidRPr="00DD763F" w:rsidRDefault="008605FB" w:rsidP="008605FB">
    <w:pPr>
      <w:pStyle w:val="Header"/>
      <w:ind w:right="360"/>
      <w:rPr>
        <w:color w:val="4F81BD" w:themeColor="accent1"/>
      </w:rPr>
    </w:pPr>
    <w:r>
      <w:rPr>
        <w:color w:val="4F81BD" w:themeColor="accent1"/>
      </w:rPr>
      <w:t>Truckee Donner Public Utility District</w:t>
    </w:r>
    <w:r w:rsidRPr="00DD763F">
      <w:rPr>
        <w:color w:val="4F81BD" w:themeColor="accent1"/>
      </w:rPr>
      <w:t xml:space="preserve"> Wildfire Mitigation </w:t>
    </w:r>
    <w:r>
      <w:rPr>
        <w:color w:val="4F81BD" w:themeColor="accent1"/>
      </w:rPr>
      <w:t>Plan</w:t>
    </w:r>
  </w:p>
  <w:sdt>
    <w:sdtPr>
      <w:rPr>
        <w:rStyle w:val="PageNumber"/>
      </w:rPr>
      <w:id w:val="-1626838713"/>
      <w:docPartObj>
        <w:docPartGallery w:val="Page Numbers (Bottom of Page)"/>
        <w:docPartUnique/>
      </w:docPartObj>
    </w:sdtPr>
    <w:sdtEndPr>
      <w:rPr>
        <w:rStyle w:val="PageNumber"/>
        <w:b w:val="0"/>
        <w:color w:val="0F243E" w:themeColor="text2" w:themeShade="80"/>
        <w:szCs w:val="32"/>
      </w:rPr>
    </w:sdtEndPr>
    <w:sdtContent>
      <w:p w14:paraId="2C68B5C3" w14:textId="77777777" w:rsidR="008605FB" w:rsidRPr="00DD763F" w:rsidRDefault="008605FB" w:rsidP="008605FB">
        <w:pPr>
          <w:pStyle w:val="Footer"/>
          <w:framePr w:wrap="none" w:vAnchor="text" w:hAnchor="page" w:x="10281" w:y="208"/>
          <w:rPr>
            <w:rStyle w:val="PageNumber"/>
            <w:b w:val="0"/>
            <w:color w:val="0F243E" w:themeColor="text2" w:themeShade="80"/>
            <w:szCs w:val="32"/>
          </w:rPr>
        </w:pPr>
        <w:r w:rsidRPr="00DD763F">
          <w:rPr>
            <w:rStyle w:val="PageNumber"/>
            <w:b w:val="0"/>
            <w:color w:val="0F243E" w:themeColor="text2" w:themeShade="80"/>
            <w:szCs w:val="32"/>
          </w:rPr>
          <w:fldChar w:fldCharType="begin"/>
        </w:r>
        <w:r w:rsidRPr="00DD763F">
          <w:rPr>
            <w:rStyle w:val="PageNumber"/>
            <w:color w:val="0F243E" w:themeColor="text2" w:themeShade="80"/>
            <w:szCs w:val="32"/>
          </w:rPr>
          <w:instrText xml:space="preserve"> PAGE </w:instrText>
        </w:r>
        <w:r w:rsidRPr="00DD763F">
          <w:rPr>
            <w:rStyle w:val="PageNumber"/>
            <w:b w:val="0"/>
            <w:color w:val="0F243E" w:themeColor="text2" w:themeShade="80"/>
            <w:szCs w:val="32"/>
          </w:rPr>
          <w:fldChar w:fldCharType="separate"/>
        </w:r>
        <w:r>
          <w:rPr>
            <w:rStyle w:val="PageNumber"/>
            <w:b w:val="0"/>
            <w:color w:val="0F243E" w:themeColor="text2" w:themeShade="80"/>
            <w:szCs w:val="32"/>
          </w:rPr>
          <w:t>46</w:t>
        </w:r>
        <w:r w:rsidRPr="00DD763F">
          <w:rPr>
            <w:rStyle w:val="PageNumber"/>
            <w:b w:val="0"/>
            <w:color w:val="0F243E" w:themeColor="text2" w:themeShade="80"/>
            <w:szCs w:val="32"/>
          </w:rPr>
          <w:fldChar w:fldCharType="end"/>
        </w:r>
      </w:p>
    </w:sdtContent>
  </w:sdt>
  <w:p w14:paraId="4811D660" w14:textId="77777777" w:rsidR="008605FB" w:rsidRPr="00DD763F" w:rsidRDefault="008605FB" w:rsidP="008605FB">
    <w:pPr>
      <w:pStyle w:val="Header"/>
      <w:rPr>
        <w:color w:val="4F81BD" w:themeColor="accent1"/>
      </w:rPr>
    </w:pPr>
    <w:r w:rsidRPr="00DD763F">
      <w:rPr>
        <w:color w:val="4F81BD" w:themeColor="accent1"/>
      </w:rPr>
      <w:t xml:space="preserve">Version </w:t>
    </w:r>
    <w:r>
      <w:rPr>
        <w:color w:val="4F81BD" w:themeColor="accent1"/>
      </w:rPr>
      <w:t>7.0</w:t>
    </w:r>
  </w:p>
  <w:p w14:paraId="6F5A0739" w14:textId="77777777" w:rsidR="008605FB" w:rsidRPr="003A6D31" w:rsidRDefault="008605FB" w:rsidP="008605FB">
    <w:pPr>
      <w:pStyle w:val="Header"/>
      <w:rPr>
        <w:color w:val="4F81BD" w:themeColor="accent1"/>
      </w:rPr>
    </w:pPr>
    <w:r>
      <w:rPr>
        <w:color w:val="4F81BD" w:themeColor="accent1"/>
      </w:rPr>
      <w:t>June 8, 2026</w:t>
    </w:r>
  </w:p>
  <w:p w14:paraId="6BD41A8D" w14:textId="77777777" w:rsidR="008605FB" w:rsidRPr="007E1A8D" w:rsidRDefault="008605FB" w:rsidP="008605FB">
    <w:pPr>
      <w:spacing w:before="0" w:after="0" w:line="240" w:lineRule="auto"/>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52C00" w14:textId="77777777" w:rsidR="00B868EA" w:rsidRPr="00B868EA" w:rsidRDefault="00B868EA" w:rsidP="00B868E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462214"/>
      <w:docPartObj>
        <w:docPartGallery w:val="Page Numbers (Bottom of Page)"/>
        <w:docPartUnique/>
      </w:docPartObj>
    </w:sdtPr>
    <w:sdtEndPr>
      <w:rPr>
        <w:noProof/>
      </w:rPr>
    </w:sdtEndPr>
    <w:sdtContent>
      <w:p w14:paraId="75FB7BE8" w14:textId="36B05A8A" w:rsidR="00CB7D34" w:rsidRDefault="00CB7D34" w:rsidP="00CB7D34">
        <w:pPr>
          <w:pStyle w:val="Footer"/>
        </w:pPr>
        <w:r>
          <w:t>A-</w:t>
        </w:r>
        <w:r>
          <w:fldChar w:fldCharType="begin"/>
        </w:r>
        <w:r>
          <w:instrText xml:space="preserve"> PAGE   \* MERGEFORMAT </w:instrText>
        </w:r>
        <w:r>
          <w:fldChar w:fldCharType="separate"/>
        </w:r>
        <w:r>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C67EC" w14:textId="77777777" w:rsidR="00CB7D34" w:rsidRPr="00B868EA" w:rsidRDefault="00CB7D34" w:rsidP="00B868E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0724346"/>
      <w:docPartObj>
        <w:docPartGallery w:val="Page Numbers (Bottom of Page)"/>
        <w:docPartUnique/>
      </w:docPartObj>
    </w:sdtPr>
    <w:sdtEndPr>
      <w:rPr>
        <w:noProof/>
      </w:rPr>
    </w:sdtEndPr>
    <w:sdtContent>
      <w:p w14:paraId="0F09BC83" w14:textId="3AAB05EE" w:rsidR="00CB7D34" w:rsidRDefault="00CB7D34" w:rsidP="00CB7D34">
        <w:pPr>
          <w:pStyle w:val="Footer"/>
        </w:pPr>
        <w:r>
          <w:t>B-</w:t>
        </w:r>
        <w:r>
          <w:fldChar w:fldCharType="begin"/>
        </w:r>
        <w:r>
          <w:instrText xml:space="preserve"> PAGE   \* MERGEFORMAT </w:instrText>
        </w:r>
        <w:r>
          <w:fldChar w:fldCharType="separate"/>
        </w:r>
        <w:r>
          <w:t>1</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A93DD" w14:textId="7C46EF5C" w:rsidR="00CB7D34" w:rsidRPr="001B420C" w:rsidRDefault="00CB7D34" w:rsidP="001B420C">
    <w:pPr>
      <w:pStyle w:val="HiddenParagraph"/>
    </w:pPr>
  </w:p>
  <w:p w14:paraId="14D1C26B" w14:textId="77777777" w:rsidR="00CB7D34" w:rsidRPr="00CB7D34" w:rsidRDefault="00CB7D34" w:rsidP="00CB7D34"/>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8C4B7" w14:textId="54D1F1AB" w:rsidR="00CB7D34" w:rsidRDefault="00CB7D34" w:rsidP="00CB7D34"/>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8227248"/>
      <w:docPartObj>
        <w:docPartGallery w:val="Page Numbers (Bottom of Page)"/>
        <w:docPartUnique/>
      </w:docPartObj>
    </w:sdtPr>
    <w:sdtEndPr>
      <w:rPr>
        <w:noProof/>
      </w:rPr>
    </w:sdtEndPr>
    <w:sdtContent>
      <w:p w14:paraId="1CA80B83" w14:textId="77777777" w:rsidR="00CB7D34" w:rsidRPr="00CB7D34" w:rsidRDefault="00CB7D34" w:rsidP="000949C1">
        <w:pPr>
          <w:pStyle w:val="Footer"/>
        </w:pPr>
        <w:r>
          <w:t>D-</w:t>
        </w:r>
        <w:r w:rsidRPr="00CB7D34">
          <w:fldChar w:fldCharType="begin"/>
        </w:r>
        <w:r w:rsidRPr="00CB7D34">
          <w:instrText xml:space="preserve"> PAGE   \* MERGEFORMAT </w:instrText>
        </w:r>
        <w:r w:rsidRPr="00CB7D34">
          <w:fldChar w:fldCharType="separate"/>
        </w:r>
        <w:r>
          <w:t>1</w:t>
        </w:r>
        <w:r w:rsidRPr="00CB7D34">
          <w:rPr>
            <w:noProof/>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8465037"/>
      <w:docPartObj>
        <w:docPartGallery w:val="Page Numbers (Bottom of Page)"/>
        <w:docPartUnique/>
      </w:docPartObj>
    </w:sdtPr>
    <w:sdtEndPr>
      <w:rPr>
        <w:noProof/>
      </w:rPr>
    </w:sdtEndPr>
    <w:sdtContent>
      <w:p w14:paraId="16D197BC" w14:textId="50135805" w:rsidR="00CB7D34" w:rsidRPr="00490B15" w:rsidRDefault="00CB7D34">
        <w:pPr>
          <w:pStyle w:val="Footer"/>
        </w:pPr>
        <w:r>
          <w:t>D-</w:t>
        </w:r>
        <w:r w:rsidRPr="00490B15">
          <w:fldChar w:fldCharType="begin"/>
        </w:r>
        <w:r w:rsidRPr="00490B15">
          <w:instrText xml:space="preserve"> PAGE   \* MERGEFORMAT </w:instrText>
        </w:r>
        <w:r w:rsidRPr="00490B15">
          <w:fldChar w:fldCharType="separate"/>
        </w:r>
        <w:r w:rsidRPr="00490B15">
          <w:rPr>
            <w:noProof/>
          </w:rPr>
          <w:t>2</w:t>
        </w:r>
        <w:r w:rsidRPr="00490B15">
          <w:rPr>
            <w:noProof/>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3519855"/>
      <w:docPartObj>
        <w:docPartGallery w:val="Page Numbers (Bottom of Page)"/>
        <w:docPartUnique/>
      </w:docPartObj>
    </w:sdtPr>
    <w:sdtEndPr>
      <w:rPr>
        <w:noProof/>
      </w:rPr>
    </w:sdtEndPr>
    <w:sdtContent>
      <w:p w14:paraId="1A893918" w14:textId="19E24DDF" w:rsidR="001B171E" w:rsidRPr="00CB7D34" w:rsidRDefault="001B171E" w:rsidP="000949C1">
        <w:pPr>
          <w:pStyle w:val="Footer"/>
        </w:pPr>
        <w:r>
          <w:t>E-</w:t>
        </w:r>
        <w:r w:rsidRPr="00CB7D34">
          <w:fldChar w:fldCharType="begin"/>
        </w:r>
        <w:r w:rsidRPr="00CB7D34">
          <w:instrText xml:space="preserve"> PAGE   \* MERGEFORMAT </w:instrText>
        </w:r>
        <w:r w:rsidRPr="00CB7D34">
          <w:fldChar w:fldCharType="separate"/>
        </w:r>
        <w:r>
          <w:t>1</w:t>
        </w:r>
        <w:r w:rsidRPr="00CB7D34">
          <w:rPr>
            <w:noProof/>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3DC1B" w14:textId="5E31B563" w:rsidR="000949C1" w:rsidRPr="000949C1" w:rsidRDefault="000949C1" w:rsidP="000949C1">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014D3" w14:textId="77777777" w:rsidR="00622C52" w:rsidRDefault="00622C52" w:rsidP="00B868EA">
      <w:pPr>
        <w:pStyle w:val="TableText"/>
      </w:pPr>
      <w:r>
        <w:separator/>
      </w:r>
    </w:p>
  </w:footnote>
  <w:footnote w:type="continuationSeparator" w:id="0">
    <w:p w14:paraId="784BB3A3" w14:textId="77777777" w:rsidR="00622C52" w:rsidRDefault="00622C52" w:rsidP="00B868EA">
      <w:pPr>
        <w:pStyle w:val="TableText"/>
      </w:pPr>
      <w:r>
        <w:continuationSeparator/>
      </w:r>
    </w:p>
    <w:p w14:paraId="0B3761FD" w14:textId="77777777" w:rsidR="00622C52" w:rsidRDefault="00622C52"/>
  </w:footnote>
  <w:footnote w:id="1">
    <w:p w14:paraId="67B8D82E" w14:textId="026FCC73" w:rsidR="00091516" w:rsidRDefault="00091516" w:rsidP="00142822">
      <w:pPr>
        <w:pStyle w:val="FootnoteText"/>
      </w:pPr>
      <w:r>
        <w:rPr>
          <w:rStyle w:val="FootnoteReference"/>
        </w:rPr>
        <w:footnoteRef/>
      </w:r>
      <w:r>
        <w:tab/>
        <w:t>Based on the Wildland Urban Interface Maps available from the U.S. Geological Survey website titled “</w:t>
      </w:r>
      <w:r w:rsidRPr="00142822">
        <w:t>Wildland-urban interface maps for the conterminous U.S. based on 125 million building locations</w:t>
      </w:r>
      <w:r>
        <w:t>”</w:t>
      </w:r>
      <w:r>
        <w:rPr>
          <w:noProof/>
        </w:rPr>
        <w:t xml:space="preserve"> (Carlson et al. 2022).</w:t>
      </w:r>
    </w:p>
  </w:footnote>
  <w:footnote w:id="2">
    <w:p w14:paraId="472802F2" w14:textId="26B06CE2" w:rsidR="00A406E7" w:rsidRPr="00940504" w:rsidRDefault="00A406E7" w:rsidP="0054550A">
      <w:pPr>
        <w:pStyle w:val="FootnoteText"/>
        <w:keepNext/>
        <w:keepLines/>
      </w:pPr>
      <w:r w:rsidRPr="00940504">
        <w:rPr>
          <w:rStyle w:val="FootnoteReference"/>
        </w:rPr>
        <w:footnoteRef/>
      </w:r>
      <w:r w:rsidR="00F7707E">
        <w:tab/>
      </w:r>
      <w:r w:rsidRPr="00940504">
        <w:t xml:space="preserve">19 </w:t>
      </w:r>
      <w:r w:rsidR="00181D31" w:rsidRPr="00181D31">
        <w:t>California Code of Regulations</w:t>
      </w:r>
      <w:r w:rsidRPr="00940504">
        <w:t xml:space="preserve"> </w:t>
      </w:r>
      <w:r w:rsidR="00940504" w:rsidRPr="00940504">
        <w:t>Section</w:t>
      </w:r>
      <w:r w:rsidRPr="00940504">
        <w:t xml:space="preserve"> 2407.</w:t>
      </w:r>
    </w:p>
  </w:footnote>
  <w:footnote w:id="3">
    <w:p w14:paraId="6505E503" w14:textId="1CAE6C15" w:rsidR="00A406E7" w:rsidRPr="00940504" w:rsidRDefault="00A406E7" w:rsidP="0054550A">
      <w:pPr>
        <w:pStyle w:val="FootnoteText"/>
        <w:keepNext/>
        <w:keepLines/>
      </w:pPr>
      <w:r w:rsidRPr="00940504">
        <w:rPr>
          <w:rStyle w:val="FootnoteReference"/>
        </w:rPr>
        <w:footnoteRef/>
      </w:r>
      <w:r w:rsidR="00F7707E">
        <w:tab/>
      </w:r>
      <w:r w:rsidRPr="00940504">
        <w:t xml:space="preserve">Cal. Gov. Code </w:t>
      </w:r>
      <w:r w:rsidR="00940504" w:rsidRPr="00940504">
        <w:t>Section</w:t>
      </w:r>
      <w:r w:rsidRPr="00940504">
        <w:t xml:space="preserve"> 2403(b):</w:t>
      </w:r>
    </w:p>
    <w:p w14:paraId="2E2FA1E5" w14:textId="77777777" w:rsidR="00A406E7" w:rsidRPr="002B1E0D" w:rsidRDefault="00A406E7" w:rsidP="0054550A">
      <w:pPr>
        <w:pStyle w:val="FootnoteText"/>
        <w:keepNext/>
        <w:keepLines/>
        <w:ind w:firstLine="0"/>
      </w:pPr>
      <w:r w:rsidRPr="002B1E0D">
        <w:t xml:space="preserve">(1) “Field response level” commands emergency response personnel and resources to carry out tactical decisions and activities in direct response to an incident or threat. </w:t>
      </w:r>
    </w:p>
    <w:p w14:paraId="7462A70E" w14:textId="77777777" w:rsidR="00A406E7" w:rsidRPr="002B1E0D" w:rsidRDefault="00A406E7" w:rsidP="0054550A">
      <w:pPr>
        <w:pStyle w:val="FootnoteText"/>
        <w:keepNext/>
        <w:keepLines/>
        <w:ind w:firstLine="0"/>
      </w:pPr>
      <w:r w:rsidRPr="002B1E0D">
        <w:t xml:space="preserve">(2) “Local government level” manages and coordinates the overall emergency response and recovery activities within their jurisdiction. </w:t>
      </w:r>
    </w:p>
    <w:p w14:paraId="07AFAE43" w14:textId="292B7FA6" w:rsidR="00A406E7" w:rsidRPr="0054550A" w:rsidRDefault="00A406E7" w:rsidP="0054550A">
      <w:pPr>
        <w:pStyle w:val="FootnoteText"/>
        <w:keepNext/>
        <w:keepLines/>
        <w:ind w:firstLine="0"/>
        <w:rPr>
          <w:spacing w:val="-2"/>
        </w:rPr>
      </w:pPr>
      <w:r w:rsidRPr="0054550A">
        <w:rPr>
          <w:spacing w:val="-2"/>
        </w:rPr>
        <w:t>(3) “Operational area level” manages and/or coordinates information, resources, and priorities among local governments within the operational area and serves as the coordination and communication link between the local government level and the regional</w:t>
      </w:r>
      <w:r w:rsidR="0054550A" w:rsidRPr="0054550A">
        <w:rPr>
          <w:spacing w:val="-2"/>
        </w:rPr>
        <w:t> </w:t>
      </w:r>
      <w:r w:rsidRPr="0054550A">
        <w:rPr>
          <w:spacing w:val="-2"/>
        </w:rPr>
        <w:t xml:space="preserve">level. </w:t>
      </w:r>
    </w:p>
    <w:p w14:paraId="79BD02A6" w14:textId="77777777" w:rsidR="00A406E7" w:rsidRPr="002B1E0D" w:rsidRDefault="00A406E7" w:rsidP="0054550A">
      <w:pPr>
        <w:pStyle w:val="FootnoteText"/>
        <w:keepNext/>
        <w:keepLines/>
        <w:ind w:firstLine="0"/>
      </w:pPr>
      <w:r w:rsidRPr="002B1E0D">
        <w:t xml:space="preserve">(4) “Regional level” manages and coordinates information and resources among operational areas within the mutual aid region designated pursuant to Government Code §8600 and between the operational areas and the state level. This level along with the state level coordinates overall state agency support for emergency response activities. </w:t>
      </w:r>
    </w:p>
    <w:p w14:paraId="631B90FD" w14:textId="77777777" w:rsidR="00A406E7" w:rsidRPr="002B1E0D" w:rsidRDefault="00A406E7" w:rsidP="0054550A">
      <w:pPr>
        <w:pStyle w:val="FootnoteText"/>
        <w:keepNext/>
        <w:keepLines/>
        <w:ind w:firstLine="0"/>
      </w:pPr>
      <w:r w:rsidRPr="002B1E0D">
        <w:t>(5) “State level” manages state resources in response to the emergency needs of the other levels, manages and coordinates mutual aid among the mutual aid regions and between the regional level and state level, and serves as the coordination and communication link with the federal disaster response system.</w:t>
      </w:r>
    </w:p>
  </w:footnote>
  <w:footnote w:id="4">
    <w:p w14:paraId="0B2CB160" w14:textId="2989550B" w:rsidR="00A406E7" w:rsidRPr="00864B9B" w:rsidRDefault="00A406E7">
      <w:pPr>
        <w:pStyle w:val="FootnoteText"/>
      </w:pPr>
      <w:r w:rsidRPr="00864B9B">
        <w:rPr>
          <w:rStyle w:val="FootnoteReference"/>
        </w:rPr>
        <w:footnoteRef/>
      </w:r>
      <w:r w:rsidR="00F7707E">
        <w:tab/>
      </w:r>
      <w:r w:rsidRPr="00864B9B">
        <w:rPr>
          <w:color w:val="000000"/>
        </w:rPr>
        <w:t>Adopted by CPUC Decision 17-12-024.</w:t>
      </w:r>
    </w:p>
  </w:footnote>
  <w:footnote w:id="5">
    <w:p w14:paraId="342033AC" w14:textId="46654F75" w:rsidR="00742874" w:rsidRDefault="00742874" w:rsidP="0054550A">
      <w:pPr>
        <w:pStyle w:val="FootnoteText"/>
        <w:keepNext/>
        <w:keepLines/>
      </w:pPr>
      <w:r>
        <w:rPr>
          <w:rStyle w:val="FootnoteReference"/>
        </w:rPr>
        <w:footnoteRef/>
      </w:r>
      <w:r w:rsidR="00804066">
        <w:tab/>
      </w:r>
      <w:r w:rsidRPr="00625234">
        <w:rPr>
          <w:spacing w:val="-1"/>
        </w:rPr>
        <w:t>An RFW is issued for weather events that may result in extreme fire behavior that</w:t>
      </w:r>
      <w:r w:rsidRPr="00625234">
        <w:rPr>
          <w:rFonts w:ascii="Times New Roman" w:hAnsi="Times New Roman"/>
        </w:rPr>
        <w:t xml:space="preserve"> </w:t>
      </w:r>
      <w:r w:rsidRPr="00625234">
        <w:t>will occur within 24 hours. RFW is the highest alert. While an RFW is in effect, TDPUD’s crews limit hot work, such as welding, grinding, and cutting, and TDPUD will delay all routine work on energized primary lines (12</w:t>
      </w:r>
      <w:r>
        <w:t xml:space="preserve"> </w:t>
      </w:r>
      <w:r w:rsidRPr="00625234">
        <w:t>kV and 14.4</w:t>
      </w:r>
      <w:r>
        <w:t xml:space="preserve"> </w:t>
      </w:r>
      <w:r w:rsidRPr="00625234">
        <w:t xml:space="preserve">kV). TDPUD may perform necessary work to preserve facilities or property. Vegetation management and line </w:t>
      </w:r>
      <w:r>
        <w:t xml:space="preserve">crews have on-site fire suppression equipment and conduct tailboard meetings to confirm the location and readiness of the fire suppression equipment. </w:t>
      </w:r>
    </w:p>
  </w:footnote>
  <w:footnote w:id="6">
    <w:p w14:paraId="00852962" w14:textId="77777777" w:rsidR="008E40B0" w:rsidRDefault="008E40B0" w:rsidP="008E40B0">
      <w:pPr>
        <w:pStyle w:val="footnotedescription"/>
        <w:spacing w:line="278" w:lineRule="auto"/>
        <w:jc w:val="both"/>
      </w:pPr>
      <w:r>
        <w:rPr>
          <w:rStyle w:val="footnotemark"/>
        </w:rPr>
        <w:footnoteRef/>
      </w:r>
      <w:r>
        <w:t xml:space="preserve"> The factor of 10 stems from the definition of Burning Index (BI) in the National Fire Danger Rating System (NFDRS) as ten times flame length in ft.  </w:t>
      </w:r>
    </w:p>
  </w:footnote>
  <w:footnote w:id="7">
    <w:p w14:paraId="0F915019" w14:textId="77777777" w:rsidR="008E40B0" w:rsidRDefault="008E40B0" w:rsidP="008E40B0">
      <w:pPr>
        <w:pStyle w:val="footnotedescription"/>
        <w:spacing w:line="260" w:lineRule="auto"/>
      </w:pPr>
      <w:r>
        <w:rPr>
          <w:rStyle w:val="footnotemark"/>
        </w:rPr>
        <w:footnoteRef/>
      </w:r>
      <w:r>
        <w:t xml:space="preserve"> Sapsis, D. </w:t>
      </w:r>
      <w:r>
        <w:rPr>
          <w:i/>
        </w:rPr>
        <w:t>et al</w:t>
      </w:r>
      <w:r>
        <w:t xml:space="preserve">., “Mapping Environmental Influences on Utility Fire Threat,” A Report to the California Public Utilities Commission Pursuant to R.08 – 11-005 and R.15-05-006, Final Report, February 2, 2016. </w:t>
      </w:r>
    </w:p>
  </w:footnote>
  <w:footnote w:id="8">
    <w:p w14:paraId="54BA8B1A" w14:textId="77777777" w:rsidR="008E40B0" w:rsidRDefault="008E40B0" w:rsidP="008E40B0">
      <w:pPr>
        <w:pStyle w:val="footnotedescription"/>
        <w:spacing w:after="11" w:line="250" w:lineRule="auto"/>
      </w:pPr>
      <w:r>
        <w:rPr>
          <w:rStyle w:val="footnotemark"/>
        </w:rPr>
        <w:footnoteRef/>
      </w:r>
      <w:r>
        <w:t xml:space="preserve"> Lautenberger, C., “Wildland Fire Modeling with an Eulerian Level Set Method and Automated Calibration,” </w:t>
      </w:r>
      <w:r>
        <w:rPr>
          <w:i/>
        </w:rPr>
        <w:t>Fire Safety Journal</w:t>
      </w:r>
      <w:r>
        <w:t xml:space="preserve"> </w:t>
      </w:r>
      <w:r>
        <w:rPr>
          <w:b/>
        </w:rPr>
        <w:t>62</w:t>
      </w:r>
      <w:r>
        <w:t xml:space="preserve">: 289-298 (2013). </w:t>
      </w:r>
    </w:p>
  </w:footnote>
  <w:footnote w:id="9">
    <w:p w14:paraId="13773662" w14:textId="77777777" w:rsidR="008E40B0" w:rsidRDefault="008E40B0" w:rsidP="008E40B0">
      <w:pPr>
        <w:pStyle w:val="footnotedescription"/>
        <w:spacing w:after="350"/>
      </w:pPr>
      <w:r>
        <w:rPr>
          <w:rStyle w:val="footnotemark"/>
        </w:rPr>
        <w:footnoteRef/>
      </w:r>
      <w:r>
        <w:t xml:space="preserve"> https://elmfire.io</w:t>
      </w:r>
      <w:r>
        <w:rPr>
          <w:sz w:val="22"/>
        </w:rPr>
        <w:t xml:space="preserve"> </w:t>
      </w:r>
    </w:p>
    <w:p w14:paraId="5F6E05CC" w14:textId="77777777" w:rsidR="008E40B0" w:rsidRDefault="008E40B0" w:rsidP="008E40B0">
      <w:pPr>
        <w:pStyle w:val="footnotedescription"/>
        <w:tabs>
          <w:tab w:val="center" w:pos="360"/>
          <w:tab w:val="center" w:pos="4320"/>
        </w:tabs>
      </w:pPr>
      <w:r>
        <w:rPr>
          <w:sz w:val="22"/>
        </w:rPr>
        <w:t xml:space="preserve"> </w:t>
      </w:r>
      <w:r>
        <w:rPr>
          <w:sz w:val="22"/>
        </w:rPr>
        <w:tab/>
        <w:t xml:space="preserve"> </w:t>
      </w:r>
      <w:r>
        <w:rPr>
          <w:sz w:val="22"/>
        </w:rPr>
        <w:tab/>
        <w:t xml:space="preserve">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C2443" w14:textId="0328C419" w:rsidR="00A406E7" w:rsidRPr="00B868EA" w:rsidRDefault="00A406E7" w:rsidP="00B868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C5C43" w14:textId="77777777" w:rsidR="00A406E7" w:rsidRPr="002B70A7" w:rsidRDefault="00A406E7" w:rsidP="002B70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CE335" w14:textId="77777777" w:rsidR="00A406E7" w:rsidRPr="002B70A7" w:rsidRDefault="00A406E7" w:rsidP="002B70A7">
    <w:pPr>
      <w:pStyle w:val="Header-First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12E87" w14:textId="77777777" w:rsidR="00A406E7" w:rsidRPr="007A456C" w:rsidRDefault="00A406E7" w:rsidP="006227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56E22E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901D7D"/>
    <w:multiLevelType w:val="multilevel"/>
    <w:tmpl w:val="BE7404AA"/>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080"/>
        </w:tabs>
        <w:ind w:left="1080" w:hanging="360"/>
      </w:pPr>
      <w:rPr>
        <w:rFonts w:ascii="Franklin Gothic Book" w:hAnsi="Franklin Gothic Book" w:hint="default"/>
      </w:rPr>
    </w:lvl>
    <w:lvl w:ilvl="2">
      <w:start w:val="1"/>
      <w:numFmt w:val="bullet"/>
      <w:lvlText w:val="-"/>
      <w:lvlJc w:val="left"/>
      <w:pPr>
        <w:tabs>
          <w:tab w:val="num" w:pos="1440"/>
        </w:tabs>
        <w:ind w:left="1440" w:hanging="360"/>
      </w:pPr>
      <w:rPr>
        <w:rFonts w:ascii="Franklin Gothic Book" w:hAnsi="Franklin Gothic Book" w:hint="default"/>
      </w:rPr>
    </w:lvl>
    <w:lvl w:ilvl="3">
      <w:start w:val="1"/>
      <w:numFmt w:val="bullet"/>
      <w:pStyle w:val="MitigationMeasure-Bullet"/>
      <w:lvlText w:val=""/>
      <w:lvlJc w:val="left"/>
      <w:pPr>
        <w:tabs>
          <w:tab w:val="num" w:pos="1800"/>
        </w:tabs>
        <w:ind w:left="1800" w:hanging="360"/>
      </w:pPr>
      <w:rPr>
        <w:rFonts w:ascii="Wingdings" w:hAnsi="Wingdings" w:hint="default"/>
      </w:rPr>
    </w:lvl>
    <w:lvl w:ilvl="4">
      <w:start w:val="1"/>
      <w:numFmt w:val="bullet"/>
      <w:lvlText w:val="-"/>
      <w:lvlJc w:val="left"/>
      <w:pPr>
        <w:tabs>
          <w:tab w:val="num" w:pos="2160"/>
        </w:tabs>
        <w:ind w:left="2160" w:hanging="360"/>
      </w:pPr>
      <w:rPr>
        <w:rFonts w:ascii="Franklin Gothic Book" w:hAnsi="Franklin Gothic Book" w:hint="default"/>
      </w:rPr>
    </w:lvl>
    <w:lvl w:ilvl="5">
      <w:start w:val="1"/>
      <w:numFmt w:val="bullet"/>
      <w:lvlText w:val="-"/>
      <w:lvlJc w:val="left"/>
      <w:pPr>
        <w:tabs>
          <w:tab w:val="num" w:pos="2520"/>
        </w:tabs>
        <w:ind w:left="2520" w:hanging="360"/>
      </w:pPr>
      <w:rPr>
        <w:rFonts w:ascii="Franklin Gothic Book" w:hAnsi="Franklin Gothic Book" w:hint="default"/>
      </w:rPr>
    </w:lvl>
    <w:lvl w:ilvl="6">
      <w:start w:val="1"/>
      <w:numFmt w:val="bullet"/>
      <w:lvlText w:val="-"/>
      <w:lvlJc w:val="left"/>
      <w:pPr>
        <w:ind w:left="2880" w:hanging="360"/>
      </w:pPr>
      <w:rPr>
        <w:rFonts w:ascii="Franklin Gothic Book" w:hAnsi="Franklin Gothic Book" w:hint="default"/>
      </w:rPr>
    </w:lvl>
    <w:lvl w:ilvl="7">
      <w:start w:val="1"/>
      <w:numFmt w:val="bullet"/>
      <w:lvlText w:val="-"/>
      <w:lvlJc w:val="left"/>
      <w:pPr>
        <w:ind w:left="3240" w:hanging="360"/>
      </w:pPr>
      <w:rPr>
        <w:rFonts w:ascii="Franklin Gothic Book" w:hAnsi="Franklin Gothic Book" w:hint="default"/>
      </w:rPr>
    </w:lvl>
    <w:lvl w:ilvl="8">
      <w:start w:val="1"/>
      <w:numFmt w:val="bullet"/>
      <w:lvlText w:val="-"/>
      <w:lvlJc w:val="left"/>
      <w:pPr>
        <w:ind w:left="3600" w:hanging="360"/>
      </w:pPr>
      <w:rPr>
        <w:rFonts w:ascii="Franklin Gothic Book" w:hAnsi="Franklin Gothic Book" w:hint="default"/>
      </w:rPr>
    </w:lvl>
  </w:abstractNum>
  <w:abstractNum w:abstractNumId="2" w15:restartNumberingAfterBreak="0">
    <w:nsid w:val="0B4637DA"/>
    <w:multiLevelType w:val="hybridMultilevel"/>
    <w:tmpl w:val="E25CA9FA"/>
    <w:lvl w:ilvl="0" w:tplc="627463F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22CB60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3D2718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DD8B38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59874B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C287ED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7007A6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4C4CEE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36C80A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673715C"/>
    <w:multiLevelType w:val="hybridMultilevel"/>
    <w:tmpl w:val="4C9EAAE8"/>
    <w:lvl w:ilvl="0" w:tplc="2B90B4BA">
      <w:start w:val="1"/>
      <w:numFmt w:val="decimal"/>
      <w:lvlText w:val="%1."/>
      <w:lvlJc w:val="left"/>
      <w:pPr>
        <w:ind w:left="7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564F0F2">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C4893C0">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63EEBD6">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B3EABEA">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422E880">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01EB78C">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226575C">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3804616">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E09053A"/>
    <w:multiLevelType w:val="hybridMultilevel"/>
    <w:tmpl w:val="716E049C"/>
    <w:lvl w:ilvl="0" w:tplc="5DF040E0">
      <w:start w:val="1"/>
      <w:numFmt w:val="upperLetter"/>
      <w:pStyle w:val="TOCTableofAppendices"/>
      <w:lvlText w:val="%1"/>
      <w:lvlJc w:val="left"/>
      <w:pPr>
        <w:ind w:left="360" w:hanging="360"/>
      </w:pPr>
      <w:rPr>
        <w:rFonts w:ascii="Franklin Gothic Book" w:hAnsi="Franklin Gothic Book" w:hint="default"/>
        <w:color w:val="auto"/>
        <w:sz w:val="21"/>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4A50478"/>
    <w:multiLevelType w:val="multilevel"/>
    <w:tmpl w:val="188E5D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tabs>
          <w:tab w:val="num" w:pos="1440"/>
        </w:tabs>
        <w:ind w:left="1440" w:hanging="360"/>
      </w:pPr>
      <w:rPr>
        <w:rFonts w:ascii="Franklin Gothic Book" w:hAnsi="Franklin Gothic Book" w:hint="default"/>
      </w:rPr>
    </w:lvl>
    <w:lvl w:ilvl="3">
      <w:start w:val="1"/>
      <w:numFmt w:val="bullet"/>
      <w:lvlText w:val="-"/>
      <w:lvlJc w:val="left"/>
      <w:pPr>
        <w:tabs>
          <w:tab w:val="num" w:pos="1800"/>
        </w:tabs>
        <w:ind w:left="1800" w:hanging="360"/>
      </w:pPr>
      <w:rPr>
        <w:rFonts w:ascii="Franklin Gothic Book" w:hAnsi="Franklin Gothic Book" w:hint="default"/>
      </w:rPr>
    </w:lvl>
    <w:lvl w:ilvl="4">
      <w:start w:val="1"/>
      <w:numFmt w:val="bullet"/>
      <w:lvlText w:val="-"/>
      <w:lvlJc w:val="left"/>
      <w:pPr>
        <w:tabs>
          <w:tab w:val="num" w:pos="2160"/>
        </w:tabs>
        <w:ind w:left="2160" w:hanging="360"/>
      </w:pPr>
      <w:rPr>
        <w:rFonts w:ascii="Franklin Gothic Book" w:hAnsi="Franklin Gothic Book" w:hint="default"/>
      </w:rPr>
    </w:lvl>
    <w:lvl w:ilvl="5">
      <w:start w:val="1"/>
      <w:numFmt w:val="bullet"/>
      <w:lvlText w:val="-"/>
      <w:lvlJc w:val="left"/>
      <w:pPr>
        <w:tabs>
          <w:tab w:val="num" w:pos="2520"/>
        </w:tabs>
        <w:ind w:left="2520" w:hanging="360"/>
      </w:pPr>
      <w:rPr>
        <w:rFonts w:ascii="Franklin Gothic Book" w:hAnsi="Franklin Gothic Book" w:hint="default"/>
      </w:rPr>
    </w:lvl>
    <w:lvl w:ilvl="6">
      <w:start w:val="1"/>
      <w:numFmt w:val="bullet"/>
      <w:lvlText w:val="-"/>
      <w:lvlJc w:val="left"/>
      <w:pPr>
        <w:tabs>
          <w:tab w:val="num" w:pos="2880"/>
        </w:tabs>
        <w:ind w:left="2880" w:hanging="360"/>
      </w:pPr>
      <w:rPr>
        <w:rFonts w:ascii="Franklin Gothic Book" w:hAnsi="Franklin Gothic Book" w:hint="default"/>
      </w:rPr>
    </w:lvl>
    <w:lvl w:ilvl="7">
      <w:start w:val="1"/>
      <w:numFmt w:val="bullet"/>
      <w:lvlText w:val="-"/>
      <w:lvlJc w:val="left"/>
      <w:pPr>
        <w:tabs>
          <w:tab w:val="num" w:pos="3240"/>
        </w:tabs>
        <w:ind w:left="3240" w:hanging="360"/>
      </w:pPr>
      <w:rPr>
        <w:rFonts w:ascii="Franklin Gothic Book" w:hAnsi="Franklin Gothic Book" w:hint="default"/>
      </w:rPr>
    </w:lvl>
    <w:lvl w:ilvl="8">
      <w:start w:val="1"/>
      <w:numFmt w:val="bullet"/>
      <w:lvlText w:val="-"/>
      <w:lvlJc w:val="left"/>
      <w:pPr>
        <w:tabs>
          <w:tab w:val="num" w:pos="3600"/>
        </w:tabs>
        <w:ind w:left="3600" w:hanging="360"/>
      </w:pPr>
      <w:rPr>
        <w:rFonts w:ascii="Franklin Gothic Book" w:hAnsi="Franklin Gothic Book" w:hint="default"/>
      </w:rPr>
    </w:lvl>
  </w:abstractNum>
  <w:abstractNum w:abstractNumId="6" w15:restartNumberingAfterBreak="0">
    <w:nsid w:val="2A540961"/>
    <w:multiLevelType w:val="hybridMultilevel"/>
    <w:tmpl w:val="847ADBA4"/>
    <w:lvl w:ilvl="0" w:tplc="C68220C4">
      <w:start w:val="1"/>
      <w:numFmt w:val="decimal"/>
      <w:pStyle w:val="NumberList"/>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F527D4"/>
    <w:multiLevelType w:val="multilevel"/>
    <w:tmpl w:val="3C9ED1BC"/>
    <w:lvl w:ilvl="0">
      <w:start w:val="1"/>
      <w:numFmt w:val="bullet"/>
      <w:pStyle w:val="BulletLis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Franklin Gothic Book" w:hAnsi="Franklin Gothic Book" w:hint="default"/>
      </w:rPr>
    </w:lvl>
    <w:lvl w:ilvl="2">
      <w:start w:val="1"/>
      <w:numFmt w:val="bullet"/>
      <w:lvlText w:val="-"/>
      <w:lvlJc w:val="left"/>
      <w:pPr>
        <w:tabs>
          <w:tab w:val="num" w:pos="1440"/>
        </w:tabs>
        <w:ind w:left="1440" w:hanging="360"/>
      </w:pPr>
      <w:rPr>
        <w:rFonts w:ascii="Franklin Gothic Book" w:hAnsi="Franklin Gothic Book" w:hint="default"/>
      </w:rPr>
    </w:lvl>
    <w:lvl w:ilvl="3">
      <w:start w:val="1"/>
      <w:numFmt w:val="bullet"/>
      <w:lvlText w:val="-"/>
      <w:lvlJc w:val="left"/>
      <w:pPr>
        <w:tabs>
          <w:tab w:val="num" w:pos="1800"/>
        </w:tabs>
        <w:ind w:left="1800" w:hanging="360"/>
      </w:pPr>
      <w:rPr>
        <w:rFonts w:ascii="Franklin Gothic Book" w:hAnsi="Franklin Gothic Book" w:hint="default"/>
      </w:rPr>
    </w:lvl>
    <w:lvl w:ilvl="4">
      <w:start w:val="1"/>
      <w:numFmt w:val="bullet"/>
      <w:lvlText w:val="-"/>
      <w:lvlJc w:val="left"/>
      <w:pPr>
        <w:tabs>
          <w:tab w:val="num" w:pos="2160"/>
        </w:tabs>
        <w:ind w:left="2160" w:hanging="360"/>
      </w:pPr>
      <w:rPr>
        <w:rFonts w:ascii="Franklin Gothic Book" w:hAnsi="Franklin Gothic Book" w:hint="default"/>
      </w:rPr>
    </w:lvl>
    <w:lvl w:ilvl="5">
      <w:start w:val="1"/>
      <w:numFmt w:val="bullet"/>
      <w:lvlText w:val="-"/>
      <w:lvlJc w:val="left"/>
      <w:pPr>
        <w:tabs>
          <w:tab w:val="num" w:pos="2520"/>
        </w:tabs>
        <w:ind w:left="2520" w:hanging="360"/>
      </w:pPr>
      <w:rPr>
        <w:rFonts w:ascii="Franklin Gothic Book" w:hAnsi="Franklin Gothic Book" w:hint="default"/>
      </w:rPr>
    </w:lvl>
    <w:lvl w:ilvl="6">
      <w:start w:val="1"/>
      <w:numFmt w:val="bullet"/>
      <w:lvlText w:val="-"/>
      <w:lvlJc w:val="left"/>
      <w:pPr>
        <w:tabs>
          <w:tab w:val="num" w:pos="2880"/>
        </w:tabs>
        <w:ind w:left="2880" w:hanging="360"/>
      </w:pPr>
      <w:rPr>
        <w:rFonts w:ascii="Franklin Gothic Book" w:hAnsi="Franklin Gothic Book" w:hint="default"/>
      </w:rPr>
    </w:lvl>
    <w:lvl w:ilvl="7">
      <w:start w:val="1"/>
      <w:numFmt w:val="bullet"/>
      <w:lvlText w:val="-"/>
      <w:lvlJc w:val="left"/>
      <w:pPr>
        <w:tabs>
          <w:tab w:val="num" w:pos="3240"/>
        </w:tabs>
        <w:ind w:left="3240" w:hanging="360"/>
      </w:pPr>
      <w:rPr>
        <w:rFonts w:ascii="Franklin Gothic Book" w:hAnsi="Franklin Gothic Book" w:hint="default"/>
      </w:rPr>
    </w:lvl>
    <w:lvl w:ilvl="8">
      <w:start w:val="1"/>
      <w:numFmt w:val="bullet"/>
      <w:lvlText w:val="-"/>
      <w:lvlJc w:val="left"/>
      <w:pPr>
        <w:tabs>
          <w:tab w:val="num" w:pos="3600"/>
        </w:tabs>
        <w:ind w:left="3600" w:hanging="360"/>
      </w:pPr>
      <w:rPr>
        <w:rFonts w:ascii="Franklin Gothic Book" w:hAnsi="Franklin Gothic Book" w:hint="default"/>
      </w:rPr>
    </w:lvl>
  </w:abstractNum>
  <w:abstractNum w:abstractNumId="8" w15:restartNumberingAfterBreak="0">
    <w:nsid w:val="3234323F"/>
    <w:multiLevelType w:val="multilevel"/>
    <w:tmpl w:val="7BFAC5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tabs>
          <w:tab w:val="num" w:pos="1440"/>
        </w:tabs>
        <w:ind w:left="1440" w:hanging="360"/>
      </w:pPr>
      <w:rPr>
        <w:rFonts w:ascii="Franklin Gothic Book" w:hAnsi="Franklin Gothic Book" w:hint="default"/>
      </w:rPr>
    </w:lvl>
    <w:lvl w:ilvl="3">
      <w:start w:val="1"/>
      <w:numFmt w:val="bullet"/>
      <w:lvlText w:val="-"/>
      <w:lvlJc w:val="left"/>
      <w:pPr>
        <w:tabs>
          <w:tab w:val="num" w:pos="1800"/>
        </w:tabs>
        <w:ind w:left="1800" w:hanging="360"/>
      </w:pPr>
      <w:rPr>
        <w:rFonts w:ascii="Franklin Gothic Book" w:hAnsi="Franklin Gothic Book" w:hint="default"/>
      </w:rPr>
    </w:lvl>
    <w:lvl w:ilvl="4">
      <w:start w:val="1"/>
      <w:numFmt w:val="bullet"/>
      <w:lvlText w:val="-"/>
      <w:lvlJc w:val="left"/>
      <w:pPr>
        <w:tabs>
          <w:tab w:val="num" w:pos="2160"/>
        </w:tabs>
        <w:ind w:left="2160" w:hanging="360"/>
      </w:pPr>
      <w:rPr>
        <w:rFonts w:ascii="Franklin Gothic Book" w:hAnsi="Franklin Gothic Book" w:hint="default"/>
      </w:rPr>
    </w:lvl>
    <w:lvl w:ilvl="5">
      <w:start w:val="1"/>
      <w:numFmt w:val="bullet"/>
      <w:lvlText w:val="-"/>
      <w:lvlJc w:val="left"/>
      <w:pPr>
        <w:tabs>
          <w:tab w:val="num" w:pos="2520"/>
        </w:tabs>
        <w:ind w:left="2520" w:hanging="360"/>
      </w:pPr>
      <w:rPr>
        <w:rFonts w:ascii="Franklin Gothic Book" w:hAnsi="Franklin Gothic Book" w:hint="default"/>
      </w:rPr>
    </w:lvl>
    <w:lvl w:ilvl="6">
      <w:start w:val="1"/>
      <w:numFmt w:val="bullet"/>
      <w:lvlText w:val="-"/>
      <w:lvlJc w:val="left"/>
      <w:pPr>
        <w:tabs>
          <w:tab w:val="num" w:pos="2880"/>
        </w:tabs>
        <w:ind w:left="2880" w:hanging="360"/>
      </w:pPr>
      <w:rPr>
        <w:rFonts w:ascii="Franklin Gothic Book" w:hAnsi="Franklin Gothic Book" w:hint="default"/>
      </w:rPr>
    </w:lvl>
    <w:lvl w:ilvl="7">
      <w:start w:val="1"/>
      <w:numFmt w:val="bullet"/>
      <w:lvlText w:val="-"/>
      <w:lvlJc w:val="left"/>
      <w:pPr>
        <w:tabs>
          <w:tab w:val="num" w:pos="3240"/>
        </w:tabs>
        <w:ind w:left="3240" w:hanging="360"/>
      </w:pPr>
      <w:rPr>
        <w:rFonts w:ascii="Franklin Gothic Book" w:hAnsi="Franklin Gothic Book" w:hint="default"/>
      </w:rPr>
    </w:lvl>
    <w:lvl w:ilvl="8">
      <w:start w:val="1"/>
      <w:numFmt w:val="bullet"/>
      <w:lvlText w:val="-"/>
      <w:lvlJc w:val="left"/>
      <w:pPr>
        <w:tabs>
          <w:tab w:val="num" w:pos="3600"/>
        </w:tabs>
        <w:ind w:left="3600" w:hanging="360"/>
      </w:pPr>
      <w:rPr>
        <w:rFonts w:ascii="Franklin Gothic Book" w:hAnsi="Franklin Gothic Book" w:hint="default"/>
      </w:rPr>
    </w:lvl>
  </w:abstractNum>
  <w:abstractNum w:abstractNumId="9" w15:restartNumberingAfterBreak="0">
    <w:nsid w:val="3AAA39C6"/>
    <w:multiLevelType w:val="multilevel"/>
    <w:tmpl w:val="F0E4E2E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tabs>
          <w:tab w:val="num" w:pos="1440"/>
        </w:tabs>
        <w:ind w:left="1440" w:hanging="360"/>
      </w:pPr>
      <w:rPr>
        <w:rFonts w:ascii="Franklin Gothic Book" w:hAnsi="Franklin Gothic Book" w:hint="default"/>
      </w:rPr>
    </w:lvl>
    <w:lvl w:ilvl="3">
      <w:start w:val="1"/>
      <w:numFmt w:val="bullet"/>
      <w:lvlText w:val="-"/>
      <w:lvlJc w:val="left"/>
      <w:pPr>
        <w:tabs>
          <w:tab w:val="num" w:pos="1800"/>
        </w:tabs>
        <w:ind w:left="1800" w:hanging="360"/>
      </w:pPr>
      <w:rPr>
        <w:rFonts w:ascii="Franklin Gothic Book" w:hAnsi="Franklin Gothic Book" w:hint="default"/>
      </w:rPr>
    </w:lvl>
    <w:lvl w:ilvl="4">
      <w:start w:val="1"/>
      <w:numFmt w:val="bullet"/>
      <w:lvlText w:val="-"/>
      <w:lvlJc w:val="left"/>
      <w:pPr>
        <w:tabs>
          <w:tab w:val="num" w:pos="2160"/>
        </w:tabs>
        <w:ind w:left="2160" w:hanging="360"/>
      </w:pPr>
      <w:rPr>
        <w:rFonts w:ascii="Franklin Gothic Book" w:hAnsi="Franklin Gothic Book" w:hint="default"/>
      </w:rPr>
    </w:lvl>
    <w:lvl w:ilvl="5">
      <w:start w:val="1"/>
      <w:numFmt w:val="bullet"/>
      <w:lvlText w:val="-"/>
      <w:lvlJc w:val="left"/>
      <w:pPr>
        <w:tabs>
          <w:tab w:val="num" w:pos="2520"/>
        </w:tabs>
        <w:ind w:left="2520" w:hanging="360"/>
      </w:pPr>
      <w:rPr>
        <w:rFonts w:ascii="Franklin Gothic Book" w:hAnsi="Franklin Gothic Book" w:hint="default"/>
      </w:rPr>
    </w:lvl>
    <w:lvl w:ilvl="6">
      <w:start w:val="1"/>
      <w:numFmt w:val="bullet"/>
      <w:lvlText w:val="-"/>
      <w:lvlJc w:val="left"/>
      <w:pPr>
        <w:tabs>
          <w:tab w:val="num" w:pos="2880"/>
        </w:tabs>
        <w:ind w:left="2880" w:hanging="360"/>
      </w:pPr>
      <w:rPr>
        <w:rFonts w:ascii="Franklin Gothic Book" w:hAnsi="Franklin Gothic Book" w:hint="default"/>
      </w:rPr>
    </w:lvl>
    <w:lvl w:ilvl="7">
      <w:start w:val="1"/>
      <w:numFmt w:val="bullet"/>
      <w:lvlText w:val="-"/>
      <w:lvlJc w:val="left"/>
      <w:pPr>
        <w:tabs>
          <w:tab w:val="num" w:pos="3240"/>
        </w:tabs>
        <w:ind w:left="3240" w:hanging="360"/>
      </w:pPr>
      <w:rPr>
        <w:rFonts w:ascii="Franklin Gothic Book" w:hAnsi="Franklin Gothic Book" w:hint="default"/>
      </w:rPr>
    </w:lvl>
    <w:lvl w:ilvl="8">
      <w:start w:val="1"/>
      <w:numFmt w:val="bullet"/>
      <w:lvlText w:val="-"/>
      <w:lvlJc w:val="left"/>
      <w:pPr>
        <w:tabs>
          <w:tab w:val="num" w:pos="3600"/>
        </w:tabs>
        <w:ind w:left="3600" w:hanging="360"/>
      </w:pPr>
      <w:rPr>
        <w:rFonts w:ascii="Franklin Gothic Book" w:hAnsi="Franklin Gothic Book" w:hint="default"/>
      </w:rPr>
    </w:lvl>
  </w:abstractNum>
  <w:abstractNum w:abstractNumId="10" w15:restartNumberingAfterBreak="0">
    <w:nsid w:val="3DBB7C74"/>
    <w:multiLevelType w:val="multilevel"/>
    <w:tmpl w:val="610449B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tabs>
          <w:tab w:val="num" w:pos="1440"/>
        </w:tabs>
        <w:ind w:left="1440" w:hanging="360"/>
      </w:pPr>
      <w:rPr>
        <w:rFonts w:ascii="Franklin Gothic Book" w:hAnsi="Franklin Gothic Book" w:hint="default"/>
      </w:rPr>
    </w:lvl>
    <w:lvl w:ilvl="3">
      <w:start w:val="1"/>
      <w:numFmt w:val="bullet"/>
      <w:lvlText w:val="-"/>
      <w:lvlJc w:val="left"/>
      <w:pPr>
        <w:tabs>
          <w:tab w:val="num" w:pos="1800"/>
        </w:tabs>
        <w:ind w:left="1800" w:hanging="360"/>
      </w:pPr>
      <w:rPr>
        <w:rFonts w:ascii="Franklin Gothic Book" w:hAnsi="Franklin Gothic Book" w:hint="default"/>
      </w:rPr>
    </w:lvl>
    <w:lvl w:ilvl="4">
      <w:start w:val="1"/>
      <w:numFmt w:val="bullet"/>
      <w:lvlText w:val="-"/>
      <w:lvlJc w:val="left"/>
      <w:pPr>
        <w:tabs>
          <w:tab w:val="num" w:pos="2160"/>
        </w:tabs>
        <w:ind w:left="2160" w:hanging="360"/>
      </w:pPr>
      <w:rPr>
        <w:rFonts w:ascii="Franklin Gothic Book" w:hAnsi="Franklin Gothic Book" w:hint="default"/>
      </w:rPr>
    </w:lvl>
    <w:lvl w:ilvl="5">
      <w:start w:val="1"/>
      <w:numFmt w:val="bullet"/>
      <w:lvlText w:val="-"/>
      <w:lvlJc w:val="left"/>
      <w:pPr>
        <w:tabs>
          <w:tab w:val="num" w:pos="2520"/>
        </w:tabs>
        <w:ind w:left="2520" w:hanging="360"/>
      </w:pPr>
      <w:rPr>
        <w:rFonts w:ascii="Franklin Gothic Book" w:hAnsi="Franklin Gothic Book" w:hint="default"/>
      </w:rPr>
    </w:lvl>
    <w:lvl w:ilvl="6">
      <w:start w:val="1"/>
      <w:numFmt w:val="bullet"/>
      <w:lvlText w:val="-"/>
      <w:lvlJc w:val="left"/>
      <w:pPr>
        <w:tabs>
          <w:tab w:val="num" w:pos="2880"/>
        </w:tabs>
        <w:ind w:left="2880" w:hanging="360"/>
      </w:pPr>
      <w:rPr>
        <w:rFonts w:ascii="Franklin Gothic Book" w:hAnsi="Franklin Gothic Book" w:hint="default"/>
      </w:rPr>
    </w:lvl>
    <w:lvl w:ilvl="7">
      <w:start w:val="1"/>
      <w:numFmt w:val="bullet"/>
      <w:lvlText w:val="-"/>
      <w:lvlJc w:val="left"/>
      <w:pPr>
        <w:tabs>
          <w:tab w:val="num" w:pos="3240"/>
        </w:tabs>
        <w:ind w:left="3240" w:hanging="360"/>
      </w:pPr>
      <w:rPr>
        <w:rFonts w:ascii="Franklin Gothic Book" w:hAnsi="Franklin Gothic Book" w:hint="default"/>
      </w:rPr>
    </w:lvl>
    <w:lvl w:ilvl="8">
      <w:start w:val="1"/>
      <w:numFmt w:val="bullet"/>
      <w:lvlText w:val="-"/>
      <w:lvlJc w:val="left"/>
      <w:pPr>
        <w:tabs>
          <w:tab w:val="num" w:pos="3600"/>
        </w:tabs>
        <w:ind w:left="3600" w:hanging="360"/>
      </w:pPr>
      <w:rPr>
        <w:rFonts w:ascii="Franklin Gothic Book" w:hAnsi="Franklin Gothic Book" w:hint="default"/>
      </w:rPr>
    </w:lvl>
  </w:abstractNum>
  <w:abstractNum w:abstractNumId="11" w15:restartNumberingAfterBreak="0">
    <w:nsid w:val="3F171DA9"/>
    <w:multiLevelType w:val="multilevel"/>
    <w:tmpl w:val="59EC222A"/>
    <w:lvl w:ilvl="0">
      <w:start w:val="1"/>
      <w:numFmt w:val="bullet"/>
      <w:pStyle w:val="GPOLevel2-Bullet"/>
      <w:lvlText w:val=""/>
      <w:lvlJc w:val="left"/>
      <w:pPr>
        <w:ind w:left="1800" w:hanging="360"/>
      </w:pPr>
      <w:rPr>
        <w:rFonts w:ascii="Wingdings" w:hAnsi="Wingdings" w:hint="default"/>
        <w:color w:val="auto"/>
        <w:sz w:val="20"/>
      </w:rPr>
    </w:lvl>
    <w:lvl w:ilvl="1">
      <w:start w:val="1"/>
      <w:numFmt w:val="bullet"/>
      <w:lvlText w:val="-"/>
      <w:lvlJc w:val="left"/>
      <w:pPr>
        <w:tabs>
          <w:tab w:val="num" w:pos="2520"/>
        </w:tabs>
        <w:ind w:left="2160" w:hanging="360"/>
      </w:pPr>
      <w:rPr>
        <w:rFonts w:ascii="Franklin Gothic Book" w:hAnsi="Franklin Gothic Book" w:hint="default"/>
        <w:sz w:val="18"/>
      </w:rPr>
    </w:lvl>
    <w:lvl w:ilvl="2">
      <w:start w:val="1"/>
      <w:numFmt w:val="bullet"/>
      <w:lvlText w:val="-"/>
      <w:lvlJc w:val="left"/>
      <w:pPr>
        <w:tabs>
          <w:tab w:val="num" w:pos="2880"/>
        </w:tabs>
        <w:ind w:left="2520" w:hanging="360"/>
      </w:pPr>
      <w:rPr>
        <w:rFonts w:ascii="Franklin Gothic Book" w:hAnsi="Franklin Gothic Book" w:hint="default"/>
      </w:rPr>
    </w:lvl>
    <w:lvl w:ilvl="3">
      <w:start w:val="1"/>
      <w:numFmt w:val="bullet"/>
      <w:lvlText w:val="-"/>
      <w:lvlJc w:val="left"/>
      <w:pPr>
        <w:tabs>
          <w:tab w:val="num" w:pos="3240"/>
        </w:tabs>
        <w:ind w:left="2880" w:hanging="360"/>
      </w:pPr>
      <w:rPr>
        <w:rFonts w:ascii="Franklin Gothic Book" w:hAnsi="Franklin Gothic Book" w:hint="default"/>
      </w:rPr>
    </w:lvl>
    <w:lvl w:ilvl="4">
      <w:start w:val="1"/>
      <w:numFmt w:val="bullet"/>
      <w:lvlText w:val="-"/>
      <w:lvlJc w:val="left"/>
      <w:pPr>
        <w:tabs>
          <w:tab w:val="num" w:pos="3600"/>
        </w:tabs>
        <w:ind w:left="3240" w:hanging="360"/>
      </w:pPr>
      <w:rPr>
        <w:rFonts w:ascii="Franklin Gothic Book" w:hAnsi="Franklin Gothic Book" w:hint="default"/>
      </w:rPr>
    </w:lvl>
    <w:lvl w:ilvl="5">
      <w:start w:val="1"/>
      <w:numFmt w:val="bullet"/>
      <w:lvlText w:val="-"/>
      <w:lvlJc w:val="left"/>
      <w:pPr>
        <w:tabs>
          <w:tab w:val="num" w:pos="3960"/>
        </w:tabs>
        <w:ind w:left="3600" w:hanging="360"/>
      </w:pPr>
      <w:rPr>
        <w:rFonts w:ascii="Franklin Gothic Book" w:hAnsi="Franklin Gothic Book" w:hint="default"/>
      </w:rPr>
    </w:lvl>
    <w:lvl w:ilvl="6">
      <w:start w:val="1"/>
      <w:numFmt w:val="bullet"/>
      <w:lvlText w:val="-"/>
      <w:lvlJc w:val="left"/>
      <w:pPr>
        <w:tabs>
          <w:tab w:val="num" w:pos="4320"/>
        </w:tabs>
        <w:ind w:left="3960" w:hanging="360"/>
      </w:pPr>
      <w:rPr>
        <w:rFonts w:ascii="Franklin Gothic Book" w:hAnsi="Franklin Gothic Book" w:hint="default"/>
      </w:rPr>
    </w:lvl>
    <w:lvl w:ilvl="7">
      <w:start w:val="1"/>
      <w:numFmt w:val="bullet"/>
      <w:lvlText w:val="-"/>
      <w:lvlJc w:val="left"/>
      <w:pPr>
        <w:tabs>
          <w:tab w:val="num" w:pos="4680"/>
        </w:tabs>
        <w:ind w:left="4320" w:hanging="360"/>
      </w:pPr>
      <w:rPr>
        <w:rFonts w:ascii="Franklin Gothic Book" w:hAnsi="Franklin Gothic Book" w:hint="default"/>
      </w:rPr>
    </w:lvl>
    <w:lvl w:ilvl="8">
      <w:start w:val="1"/>
      <w:numFmt w:val="bullet"/>
      <w:lvlText w:val="-"/>
      <w:lvlJc w:val="left"/>
      <w:pPr>
        <w:tabs>
          <w:tab w:val="num" w:pos="5040"/>
        </w:tabs>
        <w:ind w:left="4680" w:hanging="360"/>
      </w:pPr>
      <w:rPr>
        <w:rFonts w:ascii="Franklin Gothic Book" w:hAnsi="Franklin Gothic Book" w:hint="default"/>
      </w:rPr>
    </w:lvl>
  </w:abstractNum>
  <w:abstractNum w:abstractNumId="12" w15:restartNumberingAfterBreak="0">
    <w:nsid w:val="3F305DC0"/>
    <w:multiLevelType w:val="multilevel"/>
    <w:tmpl w:val="488C80BE"/>
    <w:lvl w:ilvl="0">
      <w:start w:val="1"/>
      <w:numFmt w:val="bullet"/>
      <w:pStyle w:val="MitigationMeasure-Answer-Bullet"/>
      <w:lvlText w:val=""/>
      <w:lvlJc w:val="left"/>
      <w:pPr>
        <w:ind w:left="2520" w:hanging="360"/>
      </w:pPr>
      <w:rPr>
        <w:rFonts w:ascii="Wingdings" w:hAnsi="Wingdings" w:hint="default"/>
        <w:color w:val="auto"/>
        <w:sz w:val="20"/>
      </w:rPr>
    </w:lvl>
    <w:lvl w:ilvl="1">
      <w:start w:val="1"/>
      <w:numFmt w:val="bullet"/>
      <w:lvlText w:val="-"/>
      <w:lvlJc w:val="left"/>
      <w:pPr>
        <w:tabs>
          <w:tab w:val="num" w:pos="576"/>
        </w:tabs>
        <w:ind w:left="2880" w:hanging="360"/>
      </w:pPr>
      <w:rPr>
        <w:rFonts w:ascii="Franklin Gothic Book" w:hAnsi="Franklin Gothic Book" w:hint="default"/>
        <w:sz w:val="18"/>
      </w:rPr>
    </w:lvl>
    <w:lvl w:ilvl="2">
      <w:start w:val="1"/>
      <w:numFmt w:val="bullet"/>
      <w:lvlText w:val="-"/>
      <w:lvlJc w:val="left"/>
      <w:pPr>
        <w:tabs>
          <w:tab w:val="num" w:pos="720"/>
        </w:tabs>
        <w:ind w:left="3240" w:hanging="360"/>
      </w:pPr>
      <w:rPr>
        <w:rFonts w:ascii="Franklin Gothic Book" w:hAnsi="Franklin Gothic Book" w:hint="default"/>
      </w:rPr>
    </w:lvl>
    <w:lvl w:ilvl="3">
      <w:start w:val="1"/>
      <w:numFmt w:val="bullet"/>
      <w:lvlText w:val="-"/>
      <w:lvlJc w:val="left"/>
      <w:pPr>
        <w:tabs>
          <w:tab w:val="num" w:pos="3024"/>
        </w:tabs>
        <w:ind w:left="3600" w:hanging="360"/>
      </w:pPr>
      <w:rPr>
        <w:rFonts w:ascii="Franklin Gothic Book" w:hAnsi="Franklin Gothic Book" w:hint="default"/>
      </w:rPr>
    </w:lvl>
    <w:lvl w:ilvl="4">
      <w:start w:val="1"/>
      <w:numFmt w:val="bullet"/>
      <w:lvlText w:val="-"/>
      <w:lvlJc w:val="left"/>
      <w:pPr>
        <w:tabs>
          <w:tab w:val="num" w:pos="3744"/>
        </w:tabs>
        <w:ind w:left="3960" w:hanging="360"/>
      </w:pPr>
      <w:rPr>
        <w:rFonts w:ascii="Franklin Gothic Book" w:hAnsi="Franklin Gothic Book" w:hint="default"/>
      </w:rPr>
    </w:lvl>
    <w:lvl w:ilvl="5">
      <w:start w:val="1"/>
      <w:numFmt w:val="bullet"/>
      <w:lvlText w:val="-"/>
      <w:lvlJc w:val="left"/>
      <w:pPr>
        <w:tabs>
          <w:tab w:val="num" w:pos="4464"/>
        </w:tabs>
        <w:ind w:left="4320" w:hanging="360"/>
      </w:pPr>
      <w:rPr>
        <w:rFonts w:ascii="Franklin Gothic Book" w:hAnsi="Franklin Gothic Book" w:hint="default"/>
      </w:rPr>
    </w:lvl>
    <w:lvl w:ilvl="6">
      <w:start w:val="1"/>
      <w:numFmt w:val="bullet"/>
      <w:lvlText w:val="-"/>
      <w:lvlJc w:val="left"/>
      <w:pPr>
        <w:tabs>
          <w:tab w:val="num" w:pos="5184"/>
        </w:tabs>
        <w:ind w:left="4680" w:hanging="360"/>
      </w:pPr>
      <w:rPr>
        <w:rFonts w:ascii="Franklin Gothic Book" w:hAnsi="Franklin Gothic Book" w:hint="default"/>
      </w:rPr>
    </w:lvl>
    <w:lvl w:ilvl="7">
      <w:start w:val="1"/>
      <w:numFmt w:val="bullet"/>
      <w:lvlText w:val="-"/>
      <w:lvlJc w:val="left"/>
      <w:pPr>
        <w:tabs>
          <w:tab w:val="num" w:pos="5904"/>
        </w:tabs>
        <w:ind w:left="5040" w:hanging="360"/>
      </w:pPr>
      <w:rPr>
        <w:rFonts w:ascii="Franklin Gothic Book" w:hAnsi="Franklin Gothic Book" w:hint="default"/>
      </w:rPr>
    </w:lvl>
    <w:lvl w:ilvl="8">
      <w:start w:val="1"/>
      <w:numFmt w:val="bullet"/>
      <w:lvlText w:val="-"/>
      <w:lvlJc w:val="left"/>
      <w:pPr>
        <w:tabs>
          <w:tab w:val="num" w:pos="6624"/>
        </w:tabs>
        <w:ind w:left="5400" w:hanging="360"/>
      </w:pPr>
      <w:rPr>
        <w:rFonts w:ascii="Franklin Gothic Book" w:hAnsi="Franklin Gothic Book" w:hint="default"/>
      </w:rPr>
    </w:lvl>
  </w:abstractNum>
  <w:abstractNum w:abstractNumId="13" w15:restartNumberingAfterBreak="0">
    <w:nsid w:val="476B08ED"/>
    <w:multiLevelType w:val="multilevel"/>
    <w:tmpl w:val="16089A92"/>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080"/>
        </w:tabs>
        <w:ind w:left="1080" w:hanging="360"/>
      </w:pPr>
      <w:rPr>
        <w:rFonts w:ascii="Franklin Gothic Book" w:hAnsi="Franklin Gothic Book" w:hint="default"/>
      </w:rPr>
    </w:lvl>
    <w:lvl w:ilvl="2">
      <w:start w:val="1"/>
      <w:numFmt w:val="bullet"/>
      <w:lvlText w:val="-"/>
      <w:lvlJc w:val="left"/>
      <w:pPr>
        <w:tabs>
          <w:tab w:val="num" w:pos="1440"/>
        </w:tabs>
        <w:ind w:left="1440" w:hanging="360"/>
      </w:pPr>
      <w:rPr>
        <w:rFonts w:ascii="Franklin Gothic Book" w:hAnsi="Franklin Gothic Book" w:hint="default"/>
      </w:rPr>
    </w:lvl>
    <w:lvl w:ilvl="3">
      <w:start w:val="1"/>
      <w:numFmt w:val="bullet"/>
      <w:pStyle w:val="MitigationMeasure-BulletFinal"/>
      <w:lvlText w:val=""/>
      <w:lvlJc w:val="left"/>
      <w:pPr>
        <w:tabs>
          <w:tab w:val="num" w:pos="1800"/>
        </w:tabs>
        <w:ind w:left="1800" w:hanging="360"/>
      </w:pPr>
      <w:rPr>
        <w:rFonts w:ascii="Wingdings" w:hAnsi="Wingdings" w:hint="default"/>
      </w:rPr>
    </w:lvl>
    <w:lvl w:ilvl="4">
      <w:start w:val="1"/>
      <w:numFmt w:val="bullet"/>
      <w:lvlText w:val="-"/>
      <w:lvlJc w:val="left"/>
      <w:pPr>
        <w:tabs>
          <w:tab w:val="num" w:pos="2160"/>
        </w:tabs>
        <w:ind w:left="2160" w:hanging="360"/>
      </w:pPr>
      <w:rPr>
        <w:rFonts w:ascii="Franklin Gothic Book" w:hAnsi="Franklin Gothic Book" w:hint="default"/>
      </w:rPr>
    </w:lvl>
    <w:lvl w:ilvl="5">
      <w:start w:val="1"/>
      <w:numFmt w:val="bullet"/>
      <w:lvlText w:val="-"/>
      <w:lvlJc w:val="left"/>
      <w:pPr>
        <w:tabs>
          <w:tab w:val="num" w:pos="2520"/>
        </w:tabs>
        <w:ind w:left="2520" w:hanging="360"/>
      </w:pPr>
      <w:rPr>
        <w:rFonts w:ascii="Franklin Gothic Book" w:hAnsi="Franklin Gothic Book" w:hint="default"/>
      </w:rPr>
    </w:lvl>
    <w:lvl w:ilvl="6">
      <w:start w:val="1"/>
      <w:numFmt w:val="bullet"/>
      <w:lvlText w:val="-"/>
      <w:lvlJc w:val="left"/>
      <w:pPr>
        <w:ind w:left="2880" w:hanging="360"/>
      </w:pPr>
      <w:rPr>
        <w:rFonts w:ascii="Franklin Gothic Book" w:hAnsi="Franklin Gothic Book" w:hint="default"/>
      </w:rPr>
    </w:lvl>
    <w:lvl w:ilvl="7">
      <w:start w:val="1"/>
      <w:numFmt w:val="bullet"/>
      <w:lvlText w:val="-"/>
      <w:lvlJc w:val="left"/>
      <w:pPr>
        <w:ind w:left="3240" w:hanging="360"/>
      </w:pPr>
      <w:rPr>
        <w:rFonts w:ascii="Franklin Gothic Book" w:hAnsi="Franklin Gothic Book" w:hint="default"/>
      </w:rPr>
    </w:lvl>
    <w:lvl w:ilvl="8">
      <w:start w:val="1"/>
      <w:numFmt w:val="bullet"/>
      <w:lvlText w:val="-"/>
      <w:lvlJc w:val="left"/>
      <w:pPr>
        <w:ind w:left="3600" w:hanging="360"/>
      </w:pPr>
      <w:rPr>
        <w:rFonts w:ascii="Franklin Gothic Book" w:hAnsi="Franklin Gothic Book" w:hint="default"/>
      </w:rPr>
    </w:lvl>
  </w:abstractNum>
  <w:abstractNum w:abstractNumId="14" w15:restartNumberingAfterBreak="0">
    <w:nsid w:val="47DF6EEB"/>
    <w:multiLevelType w:val="multilevel"/>
    <w:tmpl w:val="6930B356"/>
    <w:lvl w:ilvl="0">
      <w:start w:val="1"/>
      <w:numFmt w:val="upperLetter"/>
      <w:pStyle w:val="TOCAppendices"/>
      <w:lvlText w:val="%1"/>
      <w:lvlJc w:val="left"/>
      <w:pPr>
        <w:tabs>
          <w:tab w:val="num" w:pos="720"/>
        </w:tabs>
        <w:ind w:left="720" w:hanging="720"/>
      </w:pPr>
      <w:rPr>
        <w:b w:val="0"/>
        <w:bCs w:val="0"/>
        <w:i w:val="0"/>
        <w:iCs w:val="0"/>
        <w:cap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720"/>
        </w:tabs>
        <w:ind w:left="720" w:hanging="720"/>
      </w:pPr>
      <w:rPr>
        <w:rFonts w:ascii="Arial Bold" w:hAnsi="Arial Bold" w:hint="default"/>
        <w:b/>
        <w:i w:val="0"/>
        <w:color w:val="007BB5"/>
        <w:sz w:val="24"/>
      </w:rPr>
    </w:lvl>
    <w:lvl w:ilvl="2">
      <w:start w:val="1"/>
      <w:numFmt w:val="decimal"/>
      <w:lvlText w:val="%1.%2.%3"/>
      <w:lvlJc w:val="left"/>
      <w:pPr>
        <w:tabs>
          <w:tab w:val="num" w:pos="720"/>
        </w:tabs>
        <w:ind w:left="720" w:hanging="720"/>
      </w:pPr>
      <w:rPr>
        <w:rFonts w:ascii="Arial Bold" w:hAnsi="Arial Bold" w:hint="default"/>
        <w:b/>
        <w:i w:val="0"/>
        <w:color w:val="007BB5"/>
        <w:sz w:val="22"/>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5" w15:restartNumberingAfterBreak="0">
    <w:nsid w:val="483A1596"/>
    <w:multiLevelType w:val="multilevel"/>
    <w:tmpl w:val="5C6E5EF8"/>
    <w:lvl w:ilvl="0">
      <w:start w:val="1"/>
      <w:numFmt w:val="bullet"/>
      <w:pStyle w:val="BulletListFinal"/>
      <w:lvlText w:val=""/>
      <w:lvlJc w:val="left"/>
      <w:pPr>
        <w:tabs>
          <w:tab w:val="num" w:pos="1440"/>
        </w:tabs>
        <w:ind w:left="1440" w:hanging="360"/>
      </w:pPr>
      <w:rPr>
        <w:rFonts w:ascii="Symbol" w:hAnsi="Symbol" w:hint="default"/>
        <w:color w:val="auto"/>
      </w:rPr>
    </w:lvl>
    <w:lvl w:ilvl="1">
      <w:start w:val="1"/>
      <w:numFmt w:val="bullet"/>
      <w:lvlText w:val="-"/>
      <w:lvlJc w:val="left"/>
      <w:pPr>
        <w:tabs>
          <w:tab w:val="num" w:pos="1800"/>
        </w:tabs>
        <w:ind w:left="1800" w:hanging="360"/>
      </w:pPr>
      <w:rPr>
        <w:rFonts w:ascii="Franklin Gothic Book" w:hAnsi="Franklin Gothic Book" w:hint="default"/>
      </w:rPr>
    </w:lvl>
    <w:lvl w:ilvl="2">
      <w:start w:val="1"/>
      <w:numFmt w:val="bullet"/>
      <w:lvlText w:val="-"/>
      <w:lvlJc w:val="left"/>
      <w:pPr>
        <w:tabs>
          <w:tab w:val="num" w:pos="2160"/>
        </w:tabs>
        <w:ind w:left="2160" w:hanging="360"/>
      </w:pPr>
      <w:rPr>
        <w:rFonts w:ascii="Franklin Gothic Book" w:hAnsi="Franklin Gothic Book" w:hint="default"/>
      </w:rPr>
    </w:lvl>
    <w:lvl w:ilvl="3">
      <w:start w:val="1"/>
      <w:numFmt w:val="bullet"/>
      <w:lvlText w:val="-"/>
      <w:lvlJc w:val="left"/>
      <w:pPr>
        <w:tabs>
          <w:tab w:val="num" w:pos="2520"/>
        </w:tabs>
        <w:ind w:left="2520" w:hanging="360"/>
      </w:pPr>
      <w:rPr>
        <w:rFonts w:ascii="Franklin Gothic Book" w:hAnsi="Franklin Gothic Book" w:hint="default"/>
      </w:rPr>
    </w:lvl>
    <w:lvl w:ilvl="4">
      <w:start w:val="1"/>
      <w:numFmt w:val="bullet"/>
      <w:lvlText w:val="-"/>
      <w:lvlJc w:val="left"/>
      <w:pPr>
        <w:tabs>
          <w:tab w:val="num" w:pos="2880"/>
        </w:tabs>
        <w:ind w:left="2880" w:hanging="360"/>
      </w:pPr>
      <w:rPr>
        <w:rFonts w:ascii="Franklin Gothic Book" w:hAnsi="Franklin Gothic Book" w:hint="default"/>
      </w:rPr>
    </w:lvl>
    <w:lvl w:ilvl="5">
      <w:start w:val="1"/>
      <w:numFmt w:val="bullet"/>
      <w:lvlText w:val="-"/>
      <w:lvlJc w:val="left"/>
      <w:pPr>
        <w:tabs>
          <w:tab w:val="num" w:pos="3240"/>
        </w:tabs>
        <w:ind w:left="3240" w:hanging="360"/>
      </w:pPr>
      <w:rPr>
        <w:rFonts w:ascii="Franklin Gothic Book" w:hAnsi="Franklin Gothic Book" w:hint="default"/>
      </w:rPr>
    </w:lvl>
    <w:lvl w:ilvl="6">
      <w:start w:val="1"/>
      <w:numFmt w:val="bullet"/>
      <w:lvlText w:val="-"/>
      <w:lvlJc w:val="left"/>
      <w:pPr>
        <w:tabs>
          <w:tab w:val="num" w:pos="3600"/>
        </w:tabs>
        <w:ind w:left="3600" w:hanging="360"/>
      </w:pPr>
      <w:rPr>
        <w:rFonts w:ascii="Franklin Gothic Book" w:hAnsi="Franklin Gothic Book" w:hint="default"/>
      </w:rPr>
    </w:lvl>
    <w:lvl w:ilvl="7">
      <w:start w:val="1"/>
      <w:numFmt w:val="bullet"/>
      <w:lvlText w:val="-"/>
      <w:lvlJc w:val="left"/>
      <w:pPr>
        <w:tabs>
          <w:tab w:val="num" w:pos="3960"/>
        </w:tabs>
        <w:ind w:left="3960" w:hanging="360"/>
      </w:pPr>
      <w:rPr>
        <w:rFonts w:ascii="Franklin Gothic Book" w:hAnsi="Franklin Gothic Book" w:hint="default"/>
      </w:rPr>
    </w:lvl>
    <w:lvl w:ilvl="8">
      <w:start w:val="1"/>
      <w:numFmt w:val="bullet"/>
      <w:lvlText w:val="-"/>
      <w:lvlJc w:val="left"/>
      <w:pPr>
        <w:tabs>
          <w:tab w:val="num" w:pos="4320"/>
        </w:tabs>
        <w:ind w:left="4320" w:hanging="360"/>
      </w:pPr>
      <w:rPr>
        <w:rFonts w:ascii="Franklin Gothic Book" w:hAnsi="Franklin Gothic Book" w:hint="default"/>
      </w:rPr>
    </w:lvl>
  </w:abstractNum>
  <w:abstractNum w:abstractNumId="16" w15:restartNumberingAfterBreak="0">
    <w:nsid w:val="4D80788F"/>
    <w:multiLevelType w:val="multilevel"/>
    <w:tmpl w:val="5D526986"/>
    <w:lvl w:ilvl="0">
      <w:start w:val="1"/>
      <w:numFmt w:val="bullet"/>
      <w:pStyle w:val="Impact-Answer-Bullet"/>
      <w:lvlText w:val=""/>
      <w:lvlJc w:val="left"/>
      <w:pPr>
        <w:tabs>
          <w:tab w:val="num" w:pos="2880"/>
        </w:tabs>
        <w:ind w:left="3240" w:hanging="360"/>
      </w:pPr>
      <w:rPr>
        <w:rFonts w:ascii="Wingdings" w:hAnsi="Wingdings" w:hint="default"/>
        <w:color w:val="auto"/>
        <w:sz w:val="20"/>
      </w:rPr>
    </w:lvl>
    <w:lvl w:ilvl="1">
      <w:start w:val="1"/>
      <w:numFmt w:val="bullet"/>
      <w:lvlText w:val="-"/>
      <w:lvlJc w:val="left"/>
      <w:pPr>
        <w:tabs>
          <w:tab w:val="num" w:pos="3240"/>
        </w:tabs>
        <w:ind w:left="3600" w:hanging="360"/>
      </w:pPr>
      <w:rPr>
        <w:rFonts w:ascii="Franklin Gothic Book" w:hAnsi="Franklin Gothic Book" w:hint="default"/>
        <w:sz w:val="18"/>
      </w:rPr>
    </w:lvl>
    <w:lvl w:ilvl="2">
      <w:start w:val="1"/>
      <w:numFmt w:val="bullet"/>
      <w:lvlText w:val="-"/>
      <w:lvlJc w:val="left"/>
      <w:pPr>
        <w:tabs>
          <w:tab w:val="num" w:pos="3600"/>
        </w:tabs>
        <w:ind w:left="3960" w:hanging="360"/>
      </w:pPr>
      <w:rPr>
        <w:rFonts w:ascii="Franklin Gothic Book" w:hAnsi="Franklin Gothic Book" w:hint="default"/>
      </w:rPr>
    </w:lvl>
    <w:lvl w:ilvl="3">
      <w:start w:val="1"/>
      <w:numFmt w:val="bullet"/>
      <w:lvlText w:val="-"/>
      <w:lvlJc w:val="left"/>
      <w:pPr>
        <w:tabs>
          <w:tab w:val="num" w:pos="3960"/>
        </w:tabs>
        <w:ind w:left="4320" w:hanging="360"/>
      </w:pPr>
      <w:rPr>
        <w:rFonts w:ascii="Franklin Gothic Book" w:hAnsi="Franklin Gothic Book" w:hint="default"/>
      </w:rPr>
    </w:lvl>
    <w:lvl w:ilvl="4">
      <w:start w:val="1"/>
      <w:numFmt w:val="bullet"/>
      <w:lvlText w:val="-"/>
      <w:lvlJc w:val="left"/>
      <w:pPr>
        <w:tabs>
          <w:tab w:val="num" w:pos="4320"/>
        </w:tabs>
        <w:ind w:left="4680" w:hanging="360"/>
      </w:pPr>
      <w:rPr>
        <w:rFonts w:ascii="Franklin Gothic Book" w:hAnsi="Franklin Gothic Book" w:hint="default"/>
      </w:rPr>
    </w:lvl>
    <w:lvl w:ilvl="5">
      <w:start w:val="1"/>
      <w:numFmt w:val="bullet"/>
      <w:lvlText w:val="-"/>
      <w:lvlJc w:val="left"/>
      <w:pPr>
        <w:tabs>
          <w:tab w:val="num" w:pos="4680"/>
        </w:tabs>
        <w:ind w:left="5040" w:hanging="360"/>
      </w:pPr>
      <w:rPr>
        <w:rFonts w:ascii="Franklin Gothic Book" w:hAnsi="Franklin Gothic Book" w:hint="default"/>
      </w:rPr>
    </w:lvl>
    <w:lvl w:ilvl="6">
      <w:start w:val="1"/>
      <w:numFmt w:val="bullet"/>
      <w:lvlText w:val="-"/>
      <w:lvlJc w:val="left"/>
      <w:pPr>
        <w:tabs>
          <w:tab w:val="num" w:pos="5040"/>
        </w:tabs>
        <w:ind w:left="5400" w:hanging="360"/>
      </w:pPr>
      <w:rPr>
        <w:rFonts w:ascii="Franklin Gothic Book" w:hAnsi="Franklin Gothic Book" w:hint="default"/>
      </w:rPr>
    </w:lvl>
    <w:lvl w:ilvl="7">
      <w:start w:val="1"/>
      <w:numFmt w:val="bullet"/>
      <w:lvlText w:val="-"/>
      <w:lvlJc w:val="left"/>
      <w:pPr>
        <w:tabs>
          <w:tab w:val="num" w:pos="5400"/>
        </w:tabs>
        <w:ind w:left="5760" w:hanging="360"/>
      </w:pPr>
      <w:rPr>
        <w:rFonts w:ascii="Franklin Gothic Book" w:hAnsi="Franklin Gothic Book" w:hint="default"/>
      </w:rPr>
    </w:lvl>
    <w:lvl w:ilvl="8">
      <w:start w:val="1"/>
      <w:numFmt w:val="bullet"/>
      <w:lvlText w:val="-"/>
      <w:lvlJc w:val="left"/>
      <w:pPr>
        <w:tabs>
          <w:tab w:val="num" w:pos="5760"/>
        </w:tabs>
        <w:ind w:left="6120" w:hanging="360"/>
      </w:pPr>
      <w:rPr>
        <w:rFonts w:ascii="Franklin Gothic Book" w:hAnsi="Franklin Gothic Book" w:hint="default"/>
      </w:rPr>
    </w:lvl>
  </w:abstractNum>
  <w:abstractNum w:abstractNumId="17" w15:restartNumberingAfterBreak="0">
    <w:nsid w:val="4FA35E7B"/>
    <w:multiLevelType w:val="multilevel"/>
    <w:tmpl w:val="3AD42CA8"/>
    <w:lvl w:ilvl="0">
      <w:start w:val="1"/>
      <w:numFmt w:val="bullet"/>
      <w:pStyle w:val="TableTextBullets"/>
      <w:lvlText w:val=""/>
      <w:lvlJc w:val="left"/>
      <w:pPr>
        <w:ind w:left="360" w:hanging="216"/>
      </w:pPr>
      <w:rPr>
        <w:rFonts w:ascii="Wingdings" w:hAnsi="Wingdings" w:hint="default"/>
        <w:color w:val="auto"/>
        <w:sz w:val="20"/>
      </w:rPr>
    </w:lvl>
    <w:lvl w:ilvl="1">
      <w:start w:val="1"/>
      <w:numFmt w:val="bullet"/>
      <w:lvlText w:val="-"/>
      <w:lvlJc w:val="left"/>
      <w:pPr>
        <w:tabs>
          <w:tab w:val="num" w:pos="576"/>
        </w:tabs>
        <w:ind w:left="576" w:hanging="216"/>
      </w:pPr>
      <w:rPr>
        <w:rFonts w:ascii="Franklin Gothic Book" w:hAnsi="Franklin Gothic Book" w:hint="default"/>
        <w:sz w:val="18"/>
      </w:rPr>
    </w:lvl>
    <w:lvl w:ilvl="2">
      <w:start w:val="1"/>
      <w:numFmt w:val="bullet"/>
      <w:lvlText w:val="-"/>
      <w:lvlJc w:val="left"/>
      <w:pPr>
        <w:tabs>
          <w:tab w:val="num" w:pos="720"/>
        </w:tabs>
        <w:ind w:left="792" w:hanging="216"/>
      </w:pPr>
      <w:rPr>
        <w:rFonts w:ascii="Franklin Gothic Book" w:hAnsi="Franklin Gothic Book" w:hint="default"/>
      </w:rPr>
    </w:lvl>
    <w:lvl w:ilvl="3">
      <w:start w:val="1"/>
      <w:numFmt w:val="bullet"/>
      <w:lvlText w:val="-"/>
      <w:lvlJc w:val="left"/>
      <w:pPr>
        <w:tabs>
          <w:tab w:val="num" w:pos="3024"/>
        </w:tabs>
        <w:ind w:left="1008" w:hanging="216"/>
      </w:pPr>
      <w:rPr>
        <w:rFonts w:ascii="Franklin Gothic Book" w:hAnsi="Franklin Gothic Book" w:hint="default"/>
      </w:rPr>
    </w:lvl>
    <w:lvl w:ilvl="4">
      <w:start w:val="1"/>
      <w:numFmt w:val="bullet"/>
      <w:lvlText w:val="-"/>
      <w:lvlJc w:val="left"/>
      <w:pPr>
        <w:tabs>
          <w:tab w:val="num" w:pos="3744"/>
        </w:tabs>
        <w:ind w:left="1224" w:hanging="216"/>
      </w:pPr>
      <w:rPr>
        <w:rFonts w:ascii="Franklin Gothic Book" w:hAnsi="Franklin Gothic Book" w:hint="default"/>
      </w:rPr>
    </w:lvl>
    <w:lvl w:ilvl="5">
      <w:start w:val="1"/>
      <w:numFmt w:val="bullet"/>
      <w:lvlText w:val="-"/>
      <w:lvlJc w:val="left"/>
      <w:pPr>
        <w:tabs>
          <w:tab w:val="num" w:pos="4464"/>
        </w:tabs>
        <w:ind w:left="1440" w:hanging="216"/>
      </w:pPr>
      <w:rPr>
        <w:rFonts w:ascii="Franklin Gothic Book" w:hAnsi="Franklin Gothic Book" w:hint="default"/>
      </w:rPr>
    </w:lvl>
    <w:lvl w:ilvl="6">
      <w:start w:val="1"/>
      <w:numFmt w:val="bullet"/>
      <w:lvlText w:val="-"/>
      <w:lvlJc w:val="left"/>
      <w:pPr>
        <w:tabs>
          <w:tab w:val="num" w:pos="5184"/>
        </w:tabs>
        <w:ind w:left="1656" w:hanging="216"/>
      </w:pPr>
      <w:rPr>
        <w:rFonts w:ascii="Franklin Gothic Book" w:hAnsi="Franklin Gothic Book" w:hint="default"/>
      </w:rPr>
    </w:lvl>
    <w:lvl w:ilvl="7">
      <w:start w:val="1"/>
      <w:numFmt w:val="bullet"/>
      <w:lvlText w:val="-"/>
      <w:lvlJc w:val="left"/>
      <w:pPr>
        <w:tabs>
          <w:tab w:val="num" w:pos="5904"/>
        </w:tabs>
        <w:ind w:left="1872" w:hanging="216"/>
      </w:pPr>
      <w:rPr>
        <w:rFonts w:ascii="Franklin Gothic Book" w:hAnsi="Franklin Gothic Book" w:hint="default"/>
      </w:rPr>
    </w:lvl>
    <w:lvl w:ilvl="8">
      <w:start w:val="1"/>
      <w:numFmt w:val="bullet"/>
      <w:lvlText w:val="-"/>
      <w:lvlJc w:val="left"/>
      <w:pPr>
        <w:tabs>
          <w:tab w:val="num" w:pos="6624"/>
        </w:tabs>
        <w:ind w:left="2088" w:hanging="216"/>
      </w:pPr>
      <w:rPr>
        <w:rFonts w:ascii="Franklin Gothic Book" w:hAnsi="Franklin Gothic Book" w:hint="default"/>
      </w:rPr>
    </w:lvl>
  </w:abstractNum>
  <w:abstractNum w:abstractNumId="18" w15:restartNumberingAfterBreak="0">
    <w:nsid w:val="51D23E95"/>
    <w:multiLevelType w:val="hybridMultilevel"/>
    <w:tmpl w:val="61B4BD92"/>
    <w:lvl w:ilvl="0" w:tplc="633A3CF8">
      <w:start w:val="1"/>
      <w:numFmt w:val="upperLetter"/>
      <w:lvlText w:val="%1."/>
      <w:lvlJc w:val="left"/>
      <w:pPr>
        <w:ind w:left="634" w:hanging="360"/>
      </w:pPr>
      <w:rPr>
        <w:rFonts w:hint="default"/>
      </w:rPr>
    </w:lvl>
    <w:lvl w:ilvl="1" w:tplc="04090019" w:tentative="1">
      <w:start w:val="1"/>
      <w:numFmt w:val="lowerLetter"/>
      <w:lvlText w:val="%2."/>
      <w:lvlJc w:val="left"/>
      <w:pPr>
        <w:ind w:left="1354" w:hanging="360"/>
      </w:pPr>
    </w:lvl>
    <w:lvl w:ilvl="2" w:tplc="0409001B" w:tentative="1">
      <w:start w:val="1"/>
      <w:numFmt w:val="lowerRoman"/>
      <w:lvlText w:val="%3."/>
      <w:lvlJc w:val="right"/>
      <w:pPr>
        <w:ind w:left="2074" w:hanging="180"/>
      </w:pPr>
    </w:lvl>
    <w:lvl w:ilvl="3" w:tplc="0409000F" w:tentative="1">
      <w:start w:val="1"/>
      <w:numFmt w:val="decimal"/>
      <w:lvlText w:val="%4."/>
      <w:lvlJc w:val="left"/>
      <w:pPr>
        <w:ind w:left="2794" w:hanging="360"/>
      </w:pPr>
    </w:lvl>
    <w:lvl w:ilvl="4" w:tplc="04090019" w:tentative="1">
      <w:start w:val="1"/>
      <w:numFmt w:val="lowerLetter"/>
      <w:lvlText w:val="%5."/>
      <w:lvlJc w:val="left"/>
      <w:pPr>
        <w:ind w:left="3514" w:hanging="360"/>
      </w:pPr>
    </w:lvl>
    <w:lvl w:ilvl="5" w:tplc="0409001B" w:tentative="1">
      <w:start w:val="1"/>
      <w:numFmt w:val="lowerRoman"/>
      <w:lvlText w:val="%6."/>
      <w:lvlJc w:val="right"/>
      <w:pPr>
        <w:ind w:left="4234" w:hanging="180"/>
      </w:pPr>
    </w:lvl>
    <w:lvl w:ilvl="6" w:tplc="0409000F" w:tentative="1">
      <w:start w:val="1"/>
      <w:numFmt w:val="decimal"/>
      <w:lvlText w:val="%7."/>
      <w:lvlJc w:val="left"/>
      <w:pPr>
        <w:ind w:left="4954" w:hanging="360"/>
      </w:pPr>
    </w:lvl>
    <w:lvl w:ilvl="7" w:tplc="04090019" w:tentative="1">
      <w:start w:val="1"/>
      <w:numFmt w:val="lowerLetter"/>
      <w:lvlText w:val="%8."/>
      <w:lvlJc w:val="left"/>
      <w:pPr>
        <w:ind w:left="5674" w:hanging="360"/>
      </w:pPr>
    </w:lvl>
    <w:lvl w:ilvl="8" w:tplc="0409001B" w:tentative="1">
      <w:start w:val="1"/>
      <w:numFmt w:val="lowerRoman"/>
      <w:lvlText w:val="%9."/>
      <w:lvlJc w:val="right"/>
      <w:pPr>
        <w:ind w:left="6394" w:hanging="180"/>
      </w:pPr>
    </w:lvl>
  </w:abstractNum>
  <w:abstractNum w:abstractNumId="19" w15:restartNumberingAfterBreak="0">
    <w:nsid w:val="576326A0"/>
    <w:multiLevelType w:val="multilevel"/>
    <w:tmpl w:val="FD182B94"/>
    <w:lvl w:ilvl="0">
      <w:start w:val="1"/>
      <w:numFmt w:val="decimal"/>
      <w:lvlText w:val="%1."/>
      <w:lvlJc w:val="left"/>
      <w:pPr>
        <w:ind w:left="720" w:hanging="360"/>
      </w:pPr>
      <w:rPr>
        <w:specVanish w:val="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right"/>
      <w:pPr>
        <w:tabs>
          <w:tab w:val="num" w:pos="2520"/>
        </w:tabs>
        <w:ind w:left="2520" w:hanging="36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5C5614CA"/>
    <w:multiLevelType w:val="hybridMultilevel"/>
    <w:tmpl w:val="9080175E"/>
    <w:lvl w:ilvl="0" w:tplc="1144B3E2">
      <w:start w:val="1"/>
      <w:numFmt w:val="upperLetter"/>
      <w:lvlText w:val="%1."/>
      <w:lvlJc w:val="left"/>
      <w:pPr>
        <w:ind w:left="634" w:hanging="360"/>
      </w:pPr>
      <w:rPr>
        <w:rFonts w:hint="default"/>
      </w:rPr>
    </w:lvl>
    <w:lvl w:ilvl="1" w:tplc="04090019" w:tentative="1">
      <w:start w:val="1"/>
      <w:numFmt w:val="lowerLetter"/>
      <w:lvlText w:val="%2."/>
      <w:lvlJc w:val="left"/>
      <w:pPr>
        <w:ind w:left="1354" w:hanging="360"/>
      </w:pPr>
    </w:lvl>
    <w:lvl w:ilvl="2" w:tplc="0409001B" w:tentative="1">
      <w:start w:val="1"/>
      <w:numFmt w:val="lowerRoman"/>
      <w:lvlText w:val="%3."/>
      <w:lvlJc w:val="right"/>
      <w:pPr>
        <w:ind w:left="2074" w:hanging="180"/>
      </w:pPr>
    </w:lvl>
    <w:lvl w:ilvl="3" w:tplc="0409000F" w:tentative="1">
      <w:start w:val="1"/>
      <w:numFmt w:val="decimal"/>
      <w:lvlText w:val="%4."/>
      <w:lvlJc w:val="left"/>
      <w:pPr>
        <w:ind w:left="2794" w:hanging="360"/>
      </w:pPr>
    </w:lvl>
    <w:lvl w:ilvl="4" w:tplc="04090019" w:tentative="1">
      <w:start w:val="1"/>
      <w:numFmt w:val="lowerLetter"/>
      <w:lvlText w:val="%5."/>
      <w:lvlJc w:val="left"/>
      <w:pPr>
        <w:ind w:left="3514" w:hanging="360"/>
      </w:pPr>
    </w:lvl>
    <w:lvl w:ilvl="5" w:tplc="0409001B" w:tentative="1">
      <w:start w:val="1"/>
      <w:numFmt w:val="lowerRoman"/>
      <w:lvlText w:val="%6."/>
      <w:lvlJc w:val="right"/>
      <w:pPr>
        <w:ind w:left="4234" w:hanging="180"/>
      </w:pPr>
    </w:lvl>
    <w:lvl w:ilvl="6" w:tplc="0409000F" w:tentative="1">
      <w:start w:val="1"/>
      <w:numFmt w:val="decimal"/>
      <w:lvlText w:val="%7."/>
      <w:lvlJc w:val="left"/>
      <w:pPr>
        <w:ind w:left="4954" w:hanging="360"/>
      </w:pPr>
    </w:lvl>
    <w:lvl w:ilvl="7" w:tplc="04090019" w:tentative="1">
      <w:start w:val="1"/>
      <w:numFmt w:val="lowerLetter"/>
      <w:lvlText w:val="%8."/>
      <w:lvlJc w:val="left"/>
      <w:pPr>
        <w:ind w:left="5674" w:hanging="360"/>
      </w:pPr>
    </w:lvl>
    <w:lvl w:ilvl="8" w:tplc="0409001B" w:tentative="1">
      <w:start w:val="1"/>
      <w:numFmt w:val="lowerRoman"/>
      <w:lvlText w:val="%9."/>
      <w:lvlJc w:val="right"/>
      <w:pPr>
        <w:ind w:left="6394" w:hanging="180"/>
      </w:pPr>
    </w:lvl>
  </w:abstractNum>
  <w:abstractNum w:abstractNumId="21" w15:restartNumberingAfterBreak="0">
    <w:nsid w:val="63697D06"/>
    <w:multiLevelType w:val="multilevel"/>
    <w:tmpl w:val="5A641D2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tabs>
          <w:tab w:val="num" w:pos="1440"/>
        </w:tabs>
        <w:ind w:left="1440" w:hanging="360"/>
      </w:pPr>
      <w:rPr>
        <w:rFonts w:ascii="Franklin Gothic Book" w:hAnsi="Franklin Gothic Book" w:hint="default"/>
      </w:rPr>
    </w:lvl>
    <w:lvl w:ilvl="3">
      <w:start w:val="1"/>
      <w:numFmt w:val="bullet"/>
      <w:lvlText w:val="-"/>
      <w:lvlJc w:val="left"/>
      <w:pPr>
        <w:tabs>
          <w:tab w:val="num" w:pos="1800"/>
        </w:tabs>
        <w:ind w:left="1800" w:hanging="360"/>
      </w:pPr>
      <w:rPr>
        <w:rFonts w:ascii="Franklin Gothic Book" w:hAnsi="Franklin Gothic Book" w:hint="default"/>
      </w:rPr>
    </w:lvl>
    <w:lvl w:ilvl="4">
      <w:start w:val="1"/>
      <w:numFmt w:val="bullet"/>
      <w:lvlText w:val="-"/>
      <w:lvlJc w:val="left"/>
      <w:pPr>
        <w:tabs>
          <w:tab w:val="num" w:pos="2160"/>
        </w:tabs>
        <w:ind w:left="2160" w:hanging="360"/>
      </w:pPr>
      <w:rPr>
        <w:rFonts w:ascii="Franklin Gothic Book" w:hAnsi="Franklin Gothic Book" w:hint="default"/>
      </w:rPr>
    </w:lvl>
    <w:lvl w:ilvl="5">
      <w:start w:val="1"/>
      <w:numFmt w:val="bullet"/>
      <w:lvlText w:val="-"/>
      <w:lvlJc w:val="left"/>
      <w:pPr>
        <w:tabs>
          <w:tab w:val="num" w:pos="2520"/>
        </w:tabs>
        <w:ind w:left="2520" w:hanging="360"/>
      </w:pPr>
      <w:rPr>
        <w:rFonts w:ascii="Franklin Gothic Book" w:hAnsi="Franklin Gothic Book" w:hint="default"/>
      </w:rPr>
    </w:lvl>
    <w:lvl w:ilvl="6">
      <w:start w:val="1"/>
      <w:numFmt w:val="bullet"/>
      <w:lvlText w:val="-"/>
      <w:lvlJc w:val="left"/>
      <w:pPr>
        <w:tabs>
          <w:tab w:val="num" w:pos="2880"/>
        </w:tabs>
        <w:ind w:left="2880" w:hanging="360"/>
      </w:pPr>
      <w:rPr>
        <w:rFonts w:ascii="Franklin Gothic Book" w:hAnsi="Franklin Gothic Book" w:hint="default"/>
      </w:rPr>
    </w:lvl>
    <w:lvl w:ilvl="7">
      <w:start w:val="1"/>
      <w:numFmt w:val="bullet"/>
      <w:lvlText w:val="-"/>
      <w:lvlJc w:val="left"/>
      <w:pPr>
        <w:tabs>
          <w:tab w:val="num" w:pos="3240"/>
        </w:tabs>
        <w:ind w:left="3240" w:hanging="360"/>
      </w:pPr>
      <w:rPr>
        <w:rFonts w:ascii="Franklin Gothic Book" w:hAnsi="Franklin Gothic Book" w:hint="default"/>
      </w:rPr>
    </w:lvl>
    <w:lvl w:ilvl="8">
      <w:start w:val="1"/>
      <w:numFmt w:val="bullet"/>
      <w:lvlText w:val="-"/>
      <w:lvlJc w:val="left"/>
      <w:pPr>
        <w:tabs>
          <w:tab w:val="num" w:pos="3600"/>
        </w:tabs>
        <w:ind w:left="3600" w:hanging="360"/>
      </w:pPr>
      <w:rPr>
        <w:rFonts w:ascii="Franklin Gothic Book" w:hAnsi="Franklin Gothic Book" w:hint="default"/>
      </w:rPr>
    </w:lvl>
  </w:abstractNum>
  <w:abstractNum w:abstractNumId="22" w15:restartNumberingAfterBreak="0">
    <w:nsid w:val="640A2082"/>
    <w:multiLevelType w:val="multilevel"/>
    <w:tmpl w:val="341EED8E"/>
    <w:lvl w:ilvl="0">
      <w:start w:val="1"/>
      <w:numFmt w:val="bullet"/>
      <w:pStyle w:val="GPOLevel3-Bullet"/>
      <w:lvlText w:val=""/>
      <w:lvlJc w:val="left"/>
      <w:pPr>
        <w:ind w:left="2520" w:hanging="360"/>
      </w:pPr>
      <w:rPr>
        <w:rFonts w:ascii="Wingdings" w:hAnsi="Wingdings" w:hint="default"/>
        <w:color w:val="auto"/>
        <w:sz w:val="20"/>
      </w:rPr>
    </w:lvl>
    <w:lvl w:ilvl="1">
      <w:start w:val="1"/>
      <w:numFmt w:val="bullet"/>
      <w:lvlText w:val="-"/>
      <w:lvlJc w:val="left"/>
      <w:pPr>
        <w:tabs>
          <w:tab w:val="num" w:pos="2520"/>
        </w:tabs>
        <w:ind w:left="2880" w:hanging="360"/>
      </w:pPr>
      <w:rPr>
        <w:rFonts w:ascii="Franklin Gothic Book" w:hAnsi="Franklin Gothic Book" w:hint="default"/>
        <w:sz w:val="18"/>
      </w:rPr>
    </w:lvl>
    <w:lvl w:ilvl="2">
      <w:start w:val="1"/>
      <w:numFmt w:val="bullet"/>
      <w:lvlText w:val="-"/>
      <w:lvlJc w:val="left"/>
      <w:pPr>
        <w:tabs>
          <w:tab w:val="num" w:pos="2880"/>
        </w:tabs>
        <w:ind w:left="3240" w:hanging="360"/>
      </w:pPr>
      <w:rPr>
        <w:rFonts w:ascii="Franklin Gothic Book" w:hAnsi="Franklin Gothic Book" w:hint="default"/>
      </w:rPr>
    </w:lvl>
    <w:lvl w:ilvl="3">
      <w:start w:val="1"/>
      <w:numFmt w:val="bullet"/>
      <w:lvlText w:val="-"/>
      <w:lvlJc w:val="left"/>
      <w:pPr>
        <w:tabs>
          <w:tab w:val="num" w:pos="3240"/>
        </w:tabs>
        <w:ind w:left="3600" w:hanging="360"/>
      </w:pPr>
      <w:rPr>
        <w:rFonts w:ascii="Franklin Gothic Book" w:hAnsi="Franklin Gothic Book" w:hint="default"/>
      </w:rPr>
    </w:lvl>
    <w:lvl w:ilvl="4">
      <w:start w:val="1"/>
      <w:numFmt w:val="bullet"/>
      <w:lvlText w:val="-"/>
      <w:lvlJc w:val="left"/>
      <w:pPr>
        <w:tabs>
          <w:tab w:val="num" w:pos="3600"/>
        </w:tabs>
        <w:ind w:left="3960" w:hanging="360"/>
      </w:pPr>
      <w:rPr>
        <w:rFonts w:ascii="Franklin Gothic Book" w:hAnsi="Franklin Gothic Book" w:hint="default"/>
      </w:rPr>
    </w:lvl>
    <w:lvl w:ilvl="5">
      <w:start w:val="1"/>
      <w:numFmt w:val="bullet"/>
      <w:lvlText w:val="-"/>
      <w:lvlJc w:val="left"/>
      <w:pPr>
        <w:tabs>
          <w:tab w:val="num" w:pos="3960"/>
        </w:tabs>
        <w:ind w:left="4320" w:hanging="360"/>
      </w:pPr>
      <w:rPr>
        <w:rFonts w:ascii="Franklin Gothic Book" w:hAnsi="Franklin Gothic Book" w:hint="default"/>
      </w:rPr>
    </w:lvl>
    <w:lvl w:ilvl="6">
      <w:start w:val="1"/>
      <w:numFmt w:val="bullet"/>
      <w:lvlText w:val="-"/>
      <w:lvlJc w:val="left"/>
      <w:pPr>
        <w:tabs>
          <w:tab w:val="num" w:pos="4320"/>
        </w:tabs>
        <w:ind w:left="4680" w:hanging="360"/>
      </w:pPr>
      <w:rPr>
        <w:rFonts w:ascii="Franklin Gothic Book" w:hAnsi="Franklin Gothic Book" w:hint="default"/>
      </w:rPr>
    </w:lvl>
    <w:lvl w:ilvl="7">
      <w:start w:val="1"/>
      <w:numFmt w:val="bullet"/>
      <w:lvlText w:val="-"/>
      <w:lvlJc w:val="left"/>
      <w:pPr>
        <w:tabs>
          <w:tab w:val="num" w:pos="4680"/>
        </w:tabs>
        <w:ind w:left="5040" w:hanging="360"/>
      </w:pPr>
      <w:rPr>
        <w:rFonts w:ascii="Franklin Gothic Book" w:hAnsi="Franklin Gothic Book" w:hint="default"/>
      </w:rPr>
    </w:lvl>
    <w:lvl w:ilvl="8">
      <w:start w:val="1"/>
      <w:numFmt w:val="bullet"/>
      <w:lvlText w:val="-"/>
      <w:lvlJc w:val="left"/>
      <w:pPr>
        <w:tabs>
          <w:tab w:val="num" w:pos="5040"/>
        </w:tabs>
        <w:ind w:left="5400" w:hanging="360"/>
      </w:pPr>
      <w:rPr>
        <w:rFonts w:ascii="Franklin Gothic Book" w:hAnsi="Franklin Gothic Book" w:hint="default"/>
      </w:rPr>
    </w:lvl>
  </w:abstractNum>
  <w:abstractNum w:abstractNumId="23" w15:restartNumberingAfterBreak="0">
    <w:nsid w:val="64B67745"/>
    <w:multiLevelType w:val="multilevel"/>
    <w:tmpl w:val="7D56D1BE"/>
    <w:lvl w:ilvl="0">
      <w:start w:val="1"/>
      <w:numFmt w:val="bullet"/>
      <w:pStyle w:val="Impacts-Bullet"/>
      <w:lvlText w:val=""/>
      <w:lvlJc w:val="left"/>
      <w:pPr>
        <w:ind w:left="2520" w:hanging="360"/>
      </w:pPr>
      <w:rPr>
        <w:rFonts w:ascii="Wingdings" w:hAnsi="Wingdings" w:hint="default"/>
      </w:rPr>
    </w:lvl>
    <w:lvl w:ilvl="1">
      <w:start w:val="1"/>
      <w:numFmt w:val="bullet"/>
      <w:lvlText w:val="-"/>
      <w:lvlJc w:val="left"/>
      <w:pPr>
        <w:ind w:left="2880" w:hanging="360"/>
      </w:pPr>
      <w:rPr>
        <w:rFonts w:ascii="Franklin Gothic Book" w:hAnsi="Franklin Gothic Book" w:hint="default"/>
      </w:rPr>
    </w:lvl>
    <w:lvl w:ilvl="2">
      <w:start w:val="1"/>
      <w:numFmt w:val="bullet"/>
      <w:lvlText w:val="-"/>
      <w:lvlJc w:val="left"/>
      <w:pPr>
        <w:ind w:left="3240" w:hanging="360"/>
      </w:pPr>
      <w:rPr>
        <w:rFonts w:ascii="Franklin Gothic Book" w:hAnsi="Franklin Gothic Book" w:hint="default"/>
      </w:rPr>
    </w:lvl>
    <w:lvl w:ilvl="3">
      <w:start w:val="1"/>
      <w:numFmt w:val="bullet"/>
      <w:lvlText w:val="-"/>
      <w:lvlJc w:val="left"/>
      <w:pPr>
        <w:ind w:left="3600" w:hanging="360"/>
      </w:pPr>
      <w:rPr>
        <w:rFonts w:ascii="Franklin Gothic Book" w:hAnsi="Franklin Gothic Book" w:hint="default"/>
      </w:rPr>
    </w:lvl>
    <w:lvl w:ilvl="4">
      <w:start w:val="1"/>
      <w:numFmt w:val="bullet"/>
      <w:lvlText w:val="-"/>
      <w:lvlJc w:val="left"/>
      <w:pPr>
        <w:ind w:left="3960" w:hanging="360"/>
      </w:pPr>
      <w:rPr>
        <w:rFonts w:ascii="Franklin Gothic Book" w:hAnsi="Franklin Gothic Book" w:hint="default"/>
      </w:rPr>
    </w:lvl>
    <w:lvl w:ilvl="5">
      <w:start w:val="1"/>
      <w:numFmt w:val="bullet"/>
      <w:lvlText w:val="-"/>
      <w:lvlJc w:val="left"/>
      <w:pPr>
        <w:ind w:left="4320" w:hanging="360"/>
      </w:pPr>
      <w:rPr>
        <w:rFonts w:ascii="Franklin Gothic Book" w:hAnsi="Franklin Gothic Book" w:hint="default"/>
      </w:rPr>
    </w:lvl>
    <w:lvl w:ilvl="6">
      <w:start w:val="1"/>
      <w:numFmt w:val="bullet"/>
      <w:lvlText w:val="-"/>
      <w:lvlJc w:val="left"/>
      <w:pPr>
        <w:ind w:left="4680" w:hanging="360"/>
      </w:pPr>
      <w:rPr>
        <w:rFonts w:ascii="Franklin Gothic Book" w:hAnsi="Franklin Gothic Book" w:hint="default"/>
      </w:rPr>
    </w:lvl>
    <w:lvl w:ilvl="7">
      <w:start w:val="1"/>
      <w:numFmt w:val="bullet"/>
      <w:lvlText w:val="-"/>
      <w:lvlJc w:val="left"/>
      <w:pPr>
        <w:ind w:left="5040" w:hanging="360"/>
      </w:pPr>
      <w:rPr>
        <w:rFonts w:ascii="Franklin Gothic Book" w:hAnsi="Franklin Gothic Book" w:hint="default"/>
      </w:rPr>
    </w:lvl>
    <w:lvl w:ilvl="8">
      <w:start w:val="1"/>
      <w:numFmt w:val="bullet"/>
      <w:lvlText w:val="-"/>
      <w:lvlJc w:val="left"/>
      <w:pPr>
        <w:ind w:left="5400" w:hanging="360"/>
      </w:pPr>
      <w:rPr>
        <w:rFonts w:ascii="Franklin Gothic Book" w:hAnsi="Franklin Gothic Book" w:hint="default"/>
      </w:rPr>
    </w:lvl>
  </w:abstractNum>
  <w:abstractNum w:abstractNumId="24" w15:restartNumberingAfterBreak="0">
    <w:nsid w:val="66C55F97"/>
    <w:multiLevelType w:val="multilevel"/>
    <w:tmpl w:val="E4088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E1054C"/>
    <w:multiLevelType w:val="hybridMultilevel"/>
    <w:tmpl w:val="ACDA9938"/>
    <w:lvl w:ilvl="0" w:tplc="A97EBEB6">
      <w:start w:val="1"/>
      <w:numFmt w:val="decimal"/>
      <w:lvlText w:val="%1."/>
      <w:lvlJc w:val="left"/>
      <w:pPr>
        <w:ind w:left="7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920625E">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FC2C568">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D921FB0">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FB22D16">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B0CDFDA">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DA414BA">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8C019D6">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A3237FC">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677419D7"/>
    <w:multiLevelType w:val="hybridMultilevel"/>
    <w:tmpl w:val="01FEAAA4"/>
    <w:lvl w:ilvl="0" w:tplc="FC74A2D6">
      <w:start w:val="1"/>
      <w:numFmt w:val="decimal"/>
      <w:lvlText w:val="%1."/>
      <w:lvlJc w:val="left"/>
      <w:pPr>
        <w:ind w:left="7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07ED8B0">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206DBE8">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7E0812A">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5B8B90A">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BA89A2C">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6FACAE8">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8F8D4C0">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BA6F532">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67834A86"/>
    <w:multiLevelType w:val="multilevel"/>
    <w:tmpl w:val="C5C0F6AA"/>
    <w:lvl w:ilvl="0">
      <w:start w:val="1"/>
      <w:numFmt w:val="bullet"/>
      <w:pStyle w:val="GPOLevel1-Bullet"/>
      <w:lvlText w:val=""/>
      <w:lvlJc w:val="left"/>
      <w:pPr>
        <w:tabs>
          <w:tab w:val="num" w:pos="2880"/>
        </w:tabs>
        <w:ind w:left="1080" w:hanging="360"/>
      </w:pPr>
      <w:rPr>
        <w:rFonts w:ascii="Wingdings" w:hAnsi="Wingdings" w:hint="default"/>
        <w:color w:val="auto"/>
        <w:sz w:val="20"/>
      </w:rPr>
    </w:lvl>
    <w:lvl w:ilvl="1">
      <w:start w:val="1"/>
      <w:numFmt w:val="bullet"/>
      <w:lvlText w:val="-"/>
      <w:lvlJc w:val="left"/>
      <w:pPr>
        <w:tabs>
          <w:tab w:val="num" w:pos="3240"/>
        </w:tabs>
        <w:ind w:left="1440" w:hanging="360"/>
      </w:pPr>
      <w:rPr>
        <w:rFonts w:ascii="Franklin Gothic Book" w:hAnsi="Franklin Gothic Book" w:hint="default"/>
        <w:sz w:val="18"/>
      </w:rPr>
    </w:lvl>
    <w:lvl w:ilvl="2">
      <w:start w:val="1"/>
      <w:numFmt w:val="bullet"/>
      <w:lvlText w:val="-"/>
      <w:lvlJc w:val="left"/>
      <w:pPr>
        <w:tabs>
          <w:tab w:val="num" w:pos="3600"/>
        </w:tabs>
        <w:ind w:left="1800" w:hanging="360"/>
      </w:pPr>
      <w:rPr>
        <w:rFonts w:ascii="Franklin Gothic Book" w:hAnsi="Franklin Gothic Book" w:hint="default"/>
      </w:rPr>
    </w:lvl>
    <w:lvl w:ilvl="3">
      <w:start w:val="1"/>
      <w:numFmt w:val="bullet"/>
      <w:lvlText w:val="-"/>
      <w:lvlJc w:val="left"/>
      <w:pPr>
        <w:tabs>
          <w:tab w:val="num" w:pos="3960"/>
        </w:tabs>
        <w:ind w:left="2160" w:hanging="360"/>
      </w:pPr>
      <w:rPr>
        <w:rFonts w:ascii="Franklin Gothic Book" w:hAnsi="Franklin Gothic Book" w:hint="default"/>
      </w:rPr>
    </w:lvl>
    <w:lvl w:ilvl="4">
      <w:start w:val="1"/>
      <w:numFmt w:val="bullet"/>
      <w:lvlText w:val="-"/>
      <w:lvlJc w:val="left"/>
      <w:pPr>
        <w:tabs>
          <w:tab w:val="num" w:pos="4320"/>
        </w:tabs>
        <w:ind w:left="2520" w:hanging="360"/>
      </w:pPr>
      <w:rPr>
        <w:rFonts w:ascii="Franklin Gothic Book" w:hAnsi="Franklin Gothic Book" w:hint="default"/>
      </w:rPr>
    </w:lvl>
    <w:lvl w:ilvl="5">
      <w:start w:val="1"/>
      <w:numFmt w:val="bullet"/>
      <w:lvlText w:val="-"/>
      <w:lvlJc w:val="left"/>
      <w:pPr>
        <w:tabs>
          <w:tab w:val="num" w:pos="4680"/>
        </w:tabs>
        <w:ind w:left="2880" w:hanging="360"/>
      </w:pPr>
      <w:rPr>
        <w:rFonts w:ascii="Franklin Gothic Book" w:hAnsi="Franklin Gothic Book" w:hint="default"/>
      </w:rPr>
    </w:lvl>
    <w:lvl w:ilvl="6">
      <w:start w:val="1"/>
      <w:numFmt w:val="bullet"/>
      <w:lvlText w:val="-"/>
      <w:lvlJc w:val="left"/>
      <w:pPr>
        <w:tabs>
          <w:tab w:val="num" w:pos="5040"/>
        </w:tabs>
        <w:ind w:left="3240" w:hanging="360"/>
      </w:pPr>
      <w:rPr>
        <w:rFonts w:ascii="Franklin Gothic Book" w:hAnsi="Franklin Gothic Book" w:hint="default"/>
      </w:rPr>
    </w:lvl>
    <w:lvl w:ilvl="7">
      <w:start w:val="1"/>
      <w:numFmt w:val="bullet"/>
      <w:lvlText w:val="-"/>
      <w:lvlJc w:val="left"/>
      <w:pPr>
        <w:tabs>
          <w:tab w:val="num" w:pos="5400"/>
        </w:tabs>
        <w:ind w:left="3600" w:hanging="360"/>
      </w:pPr>
      <w:rPr>
        <w:rFonts w:ascii="Franklin Gothic Book" w:hAnsi="Franklin Gothic Book" w:hint="default"/>
      </w:rPr>
    </w:lvl>
    <w:lvl w:ilvl="8">
      <w:start w:val="1"/>
      <w:numFmt w:val="bullet"/>
      <w:lvlText w:val="-"/>
      <w:lvlJc w:val="left"/>
      <w:pPr>
        <w:tabs>
          <w:tab w:val="num" w:pos="5760"/>
        </w:tabs>
        <w:ind w:left="3960" w:hanging="360"/>
      </w:pPr>
      <w:rPr>
        <w:rFonts w:ascii="Franklin Gothic Book" w:hAnsi="Franklin Gothic Book" w:hint="default"/>
      </w:rPr>
    </w:lvl>
  </w:abstractNum>
  <w:abstractNum w:abstractNumId="28" w15:restartNumberingAfterBreak="0">
    <w:nsid w:val="7ABC5FC2"/>
    <w:multiLevelType w:val="multilevel"/>
    <w:tmpl w:val="7A905F38"/>
    <w:lvl w:ilvl="0">
      <w:start w:val="1"/>
      <w:numFmt w:val="upperLetter"/>
      <w:pStyle w:val="TableText-LetteredList"/>
      <w:lvlText w:val="%1."/>
      <w:lvlJc w:val="left"/>
      <w:pPr>
        <w:tabs>
          <w:tab w:val="num" w:pos="360"/>
        </w:tabs>
        <w:ind w:left="360" w:hanging="21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Roman"/>
      <w:lvlText w:val="%2."/>
      <w:lvlJc w:val="left"/>
      <w:pPr>
        <w:tabs>
          <w:tab w:val="num" w:pos="576"/>
        </w:tabs>
        <w:ind w:left="576" w:hanging="216"/>
      </w:pPr>
      <w:rPr>
        <w:rFonts w:hint="default"/>
      </w:rPr>
    </w:lvl>
    <w:lvl w:ilvl="2">
      <w:start w:val="1"/>
      <w:numFmt w:val="lowerLetter"/>
      <w:lvlText w:val="%3."/>
      <w:lvlJc w:val="left"/>
      <w:pPr>
        <w:tabs>
          <w:tab w:val="num" w:pos="792"/>
        </w:tabs>
        <w:ind w:left="792" w:hanging="216"/>
      </w:pPr>
      <w:rPr>
        <w:rFonts w:hint="default"/>
      </w:rPr>
    </w:lvl>
    <w:lvl w:ilvl="3">
      <w:start w:val="1"/>
      <w:numFmt w:val="lowerRoman"/>
      <w:lvlText w:val="%4."/>
      <w:lvlJc w:val="left"/>
      <w:pPr>
        <w:tabs>
          <w:tab w:val="num" w:pos="1008"/>
        </w:tabs>
        <w:ind w:left="1008" w:hanging="216"/>
      </w:pPr>
      <w:rPr>
        <w:rFonts w:hint="default"/>
      </w:rPr>
    </w:lvl>
    <w:lvl w:ilvl="4">
      <w:start w:val="1"/>
      <w:numFmt w:val="lowerLetter"/>
      <w:lvlText w:val="%5."/>
      <w:lvlJc w:val="left"/>
      <w:pPr>
        <w:tabs>
          <w:tab w:val="num" w:pos="1224"/>
        </w:tabs>
        <w:ind w:left="1224" w:hanging="216"/>
      </w:pPr>
      <w:rPr>
        <w:rFonts w:hint="default"/>
      </w:rPr>
    </w:lvl>
    <w:lvl w:ilvl="5">
      <w:start w:val="1"/>
      <w:numFmt w:val="lowerRoman"/>
      <w:lvlText w:val="%6."/>
      <w:lvlJc w:val="left"/>
      <w:pPr>
        <w:tabs>
          <w:tab w:val="num" w:pos="1440"/>
        </w:tabs>
        <w:ind w:left="1440" w:hanging="216"/>
      </w:pPr>
      <w:rPr>
        <w:rFonts w:hint="default"/>
      </w:rPr>
    </w:lvl>
    <w:lvl w:ilvl="6">
      <w:start w:val="1"/>
      <w:numFmt w:val="lowerLetter"/>
      <w:lvlText w:val="%7."/>
      <w:lvlJc w:val="left"/>
      <w:pPr>
        <w:tabs>
          <w:tab w:val="num" w:pos="1656"/>
        </w:tabs>
        <w:ind w:left="1656" w:hanging="216"/>
      </w:pPr>
      <w:rPr>
        <w:rFonts w:hint="default"/>
      </w:rPr>
    </w:lvl>
    <w:lvl w:ilvl="7">
      <w:start w:val="1"/>
      <w:numFmt w:val="lowerRoman"/>
      <w:lvlText w:val="%8."/>
      <w:lvlJc w:val="left"/>
      <w:pPr>
        <w:tabs>
          <w:tab w:val="num" w:pos="1872"/>
        </w:tabs>
        <w:ind w:left="1872" w:hanging="216"/>
      </w:pPr>
      <w:rPr>
        <w:rFonts w:hint="default"/>
      </w:rPr>
    </w:lvl>
    <w:lvl w:ilvl="8">
      <w:start w:val="1"/>
      <w:numFmt w:val="lowerLetter"/>
      <w:lvlText w:val="%9."/>
      <w:lvlJc w:val="left"/>
      <w:pPr>
        <w:tabs>
          <w:tab w:val="num" w:pos="2088"/>
        </w:tabs>
        <w:ind w:left="2088" w:hanging="216"/>
      </w:pPr>
      <w:rPr>
        <w:rFonts w:hint="default"/>
      </w:rPr>
    </w:lvl>
  </w:abstractNum>
  <w:abstractNum w:abstractNumId="29" w15:restartNumberingAfterBreak="0">
    <w:nsid w:val="7AE048C8"/>
    <w:multiLevelType w:val="multilevel"/>
    <w:tmpl w:val="3446C48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tabs>
          <w:tab w:val="num" w:pos="1440"/>
        </w:tabs>
        <w:ind w:left="1440" w:hanging="360"/>
      </w:pPr>
      <w:rPr>
        <w:rFonts w:ascii="Franklin Gothic Book" w:hAnsi="Franklin Gothic Book" w:hint="default"/>
      </w:rPr>
    </w:lvl>
    <w:lvl w:ilvl="3">
      <w:start w:val="1"/>
      <w:numFmt w:val="bullet"/>
      <w:lvlText w:val="-"/>
      <w:lvlJc w:val="left"/>
      <w:pPr>
        <w:tabs>
          <w:tab w:val="num" w:pos="1800"/>
        </w:tabs>
        <w:ind w:left="1800" w:hanging="360"/>
      </w:pPr>
      <w:rPr>
        <w:rFonts w:ascii="Franklin Gothic Book" w:hAnsi="Franklin Gothic Book" w:hint="default"/>
      </w:rPr>
    </w:lvl>
    <w:lvl w:ilvl="4">
      <w:start w:val="1"/>
      <w:numFmt w:val="bullet"/>
      <w:lvlText w:val="-"/>
      <w:lvlJc w:val="left"/>
      <w:pPr>
        <w:tabs>
          <w:tab w:val="num" w:pos="2160"/>
        </w:tabs>
        <w:ind w:left="2160" w:hanging="360"/>
      </w:pPr>
      <w:rPr>
        <w:rFonts w:ascii="Franklin Gothic Book" w:hAnsi="Franklin Gothic Book" w:hint="default"/>
      </w:rPr>
    </w:lvl>
    <w:lvl w:ilvl="5">
      <w:start w:val="1"/>
      <w:numFmt w:val="bullet"/>
      <w:lvlText w:val="-"/>
      <w:lvlJc w:val="left"/>
      <w:pPr>
        <w:tabs>
          <w:tab w:val="num" w:pos="2520"/>
        </w:tabs>
        <w:ind w:left="2520" w:hanging="360"/>
      </w:pPr>
      <w:rPr>
        <w:rFonts w:ascii="Franklin Gothic Book" w:hAnsi="Franklin Gothic Book" w:hint="default"/>
      </w:rPr>
    </w:lvl>
    <w:lvl w:ilvl="6">
      <w:start w:val="1"/>
      <w:numFmt w:val="bullet"/>
      <w:lvlText w:val="-"/>
      <w:lvlJc w:val="left"/>
      <w:pPr>
        <w:tabs>
          <w:tab w:val="num" w:pos="2880"/>
        </w:tabs>
        <w:ind w:left="2880" w:hanging="360"/>
      </w:pPr>
      <w:rPr>
        <w:rFonts w:ascii="Franklin Gothic Book" w:hAnsi="Franklin Gothic Book" w:hint="default"/>
      </w:rPr>
    </w:lvl>
    <w:lvl w:ilvl="7">
      <w:start w:val="1"/>
      <w:numFmt w:val="bullet"/>
      <w:lvlText w:val="-"/>
      <w:lvlJc w:val="left"/>
      <w:pPr>
        <w:tabs>
          <w:tab w:val="num" w:pos="3240"/>
        </w:tabs>
        <w:ind w:left="3240" w:hanging="360"/>
      </w:pPr>
      <w:rPr>
        <w:rFonts w:ascii="Franklin Gothic Book" w:hAnsi="Franklin Gothic Book" w:hint="default"/>
      </w:rPr>
    </w:lvl>
    <w:lvl w:ilvl="8">
      <w:start w:val="1"/>
      <w:numFmt w:val="bullet"/>
      <w:lvlText w:val="-"/>
      <w:lvlJc w:val="left"/>
      <w:pPr>
        <w:tabs>
          <w:tab w:val="num" w:pos="3600"/>
        </w:tabs>
        <w:ind w:left="3600" w:hanging="360"/>
      </w:pPr>
      <w:rPr>
        <w:rFonts w:ascii="Franklin Gothic Book" w:hAnsi="Franklin Gothic Book" w:hint="default"/>
      </w:rPr>
    </w:lvl>
  </w:abstractNum>
  <w:abstractNum w:abstractNumId="30" w15:restartNumberingAfterBreak="0">
    <w:nsid w:val="7E2E7B73"/>
    <w:multiLevelType w:val="hybridMultilevel"/>
    <w:tmpl w:val="41141126"/>
    <w:lvl w:ilvl="0" w:tplc="0EDC7C5C">
      <w:start w:val="1"/>
      <w:numFmt w:val="upperLetter"/>
      <w:lvlText w:val="%1."/>
      <w:lvlJc w:val="left"/>
      <w:pPr>
        <w:ind w:left="634" w:hanging="360"/>
      </w:pPr>
      <w:rPr>
        <w:rFonts w:hint="default"/>
      </w:rPr>
    </w:lvl>
    <w:lvl w:ilvl="1" w:tplc="04090019" w:tentative="1">
      <w:start w:val="1"/>
      <w:numFmt w:val="lowerLetter"/>
      <w:lvlText w:val="%2."/>
      <w:lvlJc w:val="left"/>
      <w:pPr>
        <w:ind w:left="1354" w:hanging="360"/>
      </w:pPr>
    </w:lvl>
    <w:lvl w:ilvl="2" w:tplc="0409001B" w:tentative="1">
      <w:start w:val="1"/>
      <w:numFmt w:val="lowerRoman"/>
      <w:lvlText w:val="%3."/>
      <w:lvlJc w:val="right"/>
      <w:pPr>
        <w:ind w:left="2074" w:hanging="180"/>
      </w:pPr>
    </w:lvl>
    <w:lvl w:ilvl="3" w:tplc="0409000F" w:tentative="1">
      <w:start w:val="1"/>
      <w:numFmt w:val="decimal"/>
      <w:lvlText w:val="%4."/>
      <w:lvlJc w:val="left"/>
      <w:pPr>
        <w:ind w:left="2794" w:hanging="360"/>
      </w:pPr>
    </w:lvl>
    <w:lvl w:ilvl="4" w:tplc="04090019" w:tentative="1">
      <w:start w:val="1"/>
      <w:numFmt w:val="lowerLetter"/>
      <w:lvlText w:val="%5."/>
      <w:lvlJc w:val="left"/>
      <w:pPr>
        <w:ind w:left="3514" w:hanging="360"/>
      </w:pPr>
    </w:lvl>
    <w:lvl w:ilvl="5" w:tplc="0409001B" w:tentative="1">
      <w:start w:val="1"/>
      <w:numFmt w:val="lowerRoman"/>
      <w:lvlText w:val="%6."/>
      <w:lvlJc w:val="right"/>
      <w:pPr>
        <w:ind w:left="4234" w:hanging="180"/>
      </w:pPr>
    </w:lvl>
    <w:lvl w:ilvl="6" w:tplc="0409000F" w:tentative="1">
      <w:start w:val="1"/>
      <w:numFmt w:val="decimal"/>
      <w:lvlText w:val="%7."/>
      <w:lvlJc w:val="left"/>
      <w:pPr>
        <w:ind w:left="4954" w:hanging="360"/>
      </w:pPr>
    </w:lvl>
    <w:lvl w:ilvl="7" w:tplc="04090019" w:tentative="1">
      <w:start w:val="1"/>
      <w:numFmt w:val="lowerLetter"/>
      <w:lvlText w:val="%8."/>
      <w:lvlJc w:val="left"/>
      <w:pPr>
        <w:ind w:left="5674" w:hanging="360"/>
      </w:pPr>
    </w:lvl>
    <w:lvl w:ilvl="8" w:tplc="0409001B" w:tentative="1">
      <w:start w:val="1"/>
      <w:numFmt w:val="lowerRoman"/>
      <w:lvlText w:val="%9."/>
      <w:lvlJc w:val="right"/>
      <w:pPr>
        <w:ind w:left="6394" w:hanging="180"/>
      </w:pPr>
    </w:lvl>
  </w:abstractNum>
  <w:abstractNum w:abstractNumId="31" w15:restartNumberingAfterBreak="0">
    <w:nsid w:val="7E556550"/>
    <w:multiLevelType w:val="hybridMultilevel"/>
    <w:tmpl w:val="D3341FE6"/>
    <w:lvl w:ilvl="0" w:tplc="1BCE05C6">
      <w:start w:val="1"/>
      <w:numFmt w:val="decimal"/>
      <w:lvlText w:val="%1."/>
      <w:lvlJc w:val="left"/>
      <w:pPr>
        <w:ind w:left="7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72881CA">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6EE997C">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5B6A42A">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E088BB0">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65805A6">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D143918">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82ACCCE">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97CB98E">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16cid:durableId="627051466">
    <w:abstractNumId w:val="19"/>
  </w:num>
  <w:num w:numId="2" w16cid:durableId="851837614">
    <w:abstractNumId w:val="14"/>
  </w:num>
  <w:num w:numId="3" w16cid:durableId="1277786393">
    <w:abstractNumId w:val="7"/>
  </w:num>
  <w:num w:numId="4" w16cid:durableId="1638953057">
    <w:abstractNumId w:val="15"/>
  </w:num>
  <w:num w:numId="5" w16cid:durableId="3944989">
    <w:abstractNumId w:val="27"/>
  </w:num>
  <w:num w:numId="6" w16cid:durableId="1651448314">
    <w:abstractNumId w:val="11"/>
  </w:num>
  <w:num w:numId="7" w16cid:durableId="1533416372">
    <w:abstractNumId w:val="22"/>
  </w:num>
  <w:num w:numId="8" w16cid:durableId="883978658">
    <w:abstractNumId w:val="16"/>
  </w:num>
  <w:num w:numId="9" w16cid:durableId="1067803380">
    <w:abstractNumId w:val="23"/>
  </w:num>
  <w:num w:numId="10" w16cid:durableId="530991146">
    <w:abstractNumId w:val="12"/>
  </w:num>
  <w:num w:numId="11" w16cid:durableId="648902162">
    <w:abstractNumId w:val="1"/>
  </w:num>
  <w:num w:numId="12" w16cid:durableId="1466924906">
    <w:abstractNumId w:val="13"/>
  </w:num>
  <w:num w:numId="13" w16cid:durableId="95028221">
    <w:abstractNumId w:val="28"/>
  </w:num>
  <w:num w:numId="14" w16cid:durableId="1652250553">
    <w:abstractNumId w:val="17"/>
  </w:num>
  <w:num w:numId="15" w16cid:durableId="1923293824">
    <w:abstractNumId w:val="4"/>
  </w:num>
  <w:num w:numId="16" w16cid:durableId="262684919">
    <w:abstractNumId w:val="6"/>
  </w:num>
  <w:num w:numId="17" w16cid:durableId="1511331891">
    <w:abstractNumId w:val="0"/>
  </w:num>
  <w:num w:numId="18" w16cid:durableId="1593512087">
    <w:abstractNumId w:val="18"/>
  </w:num>
  <w:num w:numId="19" w16cid:durableId="552541312">
    <w:abstractNumId w:val="20"/>
  </w:num>
  <w:num w:numId="20" w16cid:durableId="27533550">
    <w:abstractNumId w:val="30"/>
  </w:num>
  <w:num w:numId="21" w16cid:durableId="1872260271">
    <w:abstractNumId w:val="24"/>
  </w:num>
  <w:num w:numId="22" w16cid:durableId="716709647">
    <w:abstractNumId w:val="21"/>
  </w:num>
  <w:num w:numId="23" w16cid:durableId="1849560124">
    <w:abstractNumId w:val="29"/>
  </w:num>
  <w:num w:numId="24" w16cid:durableId="1414277373">
    <w:abstractNumId w:val="10"/>
  </w:num>
  <w:num w:numId="25" w16cid:durableId="1500390306">
    <w:abstractNumId w:val="8"/>
  </w:num>
  <w:num w:numId="26" w16cid:durableId="755908574">
    <w:abstractNumId w:val="9"/>
  </w:num>
  <w:num w:numId="27" w16cid:durableId="235628464">
    <w:abstractNumId w:val="5"/>
  </w:num>
  <w:num w:numId="28" w16cid:durableId="1498308873">
    <w:abstractNumId w:val="6"/>
    <w:lvlOverride w:ilvl="0">
      <w:startOverride w:val="1"/>
    </w:lvlOverride>
  </w:num>
  <w:num w:numId="29" w16cid:durableId="781996747">
    <w:abstractNumId w:val="3"/>
  </w:num>
  <w:num w:numId="30" w16cid:durableId="1557886197">
    <w:abstractNumId w:val="25"/>
  </w:num>
  <w:num w:numId="31" w16cid:durableId="1977026730">
    <w:abstractNumId w:val="31"/>
  </w:num>
  <w:num w:numId="32" w16cid:durableId="324666918">
    <w:abstractNumId w:val="26"/>
  </w:num>
  <w:num w:numId="33" w16cid:durableId="1498962114">
    <w:abstractNumId w:val="2"/>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nnifer Garman">
    <w15:presenceInfo w15:providerId="None" w15:userId="Jennifer Garman"/>
  </w15:person>
  <w15:person w15:author="Mike Swanson">
    <w15:presenceInfo w15:providerId="AD" w15:userId="S::mikes@TDPUD.org::76be75b1-ab0b-492e-88b7-dca028fc993a"/>
  </w15:person>
  <w15:person w15:author="Jeremy Cawn">
    <w15:presenceInfo w15:providerId="AD" w15:userId="S::jcawn@dudek.com::da65f457-08b7-4501-ae59-bf6864123f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isplayBackgroundShape/>
  <w:activeWritingStyle w:appName="MSWord" w:lang="en-US" w:vendorID="64" w:dllVersion="6" w:nlCheck="1" w:checkStyle="1"/>
  <w:activeWritingStyle w:appName="MSWord" w:lang="en-CA" w:vendorID="64" w:dllVersion="6" w:nlCheck="1" w:checkStyle="1"/>
  <w:activeWritingStyle w:appName="MSWord" w:lang="es-CR" w:vendorID="64" w:dllVersion="6" w:nlCheck="1" w:checkStyle="1"/>
  <w:activeWritingStyle w:appName="MSWord" w:lang="en-US" w:vendorID="64" w:dllVersion="0" w:nlCheck="1" w:checkStyle="0"/>
  <w:activeWritingStyle w:appName="MSWord" w:lang="en-US" w:vendorID="64" w:dllVersion="4096" w:nlCheck="1" w:checkStyle="0"/>
  <w:activeWritingStyle w:appName="MSWord" w:lang="fr-FR" w:vendorID="64" w:dllVersion="0" w:nlCheck="1" w:checkStyle="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8D7"/>
    <w:rsid w:val="000001E7"/>
    <w:rsid w:val="000004B8"/>
    <w:rsid w:val="00000CC8"/>
    <w:rsid w:val="000029D7"/>
    <w:rsid w:val="00003C4C"/>
    <w:rsid w:val="00003CAF"/>
    <w:rsid w:val="00004225"/>
    <w:rsid w:val="0000467F"/>
    <w:rsid w:val="0000485D"/>
    <w:rsid w:val="00004B69"/>
    <w:rsid w:val="000056E8"/>
    <w:rsid w:val="0000740F"/>
    <w:rsid w:val="000075E2"/>
    <w:rsid w:val="000108BA"/>
    <w:rsid w:val="00010B62"/>
    <w:rsid w:val="0001143B"/>
    <w:rsid w:val="00011852"/>
    <w:rsid w:val="000119E8"/>
    <w:rsid w:val="00011B7B"/>
    <w:rsid w:val="00011C4D"/>
    <w:rsid w:val="00011FEB"/>
    <w:rsid w:val="000124B4"/>
    <w:rsid w:val="00012990"/>
    <w:rsid w:val="00012CC0"/>
    <w:rsid w:val="00015CE3"/>
    <w:rsid w:val="00017158"/>
    <w:rsid w:val="000173E2"/>
    <w:rsid w:val="00017BAA"/>
    <w:rsid w:val="00017F82"/>
    <w:rsid w:val="00017FAD"/>
    <w:rsid w:val="00020652"/>
    <w:rsid w:val="00022FB0"/>
    <w:rsid w:val="00023485"/>
    <w:rsid w:val="00023F33"/>
    <w:rsid w:val="0002525A"/>
    <w:rsid w:val="00025F01"/>
    <w:rsid w:val="00026ACB"/>
    <w:rsid w:val="00027306"/>
    <w:rsid w:val="00027929"/>
    <w:rsid w:val="0003133C"/>
    <w:rsid w:val="00033DD0"/>
    <w:rsid w:val="00033F64"/>
    <w:rsid w:val="0003614C"/>
    <w:rsid w:val="00037FA0"/>
    <w:rsid w:val="00042BF4"/>
    <w:rsid w:val="00044A72"/>
    <w:rsid w:val="00045A31"/>
    <w:rsid w:val="00047DB4"/>
    <w:rsid w:val="00050716"/>
    <w:rsid w:val="00050D93"/>
    <w:rsid w:val="00051A96"/>
    <w:rsid w:val="00052379"/>
    <w:rsid w:val="00052B3E"/>
    <w:rsid w:val="00052CAF"/>
    <w:rsid w:val="00053D2A"/>
    <w:rsid w:val="00053EB6"/>
    <w:rsid w:val="00055637"/>
    <w:rsid w:val="00055C77"/>
    <w:rsid w:val="000577B7"/>
    <w:rsid w:val="00060540"/>
    <w:rsid w:val="00061D38"/>
    <w:rsid w:val="00062855"/>
    <w:rsid w:val="00063485"/>
    <w:rsid w:val="00067C33"/>
    <w:rsid w:val="00070C52"/>
    <w:rsid w:val="00073D98"/>
    <w:rsid w:val="00073FCA"/>
    <w:rsid w:val="000758D1"/>
    <w:rsid w:val="000764E5"/>
    <w:rsid w:val="00076B4B"/>
    <w:rsid w:val="00077DB9"/>
    <w:rsid w:val="00081542"/>
    <w:rsid w:val="00082803"/>
    <w:rsid w:val="000837AD"/>
    <w:rsid w:val="0008399C"/>
    <w:rsid w:val="00083EA3"/>
    <w:rsid w:val="000848BC"/>
    <w:rsid w:val="000865ED"/>
    <w:rsid w:val="00086A31"/>
    <w:rsid w:val="00086D78"/>
    <w:rsid w:val="000876CA"/>
    <w:rsid w:val="00087A3B"/>
    <w:rsid w:val="00087CC4"/>
    <w:rsid w:val="0009053C"/>
    <w:rsid w:val="00091516"/>
    <w:rsid w:val="0009235E"/>
    <w:rsid w:val="00093877"/>
    <w:rsid w:val="00093AEB"/>
    <w:rsid w:val="000946AB"/>
    <w:rsid w:val="000949C1"/>
    <w:rsid w:val="00094A47"/>
    <w:rsid w:val="00095537"/>
    <w:rsid w:val="0009566F"/>
    <w:rsid w:val="00096F4E"/>
    <w:rsid w:val="000972CE"/>
    <w:rsid w:val="00097B13"/>
    <w:rsid w:val="00097BC8"/>
    <w:rsid w:val="000A059D"/>
    <w:rsid w:val="000A09B3"/>
    <w:rsid w:val="000A0BA2"/>
    <w:rsid w:val="000A1B89"/>
    <w:rsid w:val="000A213B"/>
    <w:rsid w:val="000A2736"/>
    <w:rsid w:val="000A43E2"/>
    <w:rsid w:val="000A5F34"/>
    <w:rsid w:val="000A753B"/>
    <w:rsid w:val="000A7D8D"/>
    <w:rsid w:val="000B0A45"/>
    <w:rsid w:val="000B179C"/>
    <w:rsid w:val="000B1958"/>
    <w:rsid w:val="000B1BFB"/>
    <w:rsid w:val="000B3F92"/>
    <w:rsid w:val="000B4146"/>
    <w:rsid w:val="000B417C"/>
    <w:rsid w:val="000B45D7"/>
    <w:rsid w:val="000B7359"/>
    <w:rsid w:val="000C013F"/>
    <w:rsid w:val="000C03A4"/>
    <w:rsid w:val="000C1C48"/>
    <w:rsid w:val="000C2640"/>
    <w:rsid w:val="000C28CD"/>
    <w:rsid w:val="000C5186"/>
    <w:rsid w:val="000C58E0"/>
    <w:rsid w:val="000C6877"/>
    <w:rsid w:val="000C7200"/>
    <w:rsid w:val="000C77F3"/>
    <w:rsid w:val="000D010D"/>
    <w:rsid w:val="000D01AC"/>
    <w:rsid w:val="000D06AB"/>
    <w:rsid w:val="000D1189"/>
    <w:rsid w:val="000D1C51"/>
    <w:rsid w:val="000D1F45"/>
    <w:rsid w:val="000D26BF"/>
    <w:rsid w:val="000D3671"/>
    <w:rsid w:val="000D474C"/>
    <w:rsid w:val="000D4C39"/>
    <w:rsid w:val="000D4F5F"/>
    <w:rsid w:val="000D6660"/>
    <w:rsid w:val="000D6CDA"/>
    <w:rsid w:val="000D7C29"/>
    <w:rsid w:val="000D7F76"/>
    <w:rsid w:val="000E11D1"/>
    <w:rsid w:val="000E16D3"/>
    <w:rsid w:val="000E205C"/>
    <w:rsid w:val="000E243E"/>
    <w:rsid w:val="000E2720"/>
    <w:rsid w:val="000E2996"/>
    <w:rsid w:val="000E2A84"/>
    <w:rsid w:val="000E34FE"/>
    <w:rsid w:val="000E4A3D"/>
    <w:rsid w:val="000E5CB1"/>
    <w:rsid w:val="000E5D29"/>
    <w:rsid w:val="000E5F3F"/>
    <w:rsid w:val="000E7D22"/>
    <w:rsid w:val="000F0380"/>
    <w:rsid w:val="000F097D"/>
    <w:rsid w:val="000F09EA"/>
    <w:rsid w:val="000F1CCB"/>
    <w:rsid w:val="000F2412"/>
    <w:rsid w:val="000F2D4B"/>
    <w:rsid w:val="000F2FE6"/>
    <w:rsid w:val="000F487D"/>
    <w:rsid w:val="000F5553"/>
    <w:rsid w:val="00101DCB"/>
    <w:rsid w:val="0010287C"/>
    <w:rsid w:val="0010352A"/>
    <w:rsid w:val="00103B24"/>
    <w:rsid w:val="00103C37"/>
    <w:rsid w:val="00103FC9"/>
    <w:rsid w:val="001040A5"/>
    <w:rsid w:val="001045E5"/>
    <w:rsid w:val="00104673"/>
    <w:rsid w:val="00104EAD"/>
    <w:rsid w:val="00104F49"/>
    <w:rsid w:val="0010518A"/>
    <w:rsid w:val="00105334"/>
    <w:rsid w:val="00105C9A"/>
    <w:rsid w:val="00106BD6"/>
    <w:rsid w:val="00106E37"/>
    <w:rsid w:val="001112FB"/>
    <w:rsid w:val="0011173F"/>
    <w:rsid w:val="0011250C"/>
    <w:rsid w:val="00112D27"/>
    <w:rsid w:val="0011337E"/>
    <w:rsid w:val="001133D1"/>
    <w:rsid w:val="00114C46"/>
    <w:rsid w:val="00114E85"/>
    <w:rsid w:val="0011561B"/>
    <w:rsid w:val="001159AB"/>
    <w:rsid w:val="00115A18"/>
    <w:rsid w:val="0011696D"/>
    <w:rsid w:val="0011722F"/>
    <w:rsid w:val="00117254"/>
    <w:rsid w:val="00117890"/>
    <w:rsid w:val="00120329"/>
    <w:rsid w:val="00120DEA"/>
    <w:rsid w:val="001211C7"/>
    <w:rsid w:val="00121E66"/>
    <w:rsid w:val="0012320A"/>
    <w:rsid w:val="00123E90"/>
    <w:rsid w:val="00124D77"/>
    <w:rsid w:val="00124EEF"/>
    <w:rsid w:val="00125F30"/>
    <w:rsid w:val="001274B5"/>
    <w:rsid w:val="001274D9"/>
    <w:rsid w:val="001305B2"/>
    <w:rsid w:val="00130662"/>
    <w:rsid w:val="00130BDB"/>
    <w:rsid w:val="00131783"/>
    <w:rsid w:val="00131B3E"/>
    <w:rsid w:val="00131E1B"/>
    <w:rsid w:val="00132FE0"/>
    <w:rsid w:val="00133792"/>
    <w:rsid w:val="0013474D"/>
    <w:rsid w:val="001355A0"/>
    <w:rsid w:val="00136063"/>
    <w:rsid w:val="001366E4"/>
    <w:rsid w:val="001369BC"/>
    <w:rsid w:val="00137624"/>
    <w:rsid w:val="00141232"/>
    <w:rsid w:val="0014159B"/>
    <w:rsid w:val="00142049"/>
    <w:rsid w:val="00142822"/>
    <w:rsid w:val="00142C49"/>
    <w:rsid w:val="00143148"/>
    <w:rsid w:val="001441B4"/>
    <w:rsid w:val="001444ED"/>
    <w:rsid w:val="0014527F"/>
    <w:rsid w:val="001475BE"/>
    <w:rsid w:val="00147A96"/>
    <w:rsid w:val="00150734"/>
    <w:rsid w:val="00151966"/>
    <w:rsid w:val="00151C8D"/>
    <w:rsid w:val="00152649"/>
    <w:rsid w:val="0015676B"/>
    <w:rsid w:val="00161BCE"/>
    <w:rsid w:val="00161EFC"/>
    <w:rsid w:val="00162122"/>
    <w:rsid w:val="00162344"/>
    <w:rsid w:val="00162903"/>
    <w:rsid w:val="00162A3D"/>
    <w:rsid w:val="0016356D"/>
    <w:rsid w:val="00163BEC"/>
    <w:rsid w:val="001653F8"/>
    <w:rsid w:val="001655E7"/>
    <w:rsid w:val="00165719"/>
    <w:rsid w:val="00166013"/>
    <w:rsid w:val="00166925"/>
    <w:rsid w:val="001671AD"/>
    <w:rsid w:val="00171FA9"/>
    <w:rsid w:val="0017494E"/>
    <w:rsid w:val="00175412"/>
    <w:rsid w:val="00177745"/>
    <w:rsid w:val="00180374"/>
    <w:rsid w:val="001807E7"/>
    <w:rsid w:val="00181D31"/>
    <w:rsid w:val="00181DA1"/>
    <w:rsid w:val="00181F7C"/>
    <w:rsid w:val="00182FBB"/>
    <w:rsid w:val="00182FD3"/>
    <w:rsid w:val="00183900"/>
    <w:rsid w:val="0018390E"/>
    <w:rsid w:val="001844B7"/>
    <w:rsid w:val="001844ED"/>
    <w:rsid w:val="00185989"/>
    <w:rsid w:val="00185A0E"/>
    <w:rsid w:val="00185DA3"/>
    <w:rsid w:val="001873F4"/>
    <w:rsid w:val="0018750A"/>
    <w:rsid w:val="00190F35"/>
    <w:rsid w:val="00190F53"/>
    <w:rsid w:val="0019137F"/>
    <w:rsid w:val="0019153E"/>
    <w:rsid w:val="00191AC7"/>
    <w:rsid w:val="00191EC3"/>
    <w:rsid w:val="0019232A"/>
    <w:rsid w:val="0019243D"/>
    <w:rsid w:val="00192718"/>
    <w:rsid w:val="001947B8"/>
    <w:rsid w:val="00197659"/>
    <w:rsid w:val="00197E84"/>
    <w:rsid w:val="00197F95"/>
    <w:rsid w:val="001A1251"/>
    <w:rsid w:val="001A1E0E"/>
    <w:rsid w:val="001A2231"/>
    <w:rsid w:val="001A2721"/>
    <w:rsid w:val="001A28B8"/>
    <w:rsid w:val="001A2F69"/>
    <w:rsid w:val="001A301B"/>
    <w:rsid w:val="001A407E"/>
    <w:rsid w:val="001A4257"/>
    <w:rsid w:val="001A456B"/>
    <w:rsid w:val="001A4660"/>
    <w:rsid w:val="001A4DEB"/>
    <w:rsid w:val="001A5C81"/>
    <w:rsid w:val="001A6E59"/>
    <w:rsid w:val="001A72F7"/>
    <w:rsid w:val="001A751E"/>
    <w:rsid w:val="001B0061"/>
    <w:rsid w:val="001B076F"/>
    <w:rsid w:val="001B07CC"/>
    <w:rsid w:val="001B171E"/>
    <w:rsid w:val="001B2D2C"/>
    <w:rsid w:val="001B3196"/>
    <w:rsid w:val="001B420C"/>
    <w:rsid w:val="001B4735"/>
    <w:rsid w:val="001B47B4"/>
    <w:rsid w:val="001B5379"/>
    <w:rsid w:val="001B67F0"/>
    <w:rsid w:val="001B72E1"/>
    <w:rsid w:val="001B777E"/>
    <w:rsid w:val="001C2CAB"/>
    <w:rsid w:val="001C4FA4"/>
    <w:rsid w:val="001C68EF"/>
    <w:rsid w:val="001C79DE"/>
    <w:rsid w:val="001D0B10"/>
    <w:rsid w:val="001D0C40"/>
    <w:rsid w:val="001D1649"/>
    <w:rsid w:val="001D216E"/>
    <w:rsid w:val="001D393C"/>
    <w:rsid w:val="001D52A1"/>
    <w:rsid w:val="001D5F18"/>
    <w:rsid w:val="001D7116"/>
    <w:rsid w:val="001D725F"/>
    <w:rsid w:val="001D74B3"/>
    <w:rsid w:val="001D7647"/>
    <w:rsid w:val="001D76E5"/>
    <w:rsid w:val="001D7993"/>
    <w:rsid w:val="001E0060"/>
    <w:rsid w:val="001E34FD"/>
    <w:rsid w:val="001E3F33"/>
    <w:rsid w:val="001E732E"/>
    <w:rsid w:val="001F0E77"/>
    <w:rsid w:val="001F2E0A"/>
    <w:rsid w:val="001F37CC"/>
    <w:rsid w:val="001F426E"/>
    <w:rsid w:val="001F509D"/>
    <w:rsid w:val="001F58C0"/>
    <w:rsid w:val="001F5C73"/>
    <w:rsid w:val="001F5D30"/>
    <w:rsid w:val="001F67D9"/>
    <w:rsid w:val="001F6AE2"/>
    <w:rsid w:val="001F6B4D"/>
    <w:rsid w:val="002015D4"/>
    <w:rsid w:val="002019A5"/>
    <w:rsid w:val="00202450"/>
    <w:rsid w:val="00202B26"/>
    <w:rsid w:val="00203186"/>
    <w:rsid w:val="00203CCE"/>
    <w:rsid w:val="002044D6"/>
    <w:rsid w:val="00204CD3"/>
    <w:rsid w:val="00204D71"/>
    <w:rsid w:val="00205F24"/>
    <w:rsid w:val="0020750B"/>
    <w:rsid w:val="002078B4"/>
    <w:rsid w:val="0021070C"/>
    <w:rsid w:val="0021114E"/>
    <w:rsid w:val="00212C06"/>
    <w:rsid w:val="0021383A"/>
    <w:rsid w:val="0021566A"/>
    <w:rsid w:val="00215C80"/>
    <w:rsid w:val="00216658"/>
    <w:rsid w:val="00217348"/>
    <w:rsid w:val="00220618"/>
    <w:rsid w:val="00220767"/>
    <w:rsid w:val="0022127A"/>
    <w:rsid w:val="002218D9"/>
    <w:rsid w:val="00221AB2"/>
    <w:rsid w:val="00222E35"/>
    <w:rsid w:val="00222FF1"/>
    <w:rsid w:val="00224842"/>
    <w:rsid w:val="002275FA"/>
    <w:rsid w:val="002279AF"/>
    <w:rsid w:val="00231D7F"/>
    <w:rsid w:val="00231DF4"/>
    <w:rsid w:val="00232310"/>
    <w:rsid w:val="00232D5B"/>
    <w:rsid w:val="00234C53"/>
    <w:rsid w:val="00235993"/>
    <w:rsid w:val="00235C60"/>
    <w:rsid w:val="002407AB"/>
    <w:rsid w:val="002414F9"/>
    <w:rsid w:val="00242D65"/>
    <w:rsid w:val="00243802"/>
    <w:rsid w:val="002449A8"/>
    <w:rsid w:val="00244AD3"/>
    <w:rsid w:val="0024559C"/>
    <w:rsid w:val="00245BDF"/>
    <w:rsid w:val="00246A40"/>
    <w:rsid w:val="00246BC9"/>
    <w:rsid w:val="00246CFE"/>
    <w:rsid w:val="0024747A"/>
    <w:rsid w:val="002478ED"/>
    <w:rsid w:val="00250C54"/>
    <w:rsid w:val="00253114"/>
    <w:rsid w:val="0025373F"/>
    <w:rsid w:val="00253A25"/>
    <w:rsid w:val="002548FF"/>
    <w:rsid w:val="0025556B"/>
    <w:rsid w:val="002566C9"/>
    <w:rsid w:val="00256990"/>
    <w:rsid w:val="00257F9C"/>
    <w:rsid w:val="0026064A"/>
    <w:rsid w:val="0026204E"/>
    <w:rsid w:val="0026225C"/>
    <w:rsid w:val="002640BA"/>
    <w:rsid w:val="00264560"/>
    <w:rsid w:val="00264653"/>
    <w:rsid w:val="00264CBB"/>
    <w:rsid w:val="00266D86"/>
    <w:rsid w:val="0026797D"/>
    <w:rsid w:val="00267A2F"/>
    <w:rsid w:val="00267FA4"/>
    <w:rsid w:val="0027040A"/>
    <w:rsid w:val="002706D1"/>
    <w:rsid w:val="00270EC5"/>
    <w:rsid w:val="00271155"/>
    <w:rsid w:val="002713A7"/>
    <w:rsid w:val="002715B2"/>
    <w:rsid w:val="00272236"/>
    <w:rsid w:val="00272DBA"/>
    <w:rsid w:val="002735CB"/>
    <w:rsid w:val="00276162"/>
    <w:rsid w:val="002769A5"/>
    <w:rsid w:val="00276CA1"/>
    <w:rsid w:val="00276FA2"/>
    <w:rsid w:val="0028041E"/>
    <w:rsid w:val="002804A8"/>
    <w:rsid w:val="00280DA3"/>
    <w:rsid w:val="00280FC9"/>
    <w:rsid w:val="00282E57"/>
    <w:rsid w:val="002839E0"/>
    <w:rsid w:val="0028408A"/>
    <w:rsid w:val="00284F7E"/>
    <w:rsid w:val="00285147"/>
    <w:rsid w:val="002852D0"/>
    <w:rsid w:val="00285445"/>
    <w:rsid w:val="002864BB"/>
    <w:rsid w:val="002908CB"/>
    <w:rsid w:val="00291850"/>
    <w:rsid w:val="00291ADB"/>
    <w:rsid w:val="00293B05"/>
    <w:rsid w:val="002957A0"/>
    <w:rsid w:val="00296756"/>
    <w:rsid w:val="00296932"/>
    <w:rsid w:val="00297E29"/>
    <w:rsid w:val="002A1347"/>
    <w:rsid w:val="002A168D"/>
    <w:rsid w:val="002A351D"/>
    <w:rsid w:val="002A3984"/>
    <w:rsid w:val="002A3C8C"/>
    <w:rsid w:val="002A3F99"/>
    <w:rsid w:val="002A5CD9"/>
    <w:rsid w:val="002A5E27"/>
    <w:rsid w:val="002A6D87"/>
    <w:rsid w:val="002A7BFF"/>
    <w:rsid w:val="002B0157"/>
    <w:rsid w:val="002B1074"/>
    <w:rsid w:val="002B2AA5"/>
    <w:rsid w:val="002B4211"/>
    <w:rsid w:val="002B4527"/>
    <w:rsid w:val="002B4D0C"/>
    <w:rsid w:val="002B6084"/>
    <w:rsid w:val="002B68BF"/>
    <w:rsid w:val="002B68C7"/>
    <w:rsid w:val="002B6CA8"/>
    <w:rsid w:val="002B7055"/>
    <w:rsid w:val="002B70A7"/>
    <w:rsid w:val="002B7429"/>
    <w:rsid w:val="002B7CA4"/>
    <w:rsid w:val="002C0AE3"/>
    <w:rsid w:val="002C20A9"/>
    <w:rsid w:val="002C32CD"/>
    <w:rsid w:val="002C354E"/>
    <w:rsid w:val="002C3C05"/>
    <w:rsid w:val="002C40D4"/>
    <w:rsid w:val="002C7040"/>
    <w:rsid w:val="002C7473"/>
    <w:rsid w:val="002C79FD"/>
    <w:rsid w:val="002D0058"/>
    <w:rsid w:val="002D0101"/>
    <w:rsid w:val="002D0772"/>
    <w:rsid w:val="002D13EA"/>
    <w:rsid w:val="002D1768"/>
    <w:rsid w:val="002D2DB4"/>
    <w:rsid w:val="002D53E4"/>
    <w:rsid w:val="002D551C"/>
    <w:rsid w:val="002D665A"/>
    <w:rsid w:val="002D6DB7"/>
    <w:rsid w:val="002E0565"/>
    <w:rsid w:val="002E1896"/>
    <w:rsid w:val="002E4C2A"/>
    <w:rsid w:val="002E7A27"/>
    <w:rsid w:val="002F0777"/>
    <w:rsid w:val="002F0CF6"/>
    <w:rsid w:val="002F1011"/>
    <w:rsid w:val="002F1408"/>
    <w:rsid w:val="002F324B"/>
    <w:rsid w:val="002F384B"/>
    <w:rsid w:val="002F4696"/>
    <w:rsid w:val="002F4D9E"/>
    <w:rsid w:val="002F4ED3"/>
    <w:rsid w:val="002F525A"/>
    <w:rsid w:val="002F6BE3"/>
    <w:rsid w:val="002F7555"/>
    <w:rsid w:val="003015C0"/>
    <w:rsid w:val="003017CE"/>
    <w:rsid w:val="00303451"/>
    <w:rsid w:val="00303989"/>
    <w:rsid w:val="00303A95"/>
    <w:rsid w:val="00304730"/>
    <w:rsid w:val="00304932"/>
    <w:rsid w:val="0030498F"/>
    <w:rsid w:val="0030659B"/>
    <w:rsid w:val="003077AD"/>
    <w:rsid w:val="00310E67"/>
    <w:rsid w:val="00310FDB"/>
    <w:rsid w:val="00313012"/>
    <w:rsid w:val="0031330A"/>
    <w:rsid w:val="00314685"/>
    <w:rsid w:val="00314C1E"/>
    <w:rsid w:val="00315912"/>
    <w:rsid w:val="00316B03"/>
    <w:rsid w:val="003170AB"/>
    <w:rsid w:val="00317205"/>
    <w:rsid w:val="0031730D"/>
    <w:rsid w:val="003176A9"/>
    <w:rsid w:val="003178E5"/>
    <w:rsid w:val="00317B3D"/>
    <w:rsid w:val="00317E2A"/>
    <w:rsid w:val="00321CD4"/>
    <w:rsid w:val="00322717"/>
    <w:rsid w:val="0032336A"/>
    <w:rsid w:val="00323BD9"/>
    <w:rsid w:val="00323E96"/>
    <w:rsid w:val="003248FF"/>
    <w:rsid w:val="00324C6B"/>
    <w:rsid w:val="0032533F"/>
    <w:rsid w:val="003256E9"/>
    <w:rsid w:val="00325B4D"/>
    <w:rsid w:val="0033120A"/>
    <w:rsid w:val="003324E9"/>
    <w:rsid w:val="003325A6"/>
    <w:rsid w:val="0033344D"/>
    <w:rsid w:val="00334C6B"/>
    <w:rsid w:val="003356FD"/>
    <w:rsid w:val="003360AA"/>
    <w:rsid w:val="00336C64"/>
    <w:rsid w:val="003378E2"/>
    <w:rsid w:val="0034040E"/>
    <w:rsid w:val="0034154A"/>
    <w:rsid w:val="00343176"/>
    <w:rsid w:val="003443D0"/>
    <w:rsid w:val="003445EF"/>
    <w:rsid w:val="00344949"/>
    <w:rsid w:val="00345AF4"/>
    <w:rsid w:val="00345E30"/>
    <w:rsid w:val="00346D4D"/>
    <w:rsid w:val="00347A0B"/>
    <w:rsid w:val="00350162"/>
    <w:rsid w:val="00350357"/>
    <w:rsid w:val="0035056B"/>
    <w:rsid w:val="00350666"/>
    <w:rsid w:val="0035094F"/>
    <w:rsid w:val="00351163"/>
    <w:rsid w:val="0035219C"/>
    <w:rsid w:val="00352E7B"/>
    <w:rsid w:val="00352FE0"/>
    <w:rsid w:val="003534CD"/>
    <w:rsid w:val="003542F7"/>
    <w:rsid w:val="00355410"/>
    <w:rsid w:val="0035622E"/>
    <w:rsid w:val="003569CD"/>
    <w:rsid w:val="00356BE0"/>
    <w:rsid w:val="00361234"/>
    <w:rsid w:val="003613FE"/>
    <w:rsid w:val="00362A46"/>
    <w:rsid w:val="00362AD6"/>
    <w:rsid w:val="00363542"/>
    <w:rsid w:val="003652BD"/>
    <w:rsid w:val="003654F4"/>
    <w:rsid w:val="00365CBC"/>
    <w:rsid w:val="00367135"/>
    <w:rsid w:val="00367E50"/>
    <w:rsid w:val="003709CE"/>
    <w:rsid w:val="00370F63"/>
    <w:rsid w:val="00371453"/>
    <w:rsid w:val="003716A6"/>
    <w:rsid w:val="00372AF4"/>
    <w:rsid w:val="00372BBB"/>
    <w:rsid w:val="00373123"/>
    <w:rsid w:val="00373852"/>
    <w:rsid w:val="003744F4"/>
    <w:rsid w:val="0037497E"/>
    <w:rsid w:val="003758D5"/>
    <w:rsid w:val="00376BA9"/>
    <w:rsid w:val="00380060"/>
    <w:rsid w:val="00381DD1"/>
    <w:rsid w:val="00382668"/>
    <w:rsid w:val="0038300F"/>
    <w:rsid w:val="00383515"/>
    <w:rsid w:val="00383E77"/>
    <w:rsid w:val="00384004"/>
    <w:rsid w:val="003841A9"/>
    <w:rsid w:val="00385300"/>
    <w:rsid w:val="00385ADB"/>
    <w:rsid w:val="003860D5"/>
    <w:rsid w:val="00386A41"/>
    <w:rsid w:val="00386E07"/>
    <w:rsid w:val="00387703"/>
    <w:rsid w:val="00387D49"/>
    <w:rsid w:val="00390A9E"/>
    <w:rsid w:val="00391141"/>
    <w:rsid w:val="00391EC1"/>
    <w:rsid w:val="00391F7D"/>
    <w:rsid w:val="00392094"/>
    <w:rsid w:val="00392AE2"/>
    <w:rsid w:val="00393872"/>
    <w:rsid w:val="00393E68"/>
    <w:rsid w:val="003948D6"/>
    <w:rsid w:val="003961A5"/>
    <w:rsid w:val="0039779F"/>
    <w:rsid w:val="003A0978"/>
    <w:rsid w:val="003A2AE2"/>
    <w:rsid w:val="003A344F"/>
    <w:rsid w:val="003A3605"/>
    <w:rsid w:val="003A3C36"/>
    <w:rsid w:val="003A3DFE"/>
    <w:rsid w:val="003A41FF"/>
    <w:rsid w:val="003A4D78"/>
    <w:rsid w:val="003A591C"/>
    <w:rsid w:val="003A5A50"/>
    <w:rsid w:val="003A6502"/>
    <w:rsid w:val="003A651C"/>
    <w:rsid w:val="003B1866"/>
    <w:rsid w:val="003B2FAB"/>
    <w:rsid w:val="003B424A"/>
    <w:rsid w:val="003B5CDE"/>
    <w:rsid w:val="003B5E97"/>
    <w:rsid w:val="003B6165"/>
    <w:rsid w:val="003B668C"/>
    <w:rsid w:val="003B6BAF"/>
    <w:rsid w:val="003B73D6"/>
    <w:rsid w:val="003B7788"/>
    <w:rsid w:val="003C0024"/>
    <w:rsid w:val="003C0A89"/>
    <w:rsid w:val="003C1688"/>
    <w:rsid w:val="003C1C17"/>
    <w:rsid w:val="003C1DC7"/>
    <w:rsid w:val="003C23DA"/>
    <w:rsid w:val="003C3343"/>
    <w:rsid w:val="003C3CC1"/>
    <w:rsid w:val="003C512A"/>
    <w:rsid w:val="003C558D"/>
    <w:rsid w:val="003C654C"/>
    <w:rsid w:val="003C6884"/>
    <w:rsid w:val="003C75C2"/>
    <w:rsid w:val="003C787D"/>
    <w:rsid w:val="003D038F"/>
    <w:rsid w:val="003D0BD2"/>
    <w:rsid w:val="003D1253"/>
    <w:rsid w:val="003D1BE2"/>
    <w:rsid w:val="003D4ECE"/>
    <w:rsid w:val="003D5350"/>
    <w:rsid w:val="003D68FD"/>
    <w:rsid w:val="003D6D95"/>
    <w:rsid w:val="003E01C0"/>
    <w:rsid w:val="003E0244"/>
    <w:rsid w:val="003E02E9"/>
    <w:rsid w:val="003E113F"/>
    <w:rsid w:val="003E1AB2"/>
    <w:rsid w:val="003E3142"/>
    <w:rsid w:val="003E387A"/>
    <w:rsid w:val="003E4976"/>
    <w:rsid w:val="003E60F5"/>
    <w:rsid w:val="003E683C"/>
    <w:rsid w:val="003E6F35"/>
    <w:rsid w:val="003E756E"/>
    <w:rsid w:val="003E7650"/>
    <w:rsid w:val="003E7D92"/>
    <w:rsid w:val="003F0CCA"/>
    <w:rsid w:val="003F0FD2"/>
    <w:rsid w:val="003F1C3D"/>
    <w:rsid w:val="003F202B"/>
    <w:rsid w:val="003F3115"/>
    <w:rsid w:val="003F35A8"/>
    <w:rsid w:val="003F41F9"/>
    <w:rsid w:val="003F4DF2"/>
    <w:rsid w:val="003F5AEA"/>
    <w:rsid w:val="003F5EA4"/>
    <w:rsid w:val="003F7159"/>
    <w:rsid w:val="003F7635"/>
    <w:rsid w:val="003F7D4F"/>
    <w:rsid w:val="00401624"/>
    <w:rsid w:val="00401AF6"/>
    <w:rsid w:val="00401D71"/>
    <w:rsid w:val="004025E8"/>
    <w:rsid w:val="00402638"/>
    <w:rsid w:val="004027F6"/>
    <w:rsid w:val="00402C5E"/>
    <w:rsid w:val="00403E5F"/>
    <w:rsid w:val="0040414A"/>
    <w:rsid w:val="004052D5"/>
    <w:rsid w:val="00406539"/>
    <w:rsid w:val="004102EA"/>
    <w:rsid w:val="00411579"/>
    <w:rsid w:val="00411E7E"/>
    <w:rsid w:val="0041246B"/>
    <w:rsid w:val="004139FD"/>
    <w:rsid w:val="0041460A"/>
    <w:rsid w:val="00414E9B"/>
    <w:rsid w:val="0041659D"/>
    <w:rsid w:val="00416D93"/>
    <w:rsid w:val="00417A38"/>
    <w:rsid w:val="004212AB"/>
    <w:rsid w:val="00422622"/>
    <w:rsid w:val="004249A2"/>
    <w:rsid w:val="004257EC"/>
    <w:rsid w:val="00426130"/>
    <w:rsid w:val="00426204"/>
    <w:rsid w:val="0043009E"/>
    <w:rsid w:val="004303E5"/>
    <w:rsid w:val="00430581"/>
    <w:rsid w:val="00430FF0"/>
    <w:rsid w:val="004320EA"/>
    <w:rsid w:val="004323CB"/>
    <w:rsid w:val="004332D9"/>
    <w:rsid w:val="00435A84"/>
    <w:rsid w:val="00435F67"/>
    <w:rsid w:val="00436291"/>
    <w:rsid w:val="00436D2F"/>
    <w:rsid w:val="00437D8D"/>
    <w:rsid w:val="00440319"/>
    <w:rsid w:val="00440796"/>
    <w:rsid w:val="00440CAC"/>
    <w:rsid w:val="0044145D"/>
    <w:rsid w:val="00441875"/>
    <w:rsid w:val="00441989"/>
    <w:rsid w:val="00441EDD"/>
    <w:rsid w:val="00442882"/>
    <w:rsid w:val="00442CCD"/>
    <w:rsid w:val="00442FE8"/>
    <w:rsid w:val="00443812"/>
    <w:rsid w:val="00443881"/>
    <w:rsid w:val="00444224"/>
    <w:rsid w:val="00445694"/>
    <w:rsid w:val="004462C1"/>
    <w:rsid w:val="004465C7"/>
    <w:rsid w:val="00446F92"/>
    <w:rsid w:val="0044725B"/>
    <w:rsid w:val="004502A0"/>
    <w:rsid w:val="00450CCD"/>
    <w:rsid w:val="00451956"/>
    <w:rsid w:val="004519D8"/>
    <w:rsid w:val="00451B17"/>
    <w:rsid w:val="0045206B"/>
    <w:rsid w:val="004521CE"/>
    <w:rsid w:val="004544A2"/>
    <w:rsid w:val="00455BFF"/>
    <w:rsid w:val="00456DFE"/>
    <w:rsid w:val="00461059"/>
    <w:rsid w:val="0046144B"/>
    <w:rsid w:val="00461E29"/>
    <w:rsid w:val="00464E10"/>
    <w:rsid w:val="0047090D"/>
    <w:rsid w:val="00470918"/>
    <w:rsid w:val="004719C8"/>
    <w:rsid w:val="004726CF"/>
    <w:rsid w:val="00473025"/>
    <w:rsid w:val="0047370D"/>
    <w:rsid w:val="0047376C"/>
    <w:rsid w:val="00473E48"/>
    <w:rsid w:val="004744CC"/>
    <w:rsid w:val="004757F3"/>
    <w:rsid w:val="00476CB2"/>
    <w:rsid w:val="00477716"/>
    <w:rsid w:val="004832CE"/>
    <w:rsid w:val="00484416"/>
    <w:rsid w:val="004855E3"/>
    <w:rsid w:val="004856FF"/>
    <w:rsid w:val="00485CDB"/>
    <w:rsid w:val="004860A6"/>
    <w:rsid w:val="004865DB"/>
    <w:rsid w:val="00486A9B"/>
    <w:rsid w:val="004870E2"/>
    <w:rsid w:val="00490B15"/>
    <w:rsid w:val="0049222B"/>
    <w:rsid w:val="00494EAD"/>
    <w:rsid w:val="00495067"/>
    <w:rsid w:val="004960FC"/>
    <w:rsid w:val="004963CD"/>
    <w:rsid w:val="00497346"/>
    <w:rsid w:val="004976C6"/>
    <w:rsid w:val="004977A9"/>
    <w:rsid w:val="0049785B"/>
    <w:rsid w:val="004A2677"/>
    <w:rsid w:val="004A2A4E"/>
    <w:rsid w:val="004A3560"/>
    <w:rsid w:val="004A5BAA"/>
    <w:rsid w:val="004A61F3"/>
    <w:rsid w:val="004A665F"/>
    <w:rsid w:val="004B1DB9"/>
    <w:rsid w:val="004B2F18"/>
    <w:rsid w:val="004B325F"/>
    <w:rsid w:val="004B361C"/>
    <w:rsid w:val="004B387D"/>
    <w:rsid w:val="004B71EA"/>
    <w:rsid w:val="004C0D02"/>
    <w:rsid w:val="004C0D6F"/>
    <w:rsid w:val="004C0E67"/>
    <w:rsid w:val="004C1653"/>
    <w:rsid w:val="004C2DEC"/>
    <w:rsid w:val="004C3736"/>
    <w:rsid w:val="004C468B"/>
    <w:rsid w:val="004C4ED9"/>
    <w:rsid w:val="004C5B38"/>
    <w:rsid w:val="004C5D78"/>
    <w:rsid w:val="004D1DD8"/>
    <w:rsid w:val="004D1DF6"/>
    <w:rsid w:val="004D3E29"/>
    <w:rsid w:val="004D3F2D"/>
    <w:rsid w:val="004D50F8"/>
    <w:rsid w:val="004D5608"/>
    <w:rsid w:val="004D6392"/>
    <w:rsid w:val="004D70B5"/>
    <w:rsid w:val="004D7D5E"/>
    <w:rsid w:val="004E15D9"/>
    <w:rsid w:val="004E1977"/>
    <w:rsid w:val="004E2420"/>
    <w:rsid w:val="004E29BD"/>
    <w:rsid w:val="004E2A13"/>
    <w:rsid w:val="004E2EF3"/>
    <w:rsid w:val="004E30E6"/>
    <w:rsid w:val="004E5D31"/>
    <w:rsid w:val="004E66AA"/>
    <w:rsid w:val="004E6763"/>
    <w:rsid w:val="004E6E9C"/>
    <w:rsid w:val="004E78CE"/>
    <w:rsid w:val="004E7C30"/>
    <w:rsid w:val="004F0E9B"/>
    <w:rsid w:val="004F12C6"/>
    <w:rsid w:val="004F1DA9"/>
    <w:rsid w:val="004F24C9"/>
    <w:rsid w:val="004F3B80"/>
    <w:rsid w:val="004F4CDA"/>
    <w:rsid w:val="004F582B"/>
    <w:rsid w:val="004F6199"/>
    <w:rsid w:val="004F71CD"/>
    <w:rsid w:val="004F72EB"/>
    <w:rsid w:val="005002B4"/>
    <w:rsid w:val="0050052B"/>
    <w:rsid w:val="005006A0"/>
    <w:rsid w:val="00501CF7"/>
    <w:rsid w:val="00502F1D"/>
    <w:rsid w:val="00505015"/>
    <w:rsid w:val="00505F9C"/>
    <w:rsid w:val="005117D3"/>
    <w:rsid w:val="0051232A"/>
    <w:rsid w:val="0051427D"/>
    <w:rsid w:val="00515358"/>
    <w:rsid w:val="00515C6E"/>
    <w:rsid w:val="00516219"/>
    <w:rsid w:val="005174EB"/>
    <w:rsid w:val="005175D1"/>
    <w:rsid w:val="00517BCD"/>
    <w:rsid w:val="005202DB"/>
    <w:rsid w:val="00520679"/>
    <w:rsid w:val="00521483"/>
    <w:rsid w:val="00521B06"/>
    <w:rsid w:val="00523777"/>
    <w:rsid w:val="005265E8"/>
    <w:rsid w:val="0052671F"/>
    <w:rsid w:val="0052673E"/>
    <w:rsid w:val="00526929"/>
    <w:rsid w:val="005270B2"/>
    <w:rsid w:val="00527443"/>
    <w:rsid w:val="00530050"/>
    <w:rsid w:val="00530111"/>
    <w:rsid w:val="00531074"/>
    <w:rsid w:val="0053224A"/>
    <w:rsid w:val="0053250E"/>
    <w:rsid w:val="005326D0"/>
    <w:rsid w:val="0053282A"/>
    <w:rsid w:val="00532FC0"/>
    <w:rsid w:val="0053332F"/>
    <w:rsid w:val="00533A6B"/>
    <w:rsid w:val="00534255"/>
    <w:rsid w:val="00534D08"/>
    <w:rsid w:val="00536A23"/>
    <w:rsid w:val="005376B7"/>
    <w:rsid w:val="00537B35"/>
    <w:rsid w:val="00537C60"/>
    <w:rsid w:val="00537F87"/>
    <w:rsid w:val="00541E2B"/>
    <w:rsid w:val="00541F40"/>
    <w:rsid w:val="0054377A"/>
    <w:rsid w:val="00544ACC"/>
    <w:rsid w:val="00544CF9"/>
    <w:rsid w:val="00544E71"/>
    <w:rsid w:val="0054550A"/>
    <w:rsid w:val="005465EB"/>
    <w:rsid w:val="005466C1"/>
    <w:rsid w:val="005471FA"/>
    <w:rsid w:val="00547CE6"/>
    <w:rsid w:val="005526FE"/>
    <w:rsid w:val="00553390"/>
    <w:rsid w:val="00555045"/>
    <w:rsid w:val="00557C9C"/>
    <w:rsid w:val="00560D04"/>
    <w:rsid w:val="0056217B"/>
    <w:rsid w:val="0056440A"/>
    <w:rsid w:val="0056496B"/>
    <w:rsid w:val="005649B5"/>
    <w:rsid w:val="0056529F"/>
    <w:rsid w:val="00565673"/>
    <w:rsid w:val="005663A7"/>
    <w:rsid w:val="005675F0"/>
    <w:rsid w:val="00567A80"/>
    <w:rsid w:val="005706E9"/>
    <w:rsid w:val="00570FBD"/>
    <w:rsid w:val="0057243E"/>
    <w:rsid w:val="005724B1"/>
    <w:rsid w:val="00573134"/>
    <w:rsid w:val="00573320"/>
    <w:rsid w:val="00573A92"/>
    <w:rsid w:val="00573CB8"/>
    <w:rsid w:val="00574051"/>
    <w:rsid w:val="0057469C"/>
    <w:rsid w:val="0057477B"/>
    <w:rsid w:val="00574852"/>
    <w:rsid w:val="005764BE"/>
    <w:rsid w:val="00576EA1"/>
    <w:rsid w:val="00576F6C"/>
    <w:rsid w:val="0057718A"/>
    <w:rsid w:val="00580070"/>
    <w:rsid w:val="00580165"/>
    <w:rsid w:val="00580257"/>
    <w:rsid w:val="00580E91"/>
    <w:rsid w:val="0058117E"/>
    <w:rsid w:val="0058119F"/>
    <w:rsid w:val="0058296B"/>
    <w:rsid w:val="00583959"/>
    <w:rsid w:val="0058463C"/>
    <w:rsid w:val="00584A5B"/>
    <w:rsid w:val="00585225"/>
    <w:rsid w:val="00585646"/>
    <w:rsid w:val="00585C21"/>
    <w:rsid w:val="00586D49"/>
    <w:rsid w:val="00587E60"/>
    <w:rsid w:val="00587E69"/>
    <w:rsid w:val="0059161F"/>
    <w:rsid w:val="00591BF3"/>
    <w:rsid w:val="00592C59"/>
    <w:rsid w:val="0059331F"/>
    <w:rsid w:val="00593E60"/>
    <w:rsid w:val="00594700"/>
    <w:rsid w:val="00597A70"/>
    <w:rsid w:val="005A00FF"/>
    <w:rsid w:val="005A069E"/>
    <w:rsid w:val="005A1A9A"/>
    <w:rsid w:val="005A2654"/>
    <w:rsid w:val="005A2B69"/>
    <w:rsid w:val="005A312B"/>
    <w:rsid w:val="005A7236"/>
    <w:rsid w:val="005B0A15"/>
    <w:rsid w:val="005B1FC1"/>
    <w:rsid w:val="005B2246"/>
    <w:rsid w:val="005B2619"/>
    <w:rsid w:val="005B3D2C"/>
    <w:rsid w:val="005B403F"/>
    <w:rsid w:val="005B4120"/>
    <w:rsid w:val="005B4A4F"/>
    <w:rsid w:val="005B6A14"/>
    <w:rsid w:val="005C0438"/>
    <w:rsid w:val="005C1F25"/>
    <w:rsid w:val="005C256E"/>
    <w:rsid w:val="005C322A"/>
    <w:rsid w:val="005C5837"/>
    <w:rsid w:val="005C5A53"/>
    <w:rsid w:val="005C60A8"/>
    <w:rsid w:val="005C68F4"/>
    <w:rsid w:val="005C7FD7"/>
    <w:rsid w:val="005D0450"/>
    <w:rsid w:val="005D0CD8"/>
    <w:rsid w:val="005D1DCC"/>
    <w:rsid w:val="005D20A2"/>
    <w:rsid w:val="005D3D98"/>
    <w:rsid w:val="005D47C5"/>
    <w:rsid w:val="005D5395"/>
    <w:rsid w:val="005D7204"/>
    <w:rsid w:val="005E09AA"/>
    <w:rsid w:val="005E0CE2"/>
    <w:rsid w:val="005E11B7"/>
    <w:rsid w:val="005E3978"/>
    <w:rsid w:val="005E3D12"/>
    <w:rsid w:val="005E3F05"/>
    <w:rsid w:val="005E457E"/>
    <w:rsid w:val="005E475B"/>
    <w:rsid w:val="005E47BD"/>
    <w:rsid w:val="005E5A38"/>
    <w:rsid w:val="005E65F4"/>
    <w:rsid w:val="005E6772"/>
    <w:rsid w:val="005E6F32"/>
    <w:rsid w:val="005E7E31"/>
    <w:rsid w:val="005F0BB0"/>
    <w:rsid w:val="005F1B3C"/>
    <w:rsid w:val="005F2219"/>
    <w:rsid w:val="005F29A2"/>
    <w:rsid w:val="005F44C7"/>
    <w:rsid w:val="005F4962"/>
    <w:rsid w:val="005F687B"/>
    <w:rsid w:val="005F6ACC"/>
    <w:rsid w:val="005F7BEA"/>
    <w:rsid w:val="006007DB"/>
    <w:rsid w:val="00600C08"/>
    <w:rsid w:val="006014FA"/>
    <w:rsid w:val="00601645"/>
    <w:rsid w:val="0060164C"/>
    <w:rsid w:val="00601976"/>
    <w:rsid w:val="00601B08"/>
    <w:rsid w:val="00603986"/>
    <w:rsid w:val="0060456E"/>
    <w:rsid w:val="00604CA1"/>
    <w:rsid w:val="00604DCF"/>
    <w:rsid w:val="006066FD"/>
    <w:rsid w:val="00606B10"/>
    <w:rsid w:val="00606C66"/>
    <w:rsid w:val="00606E4B"/>
    <w:rsid w:val="006100BD"/>
    <w:rsid w:val="006107AC"/>
    <w:rsid w:val="00610B69"/>
    <w:rsid w:val="0061315B"/>
    <w:rsid w:val="00614593"/>
    <w:rsid w:val="00614EAB"/>
    <w:rsid w:val="00614EFF"/>
    <w:rsid w:val="0061578B"/>
    <w:rsid w:val="00616715"/>
    <w:rsid w:val="00616C27"/>
    <w:rsid w:val="00616D00"/>
    <w:rsid w:val="006170DD"/>
    <w:rsid w:val="00620EBB"/>
    <w:rsid w:val="006220F4"/>
    <w:rsid w:val="00622756"/>
    <w:rsid w:val="00622855"/>
    <w:rsid w:val="00622C52"/>
    <w:rsid w:val="00623105"/>
    <w:rsid w:val="0062314C"/>
    <w:rsid w:val="00623DE1"/>
    <w:rsid w:val="006240E2"/>
    <w:rsid w:val="0062432F"/>
    <w:rsid w:val="00624E8E"/>
    <w:rsid w:val="00624F23"/>
    <w:rsid w:val="00625234"/>
    <w:rsid w:val="00626D77"/>
    <w:rsid w:val="00626FAD"/>
    <w:rsid w:val="00630193"/>
    <w:rsid w:val="00630900"/>
    <w:rsid w:val="00630F6A"/>
    <w:rsid w:val="006319A4"/>
    <w:rsid w:val="00631A5B"/>
    <w:rsid w:val="006327BF"/>
    <w:rsid w:val="00632DF8"/>
    <w:rsid w:val="00633C21"/>
    <w:rsid w:val="00635124"/>
    <w:rsid w:val="00635236"/>
    <w:rsid w:val="00635267"/>
    <w:rsid w:val="0063603D"/>
    <w:rsid w:val="006368D0"/>
    <w:rsid w:val="00637271"/>
    <w:rsid w:val="00637957"/>
    <w:rsid w:val="00640151"/>
    <w:rsid w:val="00644D26"/>
    <w:rsid w:val="00645542"/>
    <w:rsid w:val="0064570C"/>
    <w:rsid w:val="00645AE4"/>
    <w:rsid w:val="00645B91"/>
    <w:rsid w:val="006463D1"/>
    <w:rsid w:val="00647225"/>
    <w:rsid w:val="006478DA"/>
    <w:rsid w:val="00652261"/>
    <w:rsid w:val="00652BD9"/>
    <w:rsid w:val="00653E06"/>
    <w:rsid w:val="006542E4"/>
    <w:rsid w:val="006544F8"/>
    <w:rsid w:val="00654A7A"/>
    <w:rsid w:val="0065557F"/>
    <w:rsid w:val="006559B7"/>
    <w:rsid w:val="00655B8D"/>
    <w:rsid w:val="00655E13"/>
    <w:rsid w:val="00656E46"/>
    <w:rsid w:val="00657075"/>
    <w:rsid w:val="006571EA"/>
    <w:rsid w:val="00657430"/>
    <w:rsid w:val="00657D67"/>
    <w:rsid w:val="00660F22"/>
    <w:rsid w:val="00661D2E"/>
    <w:rsid w:val="00661DD0"/>
    <w:rsid w:val="006622AB"/>
    <w:rsid w:val="006625C4"/>
    <w:rsid w:val="00663A49"/>
    <w:rsid w:val="0066430E"/>
    <w:rsid w:val="00665B1D"/>
    <w:rsid w:val="006664BC"/>
    <w:rsid w:val="006675F4"/>
    <w:rsid w:val="00667697"/>
    <w:rsid w:val="00671841"/>
    <w:rsid w:val="00671974"/>
    <w:rsid w:val="00671F33"/>
    <w:rsid w:val="0067253A"/>
    <w:rsid w:val="00672716"/>
    <w:rsid w:val="006727EA"/>
    <w:rsid w:val="00674204"/>
    <w:rsid w:val="00674F71"/>
    <w:rsid w:val="0067533F"/>
    <w:rsid w:val="00675DBC"/>
    <w:rsid w:val="0067600F"/>
    <w:rsid w:val="006775A9"/>
    <w:rsid w:val="006816CB"/>
    <w:rsid w:val="006827D4"/>
    <w:rsid w:val="006832F6"/>
    <w:rsid w:val="006838A1"/>
    <w:rsid w:val="00684463"/>
    <w:rsid w:val="006847EE"/>
    <w:rsid w:val="00684F1D"/>
    <w:rsid w:val="00687112"/>
    <w:rsid w:val="00687624"/>
    <w:rsid w:val="00690122"/>
    <w:rsid w:val="00690A38"/>
    <w:rsid w:val="00690C7D"/>
    <w:rsid w:val="006929FE"/>
    <w:rsid w:val="00693B76"/>
    <w:rsid w:val="0069408A"/>
    <w:rsid w:val="00694557"/>
    <w:rsid w:val="00694607"/>
    <w:rsid w:val="00696ECD"/>
    <w:rsid w:val="006973DB"/>
    <w:rsid w:val="00697A36"/>
    <w:rsid w:val="00697A6B"/>
    <w:rsid w:val="006A0E6C"/>
    <w:rsid w:val="006A132E"/>
    <w:rsid w:val="006A3721"/>
    <w:rsid w:val="006A3B23"/>
    <w:rsid w:val="006A3C8F"/>
    <w:rsid w:val="006A43ED"/>
    <w:rsid w:val="006A4412"/>
    <w:rsid w:val="006A4C7D"/>
    <w:rsid w:val="006A623F"/>
    <w:rsid w:val="006A68CD"/>
    <w:rsid w:val="006A76F5"/>
    <w:rsid w:val="006B0F86"/>
    <w:rsid w:val="006B1590"/>
    <w:rsid w:val="006B1EED"/>
    <w:rsid w:val="006B24D1"/>
    <w:rsid w:val="006B2834"/>
    <w:rsid w:val="006B423F"/>
    <w:rsid w:val="006B5EB1"/>
    <w:rsid w:val="006B5F15"/>
    <w:rsid w:val="006B5F8B"/>
    <w:rsid w:val="006B6081"/>
    <w:rsid w:val="006B6B6F"/>
    <w:rsid w:val="006B7F1F"/>
    <w:rsid w:val="006C10D5"/>
    <w:rsid w:val="006C1C31"/>
    <w:rsid w:val="006C204F"/>
    <w:rsid w:val="006C2A7B"/>
    <w:rsid w:val="006C49ED"/>
    <w:rsid w:val="006C4D02"/>
    <w:rsid w:val="006C728E"/>
    <w:rsid w:val="006C79DC"/>
    <w:rsid w:val="006D219D"/>
    <w:rsid w:val="006D3346"/>
    <w:rsid w:val="006D3609"/>
    <w:rsid w:val="006D41DB"/>
    <w:rsid w:val="006D5E80"/>
    <w:rsid w:val="006D64AA"/>
    <w:rsid w:val="006D7314"/>
    <w:rsid w:val="006E1252"/>
    <w:rsid w:val="006E1943"/>
    <w:rsid w:val="006E2D74"/>
    <w:rsid w:val="006E2DB0"/>
    <w:rsid w:val="006E3DD8"/>
    <w:rsid w:val="006E43AC"/>
    <w:rsid w:val="006E446A"/>
    <w:rsid w:val="006E4507"/>
    <w:rsid w:val="006E5116"/>
    <w:rsid w:val="006E525E"/>
    <w:rsid w:val="006E5C92"/>
    <w:rsid w:val="006E5FE5"/>
    <w:rsid w:val="006E67CA"/>
    <w:rsid w:val="006E7BB5"/>
    <w:rsid w:val="006F119A"/>
    <w:rsid w:val="006F1417"/>
    <w:rsid w:val="006F1A7A"/>
    <w:rsid w:val="006F2012"/>
    <w:rsid w:val="006F3352"/>
    <w:rsid w:val="006F417F"/>
    <w:rsid w:val="006F4266"/>
    <w:rsid w:val="006F4D38"/>
    <w:rsid w:val="006F5284"/>
    <w:rsid w:val="006F5396"/>
    <w:rsid w:val="006F584E"/>
    <w:rsid w:val="006F5AD4"/>
    <w:rsid w:val="006F763D"/>
    <w:rsid w:val="0070002C"/>
    <w:rsid w:val="00700A35"/>
    <w:rsid w:val="00701420"/>
    <w:rsid w:val="0070249D"/>
    <w:rsid w:val="007029F9"/>
    <w:rsid w:val="00702CC5"/>
    <w:rsid w:val="00702FF0"/>
    <w:rsid w:val="0070439B"/>
    <w:rsid w:val="00704C87"/>
    <w:rsid w:val="00704E42"/>
    <w:rsid w:val="0070542E"/>
    <w:rsid w:val="007057A9"/>
    <w:rsid w:val="00706480"/>
    <w:rsid w:val="00706967"/>
    <w:rsid w:val="007072F9"/>
    <w:rsid w:val="00707AE0"/>
    <w:rsid w:val="0071162C"/>
    <w:rsid w:val="00711C34"/>
    <w:rsid w:val="00712CF5"/>
    <w:rsid w:val="00713E9C"/>
    <w:rsid w:val="00714859"/>
    <w:rsid w:val="00714D08"/>
    <w:rsid w:val="00715521"/>
    <w:rsid w:val="00715D46"/>
    <w:rsid w:val="00715D64"/>
    <w:rsid w:val="00716D2A"/>
    <w:rsid w:val="00717150"/>
    <w:rsid w:val="00717B8C"/>
    <w:rsid w:val="00717C80"/>
    <w:rsid w:val="00717D0B"/>
    <w:rsid w:val="007200FA"/>
    <w:rsid w:val="00720DF8"/>
    <w:rsid w:val="0072163D"/>
    <w:rsid w:val="00721E79"/>
    <w:rsid w:val="00722090"/>
    <w:rsid w:val="00722C2D"/>
    <w:rsid w:val="00723700"/>
    <w:rsid w:val="0072394F"/>
    <w:rsid w:val="00724DAC"/>
    <w:rsid w:val="00725914"/>
    <w:rsid w:val="00725D27"/>
    <w:rsid w:val="00726303"/>
    <w:rsid w:val="00726B3D"/>
    <w:rsid w:val="00727257"/>
    <w:rsid w:val="007303FD"/>
    <w:rsid w:val="00730AF2"/>
    <w:rsid w:val="00731BA5"/>
    <w:rsid w:val="00731EE0"/>
    <w:rsid w:val="007329B9"/>
    <w:rsid w:val="00733CA0"/>
    <w:rsid w:val="00735391"/>
    <w:rsid w:val="00735D12"/>
    <w:rsid w:val="00735F7F"/>
    <w:rsid w:val="00735FBC"/>
    <w:rsid w:val="0073627B"/>
    <w:rsid w:val="00741887"/>
    <w:rsid w:val="007418AF"/>
    <w:rsid w:val="00741C75"/>
    <w:rsid w:val="00741CD6"/>
    <w:rsid w:val="007423A2"/>
    <w:rsid w:val="00742874"/>
    <w:rsid w:val="00743173"/>
    <w:rsid w:val="007444B6"/>
    <w:rsid w:val="007447CD"/>
    <w:rsid w:val="00744C8C"/>
    <w:rsid w:val="00744C94"/>
    <w:rsid w:val="00744DEA"/>
    <w:rsid w:val="00745115"/>
    <w:rsid w:val="0074593B"/>
    <w:rsid w:val="007467A0"/>
    <w:rsid w:val="007471CB"/>
    <w:rsid w:val="00747319"/>
    <w:rsid w:val="00747961"/>
    <w:rsid w:val="00747AF2"/>
    <w:rsid w:val="00747E76"/>
    <w:rsid w:val="00750356"/>
    <w:rsid w:val="00750406"/>
    <w:rsid w:val="00750518"/>
    <w:rsid w:val="00750A5A"/>
    <w:rsid w:val="00750EE4"/>
    <w:rsid w:val="007516ED"/>
    <w:rsid w:val="007517FA"/>
    <w:rsid w:val="00751ADA"/>
    <w:rsid w:val="00753CCF"/>
    <w:rsid w:val="007545B3"/>
    <w:rsid w:val="0075485F"/>
    <w:rsid w:val="00755AEF"/>
    <w:rsid w:val="0075660E"/>
    <w:rsid w:val="00757C9B"/>
    <w:rsid w:val="00760AAF"/>
    <w:rsid w:val="00761EEE"/>
    <w:rsid w:val="0076282D"/>
    <w:rsid w:val="007629DA"/>
    <w:rsid w:val="00763085"/>
    <w:rsid w:val="00765266"/>
    <w:rsid w:val="007657E1"/>
    <w:rsid w:val="00770379"/>
    <w:rsid w:val="007718D7"/>
    <w:rsid w:val="00771A29"/>
    <w:rsid w:val="00771D95"/>
    <w:rsid w:val="007726A6"/>
    <w:rsid w:val="00773784"/>
    <w:rsid w:val="00773835"/>
    <w:rsid w:val="007756D9"/>
    <w:rsid w:val="00777DCF"/>
    <w:rsid w:val="00777F1E"/>
    <w:rsid w:val="00780668"/>
    <w:rsid w:val="0078123F"/>
    <w:rsid w:val="007823B6"/>
    <w:rsid w:val="00782F09"/>
    <w:rsid w:val="00784578"/>
    <w:rsid w:val="0078483E"/>
    <w:rsid w:val="00785954"/>
    <w:rsid w:val="007866EA"/>
    <w:rsid w:val="007869D9"/>
    <w:rsid w:val="00787CEA"/>
    <w:rsid w:val="007900C9"/>
    <w:rsid w:val="00791C77"/>
    <w:rsid w:val="00791C8A"/>
    <w:rsid w:val="0079200E"/>
    <w:rsid w:val="00792E5F"/>
    <w:rsid w:val="007937A6"/>
    <w:rsid w:val="00793CFB"/>
    <w:rsid w:val="00796BD0"/>
    <w:rsid w:val="00797357"/>
    <w:rsid w:val="007A062B"/>
    <w:rsid w:val="007A0C11"/>
    <w:rsid w:val="007A12ED"/>
    <w:rsid w:val="007A1F62"/>
    <w:rsid w:val="007A2F39"/>
    <w:rsid w:val="007A456C"/>
    <w:rsid w:val="007A4604"/>
    <w:rsid w:val="007A492E"/>
    <w:rsid w:val="007A51AC"/>
    <w:rsid w:val="007A5686"/>
    <w:rsid w:val="007A5D9F"/>
    <w:rsid w:val="007A6443"/>
    <w:rsid w:val="007A67DF"/>
    <w:rsid w:val="007A6DAE"/>
    <w:rsid w:val="007A6FB3"/>
    <w:rsid w:val="007A72B9"/>
    <w:rsid w:val="007A7697"/>
    <w:rsid w:val="007B0876"/>
    <w:rsid w:val="007B0A03"/>
    <w:rsid w:val="007B0BA6"/>
    <w:rsid w:val="007B114F"/>
    <w:rsid w:val="007B25BC"/>
    <w:rsid w:val="007B2DF6"/>
    <w:rsid w:val="007B4B81"/>
    <w:rsid w:val="007B57C5"/>
    <w:rsid w:val="007B63C6"/>
    <w:rsid w:val="007B6D74"/>
    <w:rsid w:val="007B7060"/>
    <w:rsid w:val="007B75F5"/>
    <w:rsid w:val="007B796E"/>
    <w:rsid w:val="007B7FF9"/>
    <w:rsid w:val="007C1690"/>
    <w:rsid w:val="007C1B3F"/>
    <w:rsid w:val="007C27C7"/>
    <w:rsid w:val="007C3095"/>
    <w:rsid w:val="007C34F7"/>
    <w:rsid w:val="007C3630"/>
    <w:rsid w:val="007C3706"/>
    <w:rsid w:val="007C37A6"/>
    <w:rsid w:val="007C3850"/>
    <w:rsid w:val="007C3B84"/>
    <w:rsid w:val="007C3FCE"/>
    <w:rsid w:val="007C4FC0"/>
    <w:rsid w:val="007C51F1"/>
    <w:rsid w:val="007C7B08"/>
    <w:rsid w:val="007D0505"/>
    <w:rsid w:val="007D2A56"/>
    <w:rsid w:val="007D40E4"/>
    <w:rsid w:val="007D4917"/>
    <w:rsid w:val="007D53CC"/>
    <w:rsid w:val="007D6DAC"/>
    <w:rsid w:val="007E0E98"/>
    <w:rsid w:val="007E1A8D"/>
    <w:rsid w:val="007E219C"/>
    <w:rsid w:val="007E483C"/>
    <w:rsid w:val="007E658C"/>
    <w:rsid w:val="007E6BA0"/>
    <w:rsid w:val="007E7562"/>
    <w:rsid w:val="007E7FAC"/>
    <w:rsid w:val="007F08FE"/>
    <w:rsid w:val="007F21DB"/>
    <w:rsid w:val="007F284C"/>
    <w:rsid w:val="007F3762"/>
    <w:rsid w:val="007F3ECF"/>
    <w:rsid w:val="007F44A5"/>
    <w:rsid w:val="007F462C"/>
    <w:rsid w:val="007F4913"/>
    <w:rsid w:val="007F5ED4"/>
    <w:rsid w:val="007F66C2"/>
    <w:rsid w:val="007F6A1B"/>
    <w:rsid w:val="007F6C57"/>
    <w:rsid w:val="008001F5"/>
    <w:rsid w:val="00800781"/>
    <w:rsid w:val="00802E95"/>
    <w:rsid w:val="0080307F"/>
    <w:rsid w:val="0080343D"/>
    <w:rsid w:val="00803459"/>
    <w:rsid w:val="00804066"/>
    <w:rsid w:val="00804508"/>
    <w:rsid w:val="008049B5"/>
    <w:rsid w:val="00804F5D"/>
    <w:rsid w:val="00806022"/>
    <w:rsid w:val="00806627"/>
    <w:rsid w:val="00806A4F"/>
    <w:rsid w:val="0080758D"/>
    <w:rsid w:val="00807C02"/>
    <w:rsid w:val="00807E28"/>
    <w:rsid w:val="008113D3"/>
    <w:rsid w:val="0081286A"/>
    <w:rsid w:val="00813548"/>
    <w:rsid w:val="00814771"/>
    <w:rsid w:val="00814C6B"/>
    <w:rsid w:val="008227C9"/>
    <w:rsid w:val="0082387D"/>
    <w:rsid w:val="008238A1"/>
    <w:rsid w:val="008252C2"/>
    <w:rsid w:val="00825D25"/>
    <w:rsid w:val="00826FFE"/>
    <w:rsid w:val="00827AC7"/>
    <w:rsid w:val="00827D45"/>
    <w:rsid w:val="00830769"/>
    <w:rsid w:val="008308FD"/>
    <w:rsid w:val="00830B44"/>
    <w:rsid w:val="00831401"/>
    <w:rsid w:val="00831C57"/>
    <w:rsid w:val="008327A9"/>
    <w:rsid w:val="008346B2"/>
    <w:rsid w:val="008351FA"/>
    <w:rsid w:val="00835416"/>
    <w:rsid w:val="00835C47"/>
    <w:rsid w:val="00836BE5"/>
    <w:rsid w:val="00841132"/>
    <w:rsid w:val="00841723"/>
    <w:rsid w:val="00842B2F"/>
    <w:rsid w:val="008436FE"/>
    <w:rsid w:val="00844E9D"/>
    <w:rsid w:val="0084525D"/>
    <w:rsid w:val="0084528D"/>
    <w:rsid w:val="00845D06"/>
    <w:rsid w:val="0084609E"/>
    <w:rsid w:val="008461DB"/>
    <w:rsid w:val="008463DD"/>
    <w:rsid w:val="0085007C"/>
    <w:rsid w:val="008525FD"/>
    <w:rsid w:val="00852659"/>
    <w:rsid w:val="0085350B"/>
    <w:rsid w:val="00857280"/>
    <w:rsid w:val="008605FB"/>
    <w:rsid w:val="008609BF"/>
    <w:rsid w:val="00861165"/>
    <w:rsid w:val="00861D3C"/>
    <w:rsid w:val="008622D2"/>
    <w:rsid w:val="00862E68"/>
    <w:rsid w:val="00864B69"/>
    <w:rsid w:val="00864B9B"/>
    <w:rsid w:val="0086589A"/>
    <w:rsid w:val="00867606"/>
    <w:rsid w:val="00870278"/>
    <w:rsid w:val="00870910"/>
    <w:rsid w:val="00870C81"/>
    <w:rsid w:val="00870C8A"/>
    <w:rsid w:val="00872D39"/>
    <w:rsid w:val="0087346D"/>
    <w:rsid w:val="00874C65"/>
    <w:rsid w:val="00874F1A"/>
    <w:rsid w:val="0087579D"/>
    <w:rsid w:val="00875EA3"/>
    <w:rsid w:val="008767DD"/>
    <w:rsid w:val="00881E75"/>
    <w:rsid w:val="00882C8B"/>
    <w:rsid w:val="0088434C"/>
    <w:rsid w:val="00884D37"/>
    <w:rsid w:val="00885FC2"/>
    <w:rsid w:val="00887715"/>
    <w:rsid w:val="0089028F"/>
    <w:rsid w:val="008905FA"/>
    <w:rsid w:val="00891F3A"/>
    <w:rsid w:val="008931D6"/>
    <w:rsid w:val="00896104"/>
    <w:rsid w:val="008961C4"/>
    <w:rsid w:val="00896FA0"/>
    <w:rsid w:val="00897263"/>
    <w:rsid w:val="008A17A2"/>
    <w:rsid w:val="008A2F2A"/>
    <w:rsid w:val="008A4288"/>
    <w:rsid w:val="008A53C0"/>
    <w:rsid w:val="008A6DE0"/>
    <w:rsid w:val="008A7B41"/>
    <w:rsid w:val="008B0125"/>
    <w:rsid w:val="008B0789"/>
    <w:rsid w:val="008B2093"/>
    <w:rsid w:val="008B2D48"/>
    <w:rsid w:val="008B387D"/>
    <w:rsid w:val="008B38CB"/>
    <w:rsid w:val="008B3B28"/>
    <w:rsid w:val="008B4AE8"/>
    <w:rsid w:val="008B4C95"/>
    <w:rsid w:val="008B4CEC"/>
    <w:rsid w:val="008B4F3A"/>
    <w:rsid w:val="008B5069"/>
    <w:rsid w:val="008B5362"/>
    <w:rsid w:val="008B5A0C"/>
    <w:rsid w:val="008B5C9E"/>
    <w:rsid w:val="008B7DF6"/>
    <w:rsid w:val="008C1579"/>
    <w:rsid w:val="008C2200"/>
    <w:rsid w:val="008C313F"/>
    <w:rsid w:val="008C447F"/>
    <w:rsid w:val="008C5773"/>
    <w:rsid w:val="008C5FAE"/>
    <w:rsid w:val="008C6C7E"/>
    <w:rsid w:val="008C7968"/>
    <w:rsid w:val="008C7E4C"/>
    <w:rsid w:val="008D0504"/>
    <w:rsid w:val="008D070E"/>
    <w:rsid w:val="008D0B09"/>
    <w:rsid w:val="008D0C20"/>
    <w:rsid w:val="008D0EB8"/>
    <w:rsid w:val="008D25A3"/>
    <w:rsid w:val="008D28FF"/>
    <w:rsid w:val="008D2A06"/>
    <w:rsid w:val="008D2A96"/>
    <w:rsid w:val="008D3CEB"/>
    <w:rsid w:val="008D3F47"/>
    <w:rsid w:val="008D4FC7"/>
    <w:rsid w:val="008D58EC"/>
    <w:rsid w:val="008D5B22"/>
    <w:rsid w:val="008D714D"/>
    <w:rsid w:val="008D7866"/>
    <w:rsid w:val="008E10DB"/>
    <w:rsid w:val="008E1DA2"/>
    <w:rsid w:val="008E3A1F"/>
    <w:rsid w:val="008E40B0"/>
    <w:rsid w:val="008E47B7"/>
    <w:rsid w:val="008E4A8F"/>
    <w:rsid w:val="008E58CE"/>
    <w:rsid w:val="008E5D56"/>
    <w:rsid w:val="008E6BC4"/>
    <w:rsid w:val="008E6F09"/>
    <w:rsid w:val="008E7323"/>
    <w:rsid w:val="008E79CD"/>
    <w:rsid w:val="008E7E98"/>
    <w:rsid w:val="008F02C5"/>
    <w:rsid w:val="008F1AA2"/>
    <w:rsid w:val="008F2004"/>
    <w:rsid w:val="008F22A6"/>
    <w:rsid w:val="008F3517"/>
    <w:rsid w:val="008F4447"/>
    <w:rsid w:val="008F4C53"/>
    <w:rsid w:val="008F529F"/>
    <w:rsid w:val="008F5C30"/>
    <w:rsid w:val="008F62CE"/>
    <w:rsid w:val="008F7A93"/>
    <w:rsid w:val="009008CF"/>
    <w:rsid w:val="00900926"/>
    <w:rsid w:val="00900EFE"/>
    <w:rsid w:val="00900FC9"/>
    <w:rsid w:val="0090145B"/>
    <w:rsid w:val="00901650"/>
    <w:rsid w:val="00901B7B"/>
    <w:rsid w:val="00902CF4"/>
    <w:rsid w:val="0090306D"/>
    <w:rsid w:val="00903233"/>
    <w:rsid w:val="00903B50"/>
    <w:rsid w:val="009066EA"/>
    <w:rsid w:val="00913BB4"/>
    <w:rsid w:val="0091475D"/>
    <w:rsid w:val="00914AB6"/>
    <w:rsid w:val="00914BB1"/>
    <w:rsid w:val="00915486"/>
    <w:rsid w:val="009166C1"/>
    <w:rsid w:val="00921619"/>
    <w:rsid w:val="00922049"/>
    <w:rsid w:val="0092228E"/>
    <w:rsid w:val="00922B11"/>
    <w:rsid w:val="00922E12"/>
    <w:rsid w:val="00923DCC"/>
    <w:rsid w:val="009244E5"/>
    <w:rsid w:val="0092506B"/>
    <w:rsid w:val="00925D02"/>
    <w:rsid w:val="009260F0"/>
    <w:rsid w:val="0092690E"/>
    <w:rsid w:val="00930B6A"/>
    <w:rsid w:val="00930DFB"/>
    <w:rsid w:val="00930FF1"/>
    <w:rsid w:val="00932175"/>
    <w:rsid w:val="009327E9"/>
    <w:rsid w:val="00933B93"/>
    <w:rsid w:val="00933DB1"/>
    <w:rsid w:val="00933F7D"/>
    <w:rsid w:val="00934A35"/>
    <w:rsid w:val="00934CBD"/>
    <w:rsid w:val="00935572"/>
    <w:rsid w:val="00935ADC"/>
    <w:rsid w:val="009363CA"/>
    <w:rsid w:val="00936991"/>
    <w:rsid w:val="0093745A"/>
    <w:rsid w:val="00940504"/>
    <w:rsid w:val="00941793"/>
    <w:rsid w:val="0094186A"/>
    <w:rsid w:val="0094312A"/>
    <w:rsid w:val="009431AA"/>
    <w:rsid w:val="00943F21"/>
    <w:rsid w:val="00943FCE"/>
    <w:rsid w:val="00944083"/>
    <w:rsid w:val="00944562"/>
    <w:rsid w:val="00944D84"/>
    <w:rsid w:val="00945110"/>
    <w:rsid w:val="00946087"/>
    <w:rsid w:val="00951524"/>
    <w:rsid w:val="0095183A"/>
    <w:rsid w:val="009527C0"/>
    <w:rsid w:val="00953B64"/>
    <w:rsid w:val="00953F34"/>
    <w:rsid w:val="009545B2"/>
    <w:rsid w:val="009546D8"/>
    <w:rsid w:val="00954C28"/>
    <w:rsid w:val="00954CEA"/>
    <w:rsid w:val="00955754"/>
    <w:rsid w:val="00957646"/>
    <w:rsid w:val="00960CE2"/>
    <w:rsid w:val="00961AE0"/>
    <w:rsid w:val="00961CAE"/>
    <w:rsid w:val="00963894"/>
    <w:rsid w:val="00964CB8"/>
    <w:rsid w:val="00965E89"/>
    <w:rsid w:val="009667E9"/>
    <w:rsid w:val="00966806"/>
    <w:rsid w:val="00967889"/>
    <w:rsid w:val="00967D32"/>
    <w:rsid w:val="00970527"/>
    <w:rsid w:val="00970D0F"/>
    <w:rsid w:val="00970EAD"/>
    <w:rsid w:val="009710DD"/>
    <w:rsid w:val="009717A8"/>
    <w:rsid w:val="009736A9"/>
    <w:rsid w:val="00973859"/>
    <w:rsid w:val="009742AD"/>
    <w:rsid w:val="00974756"/>
    <w:rsid w:val="009767B5"/>
    <w:rsid w:val="00977282"/>
    <w:rsid w:val="00980E58"/>
    <w:rsid w:val="0098102E"/>
    <w:rsid w:val="0098131E"/>
    <w:rsid w:val="00982B39"/>
    <w:rsid w:val="00982C16"/>
    <w:rsid w:val="009830B5"/>
    <w:rsid w:val="009834BD"/>
    <w:rsid w:val="00985B64"/>
    <w:rsid w:val="0098788C"/>
    <w:rsid w:val="009900BC"/>
    <w:rsid w:val="00990F3F"/>
    <w:rsid w:val="00990FC7"/>
    <w:rsid w:val="00992235"/>
    <w:rsid w:val="009931C8"/>
    <w:rsid w:val="009945CD"/>
    <w:rsid w:val="009945E9"/>
    <w:rsid w:val="00994A31"/>
    <w:rsid w:val="00995D25"/>
    <w:rsid w:val="009A2405"/>
    <w:rsid w:val="009A29DF"/>
    <w:rsid w:val="009A29E5"/>
    <w:rsid w:val="009A2AF8"/>
    <w:rsid w:val="009A2D51"/>
    <w:rsid w:val="009A3378"/>
    <w:rsid w:val="009A5326"/>
    <w:rsid w:val="009A622B"/>
    <w:rsid w:val="009A6EEF"/>
    <w:rsid w:val="009A7F18"/>
    <w:rsid w:val="009B0065"/>
    <w:rsid w:val="009B1EBE"/>
    <w:rsid w:val="009B2EA8"/>
    <w:rsid w:val="009B3584"/>
    <w:rsid w:val="009B3968"/>
    <w:rsid w:val="009B39F5"/>
    <w:rsid w:val="009B3DE2"/>
    <w:rsid w:val="009B538F"/>
    <w:rsid w:val="009B5700"/>
    <w:rsid w:val="009B7252"/>
    <w:rsid w:val="009C05FE"/>
    <w:rsid w:val="009C0939"/>
    <w:rsid w:val="009C0B74"/>
    <w:rsid w:val="009C26ED"/>
    <w:rsid w:val="009C4D91"/>
    <w:rsid w:val="009C5991"/>
    <w:rsid w:val="009C71FB"/>
    <w:rsid w:val="009D0D0F"/>
    <w:rsid w:val="009D0DAF"/>
    <w:rsid w:val="009D1596"/>
    <w:rsid w:val="009D1FEF"/>
    <w:rsid w:val="009D2134"/>
    <w:rsid w:val="009D2CAB"/>
    <w:rsid w:val="009D30F2"/>
    <w:rsid w:val="009D3F42"/>
    <w:rsid w:val="009D4EB5"/>
    <w:rsid w:val="009D56FF"/>
    <w:rsid w:val="009D5741"/>
    <w:rsid w:val="009D5DF5"/>
    <w:rsid w:val="009D6742"/>
    <w:rsid w:val="009D7456"/>
    <w:rsid w:val="009D7689"/>
    <w:rsid w:val="009E1E42"/>
    <w:rsid w:val="009E2654"/>
    <w:rsid w:val="009E2DD9"/>
    <w:rsid w:val="009E2EDC"/>
    <w:rsid w:val="009E3731"/>
    <w:rsid w:val="009E71B7"/>
    <w:rsid w:val="009E7FA6"/>
    <w:rsid w:val="009F0014"/>
    <w:rsid w:val="009F0376"/>
    <w:rsid w:val="009F1E5B"/>
    <w:rsid w:val="009F1FE3"/>
    <w:rsid w:val="009F2296"/>
    <w:rsid w:val="009F2904"/>
    <w:rsid w:val="009F2C8B"/>
    <w:rsid w:val="009F4D76"/>
    <w:rsid w:val="009F4E42"/>
    <w:rsid w:val="009F501A"/>
    <w:rsid w:val="009F6A6E"/>
    <w:rsid w:val="009F7DF7"/>
    <w:rsid w:val="00A00BCF"/>
    <w:rsid w:val="00A01221"/>
    <w:rsid w:val="00A01C32"/>
    <w:rsid w:val="00A02A28"/>
    <w:rsid w:val="00A02BDC"/>
    <w:rsid w:val="00A0364A"/>
    <w:rsid w:val="00A03B6B"/>
    <w:rsid w:val="00A04086"/>
    <w:rsid w:val="00A04611"/>
    <w:rsid w:val="00A04D40"/>
    <w:rsid w:val="00A0623B"/>
    <w:rsid w:val="00A06261"/>
    <w:rsid w:val="00A063D4"/>
    <w:rsid w:val="00A06CE1"/>
    <w:rsid w:val="00A07C6D"/>
    <w:rsid w:val="00A07DED"/>
    <w:rsid w:val="00A10718"/>
    <w:rsid w:val="00A1086A"/>
    <w:rsid w:val="00A10B3E"/>
    <w:rsid w:val="00A10D02"/>
    <w:rsid w:val="00A112A3"/>
    <w:rsid w:val="00A11675"/>
    <w:rsid w:val="00A11C3F"/>
    <w:rsid w:val="00A11CFE"/>
    <w:rsid w:val="00A12272"/>
    <w:rsid w:val="00A12506"/>
    <w:rsid w:val="00A129C5"/>
    <w:rsid w:val="00A14717"/>
    <w:rsid w:val="00A14C17"/>
    <w:rsid w:val="00A15040"/>
    <w:rsid w:val="00A15545"/>
    <w:rsid w:val="00A15880"/>
    <w:rsid w:val="00A1734C"/>
    <w:rsid w:val="00A17665"/>
    <w:rsid w:val="00A2100A"/>
    <w:rsid w:val="00A210FD"/>
    <w:rsid w:val="00A2135A"/>
    <w:rsid w:val="00A2377A"/>
    <w:rsid w:val="00A242FC"/>
    <w:rsid w:val="00A244BB"/>
    <w:rsid w:val="00A266B8"/>
    <w:rsid w:val="00A27141"/>
    <w:rsid w:val="00A271BA"/>
    <w:rsid w:val="00A27D5A"/>
    <w:rsid w:val="00A310B6"/>
    <w:rsid w:val="00A353D9"/>
    <w:rsid w:val="00A35607"/>
    <w:rsid w:val="00A3734F"/>
    <w:rsid w:val="00A37DC5"/>
    <w:rsid w:val="00A37E63"/>
    <w:rsid w:val="00A406E7"/>
    <w:rsid w:val="00A41FBB"/>
    <w:rsid w:val="00A43717"/>
    <w:rsid w:val="00A452D9"/>
    <w:rsid w:val="00A454AE"/>
    <w:rsid w:val="00A458C3"/>
    <w:rsid w:val="00A45C1F"/>
    <w:rsid w:val="00A467CC"/>
    <w:rsid w:val="00A50AE6"/>
    <w:rsid w:val="00A50B9D"/>
    <w:rsid w:val="00A50F55"/>
    <w:rsid w:val="00A51929"/>
    <w:rsid w:val="00A51FAD"/>
    <w:rsid w:val="00A5240D"/>
    <w:rsid w:val="00A53104"/>
    <w:rsid w:val="00A54436"/>
    <w:rsid w:val="00A56DDC"/>
    <w:rsid w:val="00A57404"/>
    <w:rsid w:val="00A57FF0"/>
    <w:rsid w:val="00A615DE"/>
    <w:rsid w:val="00A61CE5"/>
    <w:rsid w:val="00A62AA6"/>
    <w:rsid w:val="00A62E4F"/>
    <w:rsid w:val="00A62FEC"/>
    <w:rsid w:val="00A63471"/>
    <w:rsid w:val="00A647BD"/>
    <w:rsid w:val="00A64ED2"/>
    <w:rsid w:val="00A65D2B"/>
    <w:rsid w:val="00A66A06"/>
    <w:rsid w:val="00A66C00"/>
    <w:rsid w:val="00A6785A"/>
    <w:rsid w:val="00A67890"/>
    <w:rsid w:val="00A71099"/>
    <w:rsid w:val="00A73020"/>
    <w:rsid w:val="00A7327B"/>
    <w:rsid w:val="00A74199"/>
    <w:rsid w:val="00A742B1"/>
    <w:rsid w:val="00A77A68"/>
    <w:rsid w:val="00A823A7"/>
    <w:rsid w:val="00A833F4"/>
    <w:rsid w:val="00A84C54"/>
    <w:rsid w:val="00A85083"/>
    <w:rsid w:val="00A85DD6"/>
    <w:rsid w:val="00A8622A"/>
    <w:rsid w:val="00A86384"/>
    <w:rsid w:val="00A86561"/>
    <w:rsid w:val="00A87612"/>
    <w:rsid w:val="00A8786B"/>
    <w:rsid w:val="00A879F2"/>
    <w:rsid w:val="00A90EB9"/>
    <w:rsid w:val="00A9154D"/>
    <w:rsid w:val="00A92DF0"/>
    <w:rsid w:val="00A96058"/>
    <w:rsid w:val="00A96099"/>
    <w:rsid w:val="00A96B0F"/>
    <w:rsid w:val="00A97307"/>
    <w:rsid w:val="00A97371"/>
    <w:rsid w:val="00A97864"/>
    <w:rsid w:val="00A97DEC"/>
    <w:rsid w:val="00AA1394"/>
    <w:rsid w:val="00AA1AE2"/>
    <w:rsid w:val="00AA1C26"/>
    <w:rsid w:val="00AA328B"/>
    <w:rsid w:val="00AA3324"/>
    <w:rsid w:val="00AA358F"/>
    <w:rsid w:val="00AA35C7"/>
    <w:rsid w:val="00AA41E6"/>
    <w:rsid w:val="00AA423B"/>
    <w:rsid w:val="00AA54FE"/>
    <w:rsid w:val="00AA6439"/>
    <w:rsid w:val="00AA735B"/>
    <w:rsid w:val="00AA7643"/>
    <w:rsid w:val="00AB1690"/>
    <w:rsid w:val="00AB2AD3"/>
    <w:rsid w:val="00AB36F1"/>
    <w:rsid w:val="00AB3CA7"/>
    <w:rsid w:val="00AB3FEE"/>
    <w:rsid w:val="00AB44E8"/>
    <w:rsid w:val="00AC01ED"/>
    <w:rsid w:val="00AC2399"/>
    <w:rsid w:val="00AC45CF"/>
    <w:rsid w:val="00AC4F0D"/>
    <w:rsid w:val="00AC5D4E"/>
    <w:rsid w:val="00AC607D"/>
    <w:rsid w:val="00AC773F"/>
    <w:rsid w:val="00AC78F5"/>
    <w:rsid w:val="00AD0BA4"/>
    <w:rsid w:val="00AD36A4"/>
    <w:rsid w:val="00AD3AFB"/>
    <w:rsid w:val="00AD3CFB"/>
    <w:rsid w:val="00AD4463"/>
    <w:rsid w:val="00AD65F0"/>
    <w:rsid w:val="00AD7CE9"/>
    <w:rsid w:val="00AE089E"/>
    <w:rsid w:val="00AE08C9"/>
    <w:rsid w:val="00AE1C1A"/>
    <w:rsid w:val="00AE36B5"/>
    <w:rsid w:val="00AE4375"/>
    <w:rsid w:val="00AE4790"/>
    <w:rsid w:val="00AE4E25"/>
    <w:rsid w:val="00AE612C"/>
    <w:rsid w:val="00AE66C3"/>
    <w:rsid w:val="00AE6C33"/>
    <w:rsid w:val="00AE7290"/>
    <w:rsid w:val="00AE77CE"/>
    <w:rsid w:val="00AF159A"/>
    <w:rsid w:val="00AF161E"/>
    <w:rsid w:val="00AF37EC"/>
    <w:rsid w:val="00AF403C"/>
    <w:rsid w:val="00AF4140"/>
    <w:rsid w:val="00AF5EE9"/>
    <w:rsid w:val="00AF6038"/>
    <w:rsid w:val="00AF6E65"/>
    <w:rsid w:val="00AF7138"/>
    <w:rsid w:val="00AF738F"/>
    <w:rsid w:val="00AF78A5"/>
    <w:rsid w:val="00AF7971"/>
    <w:rsid w:val="00B00A22"/>
    <w:rsid w:val="00B00EAA"/>
    <w:rsid w:val="00B01B10"/>
    <w:rsid w:val="00B02CA6"/>
    <w:rsid w:val="00B02E0C"/>
    <w:rsid w:val="00B02F9B"/>
    <w:rsid w:val="00B04161"/>
    <w:rsid w:val="00B05961"/>
    <w:rsid w:val="00B072ED"/>
    <w:rsid w:val="00B10E80"/>
    <w:rsid w:val="00B11FD0"/>
    <w:rsid w:val="00B1214E"/>
    <w:rsid w:val="00B12681"/>
    <w:rsid w:val="00B13562"/>
    <w:rsid w:val="00B13F47"/>
    <w:rsid w:val="00B1400C"/>
    <w:rsid w:val="00B145A8"/>
    <w:rsid w:val="00B14B3B"/>
    <w:rsid w:val="00B14CB2"/>
    <w:rsid w:val="00B15136"/>
    <w:rsid w:val="00B16153"/>
    <w:rsid w:val="00B161E9"/>
    <w:rsid w:val="00B16203"/>
    <w:rsid w:val="00B1696B"/>
    <w:rsid w:val="00B16D05"/>
    <w:rsid w:val="00B21638"/>
    <w:rsid w:val="00B21698"/>
    <w:rsid w:val="00B218F6"/>
    <w:rsid w:val="00B21BCC"/>
    <w:rsid w:val="00B232B5"/>
    <w:rsid w:val="00B244D2"/>
    <w:rsid w:val="00B24AE6"/>
    <w:rsid w:val="00B26783"/>
    <w:rsid w:val="00B26B12"/>
    <w:rsid w:val="00B26F0B"/>
    <w:rsid w:val="00B26FA8"/>
    <w:rsid w:val="00B27A76"/>
    <w:rsid w:val="00B27E2A"/>
    <w:rsid w:val="00B324EA"/>
    <w:rsid w:val="00B33F9B"/>
    <w:rsid w:val="00B34793"/>
    <w:rsid w:val="00B353EF"/>
    <w:rsid w:val="00B35454"/>
    <w:rsid w:val="00B3553C"/>
    <w:rsid w:val="00B35FA2"/>
    <w:rsid w:val="00B361FD"/>
    <w:rsid w:val="00B36C2F"/>
    <w:rsid w:val="00B36D81"/>
    <w:rsid w:val="00B40C05"/>
    <w:rsid w:val="00B40E9A"/>
    <w:rsid w:val="00B41DD8"/>
    <w:rsid w:val="00B424BD"/>
    <w:rsid w:val="00B4272D"/>
    <w:rsid w:val="00B43A1A"/>
    <w:rsid w:val="00B43A76"/>
    <w:rsid w:val="00B4402C"/>
    <w:rsid w:val="00B4651B"/>
    <w:rsid w:val="00B467E3"/>
    <w:rsid w:val="00B4684D"/>
    <w:rsid w:val="00B472D4"/>
    <w:rsid w:val="00B47F9B"/>
    <w:rsid w:val="00B5028C"/>
    <w:rsid w:val="00B505F4"/>
    <w:rsid w:val="00B515F2"/>
    <w:rsid w:val="00B51728"/>
    <w:rsid w:val="00B519B0"/>
    <w:rsid w:val="00B5241A"/>
    <w:rsid w:val="00B52529"/>
    <w:rsid w:val="00B5260A"/>
    <w:rsid w:val="00B53CB2"/>
    <w:rsid w:val="00B53EA9"/>
    <w:rsid w:val="00B54823"/>
    <w:rsid w:val="00B55064"/>
    <w:rsid w:val="00B5724C"/>
    <w:rsid w:val="00B614B4"/>
    <w:rsid w:val="00B623FC"/>
    <w:rsid w:val="00B625C4"/>
    <w:rsid w:val="00B6465A"/>
    <w:rsid w:val="00B64AC8"/>
    <w:rsid w:val="00B65610"/>
    <w:rsid w:val="00B660A7"/>
    <w:rsid w:val="00B6610B"/>
    <w:rsid w:val="00B66727"/>
    <w:rsid w:val="00B66938"/>
    <w:rsid w:val="00B66F34"/>
    <w:rsid w:val="00B70039"/>
    <w:rsid w:val="00B7066A"/>
    <w:rsid w:val="00B70D55"/>
    <w:rsid w:val="00B72935"/>
    <w:rsid w:val="00B72C0B"/>
    <w:rsid w:val="00B72F9F"/>
    <w:rsid w:val="00B7366A"/>
    <w:rsid w:val="00B73AE6"/>
    <w:rsid w:val="00B7441E"/>
    <w:rsid w:val="00B74F3A"/>
    <w:rsid w:val="00B74FEE"/>
    <w:rsid w:val="00B76F98"/>
    <w:rsid w:val="00B774F5"/>
    <w:rsid w:val="00B808A2"/>
    <w:rsid w:val="00B80D1B"/>
    <w:rsid w:val="00B81C29"/>
    <w:rsid w:val="00B82CD2"/>
    <w:rsid w:val="00B844CD"/>
    <w:rsid w:val="00B854CA"/>
    <w:rsid w:val="00B86520"/>
    <w:rsid w:val="00B868EA"/>
    <w:rsid w:val="00B86F61"/>
    <w:rsid w:val="00B86FE1"/>
    <w:rsid w:val="00B87192"/>
    <w:rsid w:val="00B87299"/>
    <w:rsid w:val="00B90162"/>
    <w:rsid w:val="00B9180D"/>
    <w:rsid w:val="00B91EA0"/>
    <w:rsid w:val="00B931A9"/>
    <w:rsid w:val="00B936FC"/>
    <w:rsid w:val="00B93B21"/>
    <w:rsid w:val="00B95DC3"/>
    <w:rsid w:val="00B969EC"/>
    <w:rsid w:val="00B96E3F"/>
    <w:rsid w:val="00B97395"/>
    <w:rsid w:val="00B97805"/>
    <w:rsid w:val="00B978DD"/>
    <w:rsid w:val="00B97DBE"/>
    <w:rsid w:val="00BA2E92"/>
    <w:rsid w:val="00BA5204"/>
    <w:rsid w:val="00BA5360"/>
    <w:rsid w:val="00BA5546"/>
    <w:rsid w:val="00BA668F"/>
    <w:rsid w:val="00BA7BB4"/>
    <w:rsid w:val="00BB068B"/>
    <w:rsid w:val="00BB0CE1"/>
    <w:rsid w:val="00BB1338"/>
    <w:rsid w:val="00BB1CDF"/>
    <w:rsid w:val="00BB25B4"/>
    <w:rsid w:val="00BB269D"/>
    <w:rsid w:val="00BB31C2"/>
    <w:rsid w:val="00BB50F6"/>
    <w:rsid w:val="00BB57B0"/>
    <w:rsid w:val="00BB5C1D"/>
    <w:rsid w:val="00BB5FD3"/>
    <w:rsid w:val="00BB667D"/>
    <w:rsid w:val="00BB6DCD"/>
    <w:rsid w:val="00BB7151"/>
    <w:rsid w:val="00BB7D4E"/>
    <w:rsid w:val="00BC08A2"/>
    <w:rsid w:val="00BC0F85"/>
    <w:rsid w:val="00BC235B"/>
    <w:rsid w:val="00BC29CA"/>
    <w:rsid w:val="00BC32FF"/>
    <w:rsid w:val="00BC7AD2"/>
    <w:rsid w:val="00BD0CEB"/>
    <w:rsid w:val="00BD1444"/>
    <w:rsid w:val="00BD1588"/>
    <w:rsid w:val="00BD244A"/>
    <w:rsid w:val="00BD2520"/>
    <w:rsid w:val="00BD3C2A"/>
    <w:rsid w:val="00BD3CD7"/>
    <w:rsid w:val="00BD5672"/>
    <w:rsid w:val="00BD577D"/>
    <w:rsid w:val="00BD64C6"/>
    <w:rsid w:val="00BD7A44"/>
    <w:rsid w:val="00BE1182"/>
    <w:rsid w:val="00BE26B7"/>
    <w:rsid w:val="00BE2A4B"/>
    <w:rsid w:val="00BE2C4E"/>
    <w:rsid w:val="00BE4693"/>
    <w:rsid w:val="00BE58E5"/>
    <w:rsid w:val="00BE5B33"/>
    <w:rsid w:val="00BE61DC"/>
    <w:rsid w:val="00BE68F6"/>
    <w:rsid w:val="00BE7650"/>
    <w:rsid w:val="00BE7D2B"/>
    <w:rsid w:val="00BE7D5B"/>
    <w:rsid w:val="00BF0395"/>
    <w:rsid w:val="00BF0FAB"/>
    <w:rsid w:val="00BF19B2"/>
    <w:rsid w:val="00BF2BAC"/>
    <w:rsid w:val="00BF3188"/>
    <w:rsid w:val="00BF4B7A"/>
    <w:rsid w:val="00BF732E"/>
    <w:rsid w:val="00BF75D2"/>
    <w:rsid w:val="00BF7860"/>
    <w:rsid w:val="00BF7F71"/>
    <w:rsid w:val="00C0050C"/>
    <w:rsid w:val="00C008E6"/>
    <w:rsid w:val="00C00BD4"/>
    <w:rsid w:val="00C0180E"/>
    <w:rsid w:val="00C022D2"/>
    <w:rsid w:val="00C0291C"/>
    <w:rsid w:val="00C04524"/>
    <w:rsid w:val="00C05199"/>
    <w:rsid w:val="00C056AB"/>
    <w:rsid w:val="00C05EF1"/>
    <w:rsid w:val="00C06711"/>
    <w:rsid w:val="00C06EAD"/>
    <w:rsid w:val="00C07822"/>
    <w:rsid w:val="00C10F04"/>
    <w:rsid w:val="00C11B33"/>
    <w:rsid w:val="00C14AE1"/>
    <w:rsid w:val="00C14E54"/>
    <w:rsid w:val="00C15EAF"/>
    <w:rsid w:val="00C171F8"/>
    <w:rsid w:val="00C17BA2"/>
    <w:rsid w:val="00C20217"/>
    <w:rsid w:val="00C207D7"/>
    <w:rsid w:val="00C20FBE"/>
    <w:rsid w:val="00C221DC"/>
    <w:rsid w:val="00C2349F"/>
    <w:rsid w:val="00C25735"/>
    <w:rsid w:val="00C25C02"/>
    <w:rsid w:val="00C25CBC"/>
    <w:rsid w:val="00C2697D"/>
    <w:rsid w:val="00C26C90"/>
    <w:rsid w:val="00C26D90"/>
    <w:rsid w:val="00C2794E"/>
    <w:rsid w:val="00C3038A"/>
    <w:rsid w:val="00C31120"/>
    <w:rsid w:val="00C328B8"/>
    <w:rsid w:val="00C32AB8"/>
    <w:rsid w:val="00C32DCE"/>
    <w:rsid w:val="00C33B11"/>
    <w:rsid w:val="00C3570A"/>
    <w:rsid w:val="00C37392"/>
    <w:rsid w:val="00C374D7"/>
    <w:rsid w:val="00C374EC"/>
    <w:rsid w:val="00C428CA"/>
    <w:rsid w:val="00C42FF3"/>
    <w:rsid w:val="00C43C1B"/>
    <w:rsid w:val="00C464A4"/>
    <w:rsid w:val="00C475D4"/>
    <w:rsid w:val="00C50FA9"/>
    <w:rsid w:val="00C51164"/>
    <w:rsid w:val="00C51678"/>
    <w:rsid w:val="00C52015"/>
    <w:rsid w:val="00C52B7F"/>
    <w:rsid w:val="00C539FB"/>
    <w:rsid w:val="00C5433E"/>
    <w:rsid w:val="00C54690"/>
    <w:rsid w:val="00C54BAD"/>
    <w:rsid w:val="00C56915"/>
    <w:rsid w:val="00C57A93"/>
    <w:rsid w:val="00C57C63"/>
    <w:rsid w:val="00C6071F"/>
    <w:rsid w:val="00C60B79"/>
    <w:rsid w:val="00C61188"/>
    <w:rsid w:val="00C6211E"/>
    <w:rsid w:val="00C6277D"/>
    <w:rsid w:val="00C63041"/>
    <w:rsid w:val="00C64C6C"/>
    <w:rsid w:val="00C655C9"/>
    <w:rsid w:val="00C6573B"/>
    <w:rsid w:val="00C65E85"/>
    <w:rsid w:val="00C66F20"/>
    <w:rsid w:val="00C713F3"/>
    <w:rsid w:val="00C73BD4"/>
    <w:rsid w:val="00C73DE7"/>
    <w:rsid w:val="00C747EC"/>
    <w:rsid w:val="00C750C4"/>
    <w:rsid w:val="00C769FD"/>
    <w:rsid w:val="00C77221"/>
    <w:rsid w:val="00C7769A"/>
    <w:rsid w:val="00C77E11"/>
    <w:rsid w:val="00C80ADF"/>
    <w:rsid w:val="00C811A1"/>
    <w:rsid w:val="00C82100"/>
    <w:rsid w:val="00C82953"/>
    <w:rsid w:val="00C8359E"/>
    <w:rsid w:val="00C836F6"/>
    <w:rsid w:val="00C839DF"/>
    <w:rsid w:val="00C84903"/>
    <w:rsid w:val="00C86247"/>
    <w:rsid w:val="00C8702A"/>
    <w:rsid w:val="00C8746F"/>
    <w:rsid w:val="00C87DF7"/>
    <w:rsid w:val="00C9046D"/>
    <w:rsid w:val="00C92277"/>
    <w:rsid w:val="00C94744"/>
    <w:rsid w:val="00C9496A"/>
    <w:rsid w:val="00C94CC2"/>
    <w:rsid w:val="00C97911"/>
    <w:rsid w:val="00CA1EA8"/>
    <w:rsid w:val="00CA2014"/>
    <w:rsid w:val="00CA2479"/>
    <w:rsid w:val="00CA2822"/>
    <w:rsid w:val="00CA2896"/>
    <w:rsid w:val="00CA309A"/>
    <w:rsid w:val="00CA3F53"/>
    <w:rsid w:val="00CA499A"/>
    <w:rsid w:val="00CA4B52"/>
    <w:rsid w:val="00CA4B98"/>
    <w:rsid w:val="00CA683D"/>
    <w:rsid w:val="00CB067E"/>
    <w:rsid w:val="00CB06F5"/>
    <w:rsid w:val="00CB0F1D"/>
    <w:rsid w:val="00CB1035"/>
    <w:rsid w:val="00CB159C"/>
    <w:rsid w:val="00CB1CB6"/>
    <w:rsid w:val="00CB2B68"/>
    <w:rsid w:val="00CB3D96"/>
    <w:rsid w:val="00CB495F"/>
    <w:rsid w:val="00CB6A91"/>
    <w:rsid w:val="00CB7D34"/>
    <w:rsid w:val="00CC000A"/>
    <w:rsid w:val="00CC0148"/>
    <w:rsid w:val="00CC139F"/>
    <w:rsid w:val="00CC229B"/>
    <w:rsid w:val="00CC27DF"/>
    <w:rsid w:val="00CC3C60"/>
    <w:rsid w:val="00CC3D23"/>
    <w:rsid w:val="00CC46E3"/>
    <w:rsid w:val="00CC511C"/>
    <w:rsid w:val="00CC674B"/>
    <w:rsid w:val="00CC765D"/>
    <w:rsid w:val="00CD06FC"/>
    <w:rsid w:val="00CD3AE9"/>
    <w:rsid w:val="00CD3B47"/>
    <w:rsid w:val="00CD4A13"/>
    <w:rsid w:val="00CD4C4C"/>
    <w:rsid w:val="00CD58C3"/>
    <w:rsid w:val="00CD7AEC"/>
    <w:rsid w:val="00CE07B8"/>
    <w:rsid w:val="00CE2271"/>
    <w:rsid w:val="00CE4735"/>
    <w:rsid w:val="00CE48F6"/>
    <w:rsid w:val="00CE5527"/>
    <w:rsid w:val="00CE5648"/>
    <w:rsid w:val="00CE5EF7"/>
    <w:rsid w:val="00CF0A51"/>
    <w:rsid w:val="00CF4B44"/>
    <w:rsid w:val="00CF5E88"/>
    <w:rsid w:val="00D00133"/>
    <w:rsid w:val="00D00268"/>
    <w:rsid w:val="00D0162E"/>
    <w:rsid w:val="00D024A3"/>
    <w:rsid w:val="00D02755"/>
    <w:rsid w:val="00D0360E"/>
    <w:rsid w:val="00D03A69"/>
    <w:rsid w:val="00D06353"/>
    <w:rsid w:val="00D06463"/>
    <w:rsid w:val="00D07350"/>
    <w:rsid w:val="00D07962"/>
    <w:rsid w:val="00D109C9"/>
    <w:rsid w:val="00D112C8"/>
    <w:rsid w:val="00D11DA3"/>
    <w:rsid w:val="00D12D2E"/>
    <w:rsid w:val="00D12E84"/>
    <w:rsid w:val="00D150D8"/>
    <w:rsid w:val="00D15A98"/>
    <w:rsid w:val="00D16DC7"/>
    <w:rsid w:val="00D17509"/>
    <w:rsid w:val="00D1764F"/>
    <w:rsid w:val="00D17AFF"/>
    <w:rsid w:val="00D20930"/>
    <w:rsid w:val="00D20AAC"/>
    <w:rsid w:val="00D20AD6"/>
    <w:rsid w:val="00D21874"/>
    <w:rsid w:val="00D21D73"/>
    <w:rsid w:val="00D224C6"/>
    <w:rsid w:val="00D22BAC"/>
    <w:rsid w:val="00D23055"/>
    <w:rsid w:val="00D2325E"/>
    <w:rsid w:val="00D23DD4"/>
    <w:rsid w:val="00D24F1B"/>
    <w:rsid w:val="00D25283"/>
    <w:rsid w:val="00D25D5A"/>
    <w:rsid w:val="00D26097"/>
    <w:rsid w:val="00D26189"/>
    <w:rsid w:val="00D277D5"/>
    <w:rsid w:val="00D2783B"/>
    <w:rsid w:val="00D305A0"/>
    <w:rsid w:val="00D30B91"/>
    <w:rsid w:val="00D318CD"/>
    <w:rsid w:val="00D32B15"/>
    <w:rsid w:val="00D34043"/>
    <w:rsid w:val="00D3577B"/>
    <w:rsid w:val="00D35BDC"/>
    <w:rsid w:val="00D41451"/>
    <w:rsid w:val="00D42388"/>
    <w:rsid w:val="00D42AB1"/>
    <w:rsid w:val="00D43D07"/>
    <w:rsid w:val="00D448B9"/>
    <w:rsid w:val="00D44F71"/>
    <w:rsid w:val="00D46F04"/>
    <w:rsid w:val="00D47DA2"/>
    <w:rsid w:val="00D500D3"/>
    <w:rsid w:val="00D50268"/>
    <w:rsid w:val="00D5070F"/>
    <w:rsid w:val="00D52149"/>
    <w:rsid w:val="00D52C0D"/>
    <w:rsid w:val="00D52F3B"/>
    <w:rsid w:val="00D55249"/>
    <w:rsid w:val="00D567DF"/>
    <w:rsid w:val="00D578D2"/>
    <w:rsid w:val="00D61A57"/>
    <w:rsid w:val="00D61C0D"/>
    <w:rsid w:val="00D624EC"/>
    <w:rsid w:val="00D62F45"/>
    <w:rsid w:val="00D630C0"/>
    <w:rsid w:val="00D635A6"/>
    <w:rsid w:val="00D635E1"/>
    <w:rsid w:val="00D64BA7"/>
    <w:rsid w:val="00D6679E"/>
    <w:rsid w:val="00D67A6B"/>
    <w:rsid w:val="00D704C9"/>
    <w:rsid w:val="00D71601"/>
    <w:rsid w:val="00D718BC"/>
    <w:rsid w:val="00D734CF"/>
    <w:rsid w:val="00D73E15"/>
    <w:rsid w:val="00D740EA"/>
    <w:rsid w:val="00D742AD"/>
    <w:rsid w:val="00D743F0"/>
    <w:rsid w:val="00D75149"/>
    <w:rsid w:val="00D75CA0"/>
    <w:rsid w:val="00D76EB7"/>
    <w:rsid w:val="00D80FF5"/>
    <w:rsid w:val="00D83F72"/>
    <w:rsid w:val="00D8448D"/>
    <w:rsid w:val="00D847F0"/>
    <w:rsid w:val="00D85555"/>
    <w:rsid w:val="00D85A50"/>
    <w:rsid w:val="00D87465"/>
    <w:rsid w:val="00D8761E"/>
    <w:rsid w:val="00D905E9"/>
    <w:rsid w:val="00D90D52"/>
    <w:rsid w:val="00D9189F"/>
    <w:rsid w:val="00D91C6B"/>
    <w:rsid w:val="00D91FFA"/>
    <w:rsid w:val="00D92677"/>
    <w:rsid w:val="00D93001"/>
    <w:rsid w:val="00D93F49"/>
    <w:rsid w:val="00D94607"/>
    <w:rsid w:val="00D95181"/>
    <w:rsid w:val="00D958C2"/>
    <w:rsid w:val="00D95AA7"/>
    <w:rsid w:val="00D96B5F"/>
    <w:rsid w:val="00D976DC"/>
    <w:rsid w:val="00DA1184"/>
    <w:rsid w:val="00DA1562"/>
    <w:rsid w:val="00DA1D60"/>
    <w:rsid w:val="00DA2CF2"/>
    <w:rsid w:val="00DA3717"/>
    <w:rsid w:val="00DA3FDE"/>
    <w:rsid w:val="00DA468F"/>
    <w:rsid w:val="00DA482C"/>
    <w:rsid w:val="00DA5AB7"/>
    <w:rsid w:val="00DA5B27"/>
    <w:rsid w:val="00DA6F0D"/>
    <w:rsid w:val="00DB0A99"/>
    <w:rsid w:val="00DB2413"/>
    <w:rsid w:val="00DB2E22"/>
    <w:rsid w:val="00DB3458"/>
    <w:rsid w:val="00DB3EFD"/>
    <w:rsid w:val="00DB4BF8"/>
    <w:rsid w:val="00DB4C44"/>
    <w:rsid w:val="00DB6C05"/>
    <w:rsid w:val="00DB7995"/>
    <w:rsid w:val="00DC091A"/>
    <w:rsid w:val="00DC09FA"/>
    <w:rsid w:val="00DC0EC2"/>
    <w:rsid w:val="00DC2260"/>
    <w:rsid w:val="00DC28C9"/>
    <w:rsid w:val="00DC3990"/>
    <w:rsid w:val="00DC4BE8"/>
    <w:rsid w:val="00DC5BE1"/>
    <w:rsid w:val="00DC7BC8"/>
    <w:rsid w:val="00DD131C"/>
    <w:rsid w:val="00DD1798"/>
    <w:rsid w:val="00DD2967"/>
    <w:rsid w:val="00DD2B16"/>
    <w:rsid w:val="00DD31FF"/>
    <w:rsid w:val="00DD51F0"/>
    <w:rsid w:val="00DD5662"/>
    <w:rsid w:val="00DD58EA"/>
    <w:rsid w:val="00DD691A"/>
    <w:rsid w:val="00DD71A1"/>
    <w:rsid w:val="00DE02A5"/>
    <w:rsid w:val="00DE217D"/>
    <w:rsid w:val="00DE2F48"/>
    <w:rsid w:val="00DE304B"/>
    <w:rsid w:val="00DE5203"/>
    <w:rsid w:val="00DE61E1"/>
    <w:rsid w:val="00DE7677"/>
    <w:rsid w:val="00DF00D7"/>
    <w:rsid w:val="00DF039A"/>
    <w:rsid w:val="00DF069D"/>
    <w:rsid w:val="00DF13F2"/>
    <w:rsid w:val="00DF1BB7"/>
    <w:rsid w:val="00DF2865"/>
    <w:rsid w:val="00DF3691"/>
    <w:rsid w:val="00DF4B2F"/>
    <w:rsid w:val="00DF521A"/>
    <w:rsid w:val="00DF5269"/>
    <w:rsid w:val="00DF5281"/>
    <w:rsid w:val="00DF5A1C"/>
    <w:rsid w:val="00DF6B3F"/>
    <w:rsid w:val="00E010ED"/>
    <w:rsid w:val="00E012D6"/>
    <w:rsid w:val="00E015E6"/>
    <w:rsid w:val="00E03609"/>
    <w:rsid w:val="00E03D95"/>
    <w:rsid w:val="00E04218"/>
    <w:rsid w:val="00E04B50"/>
    <w:rsid w:val="00E05203"/>
    <w:rsid w:val="00E0679E"/>
    <w:rsid w:val="00E079AF"/>
    <w:rsid w:val="00E07A25"/>
    <w:rsid w:val="00E1088B"/>
    <w:rsid w:val="00E10949"/>
    <w:rsid w:val="00E10EF0"/>
    <w:rsid w:val="00E11AE6"/>
    <w:rsid w:val="00E120E5"/>
    <w:rsid w:val="00E126BD"/>
    <w:rsid w:val="00E139E3"/>
    <w:rsid w:val="00E13AE8"/>
    <w:rsid w:val="00E17B37"/>
    <w:rsid w:val="00E17D88"/>
    <w:rsid w:val="00E17DF8"/>
    <w:rsid w:val="00E20107"/>
    <w:rsid w:val="00E20148"/>
    <w:rsid w:val="00E208FB"/>
    <w:rsid w:val="00E21903"/>
    <w:rsid w:val="00E2193F"/>
    <w:rsid w:val="00E21EF4"/>
    <w:rsid w:val="00E233BB"/>
    <w:rsid w:val="00E24B05"/>
    <w:rsid w:val="00E250FC"/>
    <w:rsid w:val="00E25240"/>
    <w:rsid w:val="00E25A32"/>
    <w:rsid w:val="00E25AA4"/>
    <w:rsid w:val="00E26600"/>
    <w:rsid w:val="00E267B6"/>
    <w:rsid w:val="00E26A78"/>
    <w:rsid w:val="00E301CE"/>
    <w:rsid w:val="00E30E87"/>
    <w:rsid w:val="00E31290"/>
    <w:rsid w:val="00E31463"/>
    <w:rsid w:val="00E321C8"/>
    <w:rsid w:val="00E32999"/>
    <w:rsid w:val="00E32DCA"/>
    <w:rsid w:val="00E34520"/>
    <w:rsid w:val="00E34617"/>
    <w:rsid w:val="00E418BC"/>
    <w:rsid w:val="00E4322B"/>
    <w:rsid w:val="00E432EA"/>
    <w:rsid w:val="00E43E70"/>
    <w:rsid w:val="00E44EA7"/>
    <w:rsid w:val="00E47122"/>
    <w:rsid w:val="00E475E8"/>
    <w:rsid w:val="00E478AC"/>
    <w:rsid w:val="00E50D73"/>
    <w:rsid w:val="00E50E01"/>
    <w:rsid w:val="00E5121B"/>
    <w:rsid w:val="00E53C90"/>
    <w:rsid w:val="00E53DB7"/>
    <w:rsid w:val="00E54B9C"/>
    <w:rsid w:val="00E54E09"/>
    <w:rsid w:val="00E55532"/>
    <w:rsid w:val="00E56359"/>
    <w:rsid w:val="00E563A9"/>
    <w:rsid w:val="00E56A84"/>
    <w:rsid w:val="00E56ADD"/>
    <w:rsid w:val="00E56C1D"/>
    <w:rsid w:val="00E60092"/>
    <w:rsid w:val="00E6040E"/>
    <w:rsid w:val="00E604E9"/>
    <w:rsid w:val="00E609A0"/>
    <w:rsid w:val="00E61CE9"/>
    <w:rsid w:val="00E62973"/>
    <w:rsid w:val="00E63C49"/>
    <w:rsid w:val="00E63E07"/>
    <w:rsid w:val="00E647B8"/>
    <w:rsid w:val="00E64B9D"/>
    <w:rsid w:val="00E65DDC"/>
    <w:rsid w:val="00E66AF5"/>
    <w:rsid w:val="00E67232"/>
    <w:rsid w:val="00E70250"/>
    <w:rsid w:val="00E711FE"/>
    <w:rsid w:val="00E71274"/>
    <w:rsid w:val="00E725E8"/>
    <w:rsid w:val="00E732DC"/>
    <w:rsid w:val="00E7379A"/>
    <w:rsid w:val="00E73BE2"/>
    <w:rsid w:val="00E740BC"/>
    <w:rsid w:val="00E74171"/>
    <w:rsid w:val="00E74E06"/>
    <w:rsid w:val="00E74E7E"/>
    <w:rsid w:val="00E74F14"/>
    <w:rsid w:val="00E752A3"/>
    <w:rsid w:val="00E754D1"/>
    <w:rsid w:val="00E800B7"/>
    <w:rsid w:val="00E80C63"/>
    <w:rsid w:val="00E83C48"/>
    <w:rsid w:val="00E854DE"/>
    <w:rsid w:val="00E869D4"/>
    <w:rsid w:val="00E86B23"/>
    <w:rsid w:val="00E8772F"/>
    <w:rsid w:val="00E90385"/>
    <w:rsid w:val="00E90CFE"/>
    <w:rsid w:val="00E91500"/>
    <w:rsid w:val="00E92C73"/>
    <w:rsid w:val="00E93F14"/>
    <w:rsid w:val="00E93FBE"/>
    <w:rsid w:val="00E94794"/>
    <w:rsid w:val="00E94CD2"/>
    <w:rsid w:val="00E956E1"/>
    <w:rsid w:val="00E9694C"/>
    <w:rsid w:val="00E974D1"/>
    <w:rsid w:val="00EA3190"/>
    <w:rsid w:val="00EA4088"/>
    <w:rsid w:val="00EA4612"/>
    <w:rsid w:val="00EA5A43"/>
    <w:rsid w:val="00EA69EF"/>
    <w:rsid w:val="00EA7A30"/>
    <w:rsid w:val="00EB0702"/>
    <w:rsid w:val="00EB0B90"/>
    <w:rsid w:val="00EB2D45"/>
    <w:rsid w:val="00EB36E2"/>
    <w:rsid w:val="00EB402F"/>
    <w:rsid w:val="00EB6B3A"/>
    <w:rsid w:val="00EB6E8D"/>
    <w:rsid w:val="00EB7C07"/>
    <w:rsid w:val="00EB7CBD"/>
    <w:rsid w:val="00EC0723"/>
    <w:rsid w:val="00EC07C0"/>
    <w:rsid w:val="00EC0C99"/>
    <w:rsid w:val="00EC26F7"/>
    <w:rsid w:val="00EC2794"/>
    <w:rsid w:val="00EC3176"/>
    <w:rsid w:val="00EC3486"/>
    <w:rsid w:val="00EC3C13"/>
    <w:rsid w:val="00EC44D8"/>
    <w:rsid w:val="00EC5042"/>
    <w:rsid w:val="00EC745B"/>
    <w:rsid w:val="00ED0333"/>
    <w:rsid w:val="00ED0D6A"/>
    <w:rsid w:val="00ED12D3"/>
    <w:rsid w:val="00ED2849"/>
    <w:rsid w:val="00ED4197"/>
    <w:rsid w:val="00ED48FE"/>
    <w:rsid w:val="00ED553D"/>
    <w:rsid w:val="00ED5B21"/>
    <w:rsid w:val="00ED610D"/>
    <w:rsid w:val="00ED744C"/>
    <w:rsid w:val="00ED78A8"/>
    <w:rsid w:val="00ED7EBB"/>
    <w:rsid w:val="00EE0D87"/>
    <w:rsid w:val="00EE1FCE"/>
    <w:rsid w:val="00EE238E"/>
    <w:rsid w:val="00EE25C0"/>
    <w:rsid w:val="00EE28BA"/>
    <w:rsid w:val="00EE3196"/>
    <w:rsid w:val="00EE34E6"/>
    <w:rsid w:val="00EE3559"/>
    <w:rsid w:val="00EE3BAB"/>
    <w:rsid w:val="00EE41B3"/>
    <w:rsid w:val="00EE4AAD"/>
    <w:rsid w:val="00EE4F62"/>
    <w:rsid w:val="00EE6387"/>
    <w:rsid w:val="00EE6E26"/>
    <w:rsid w:val="00EE6F7C"/>
    <w:rsid w:val="00EF0525"/>
    <w:rsid w:val="00EF1576"/>
    <w:rsid w:val="00EF25B4"/>
    <w:rsid w:val="00EF3050"/>
    <w:rsid w:val="00EF35A3"/>
    <w:rsid w:val="00EF538A"/>
    <w:rsid w:val="00EF6B26"/>
    <w:rsid w:val="00F015FD"/>
    <w:rsid w:val="00F02C76"/>
    <w:rsid w:val="00F0497A"/>
    <w:rsid w:val="00F0581A"/>
    <w:rsid w:val="00F05CC0"/>
    <w:rsid w:val="00F06AFD"/>
    <w:rsid w:val="00F07237"/>
    <w:rsid w:val="00F07FC6"/>
    <w:rsid w:val="00F11317"/>
    <w:rsid w:val="00F15169"/>
    <w:rsid w:val="00F16095"/>
    <w:rsid w:val="00F16563"/>
    <w:rsid w:val="00F17207"/>
    <w:rsid w:val="00F17482"/>
    <w:rsid w:val="00F216CC"/>
    <w:rsid w:val="00F22747"/>
    <w:rsid w:val="00F22799"/>
    <w:rsid w:val="00F23CDD"/>
    <w:rsid w:val="00F26130"/>
    <w:rsid w:val="00F26990"/>
    <w:rsid w:val="00F26C7A"/>
    <w:rsid w:val="00F26D97"/>
    <w:rsid w:val="00F26FF0"/>
    <w:rsid w:val="00F27F6D"/>
    <w:rsid w:val="00F30FD1"/>
    <w:rsid w:val="00F312AD"/>
    <w:rsid w:val="00F3231E"/>
    <w:rsid w:val="00F343CC"/>
    <w:rsid w:val="00F36DB9"/>
    <w:rsid w:val="00F374AB"/>
    <w:rsid w:val="00F37C35"/>
    <w:rsid w:val="00F403BA"/>
    <w:rsid w:val="00F406D8"/>
    <w:rsid w:val="00F41A4D"/>
    <w:rsid w:val="00F41BF3"/>
    <w:rsid w:val="00F441A9"/>
    <w:rsid w:val="00F442F9"/>
    <w:rsid w:val="00F45938"/>
    <w:rsid w:val="00F46896"/>
    <w:rsid w:val="00F46DBD"/>
    <w:rsid w:val="00F5141D"/>
    <w:rsid w:val="00F51A80"/>
    <w:rsid w:val="00F51DE2"/>
    <w:rsid w:val="00F54A49"/>
    <w:rsid w:val="00F55CAE"/>
    <w:rsid w:val="00F570D3"/>
    <w:rsid w:val="00F601D5"/>
    <w:rsid w:val="00F60229"/>
    <w:rsid w:val="00F62C61"/>
    <w:rsid w:val="00F62FA9"/>
    <w:rsid w:val="00F63036"/>
    <w:rsid w:val="00F630CE"/>
    <w:rsid w:val="00F63AA1"/>
    <w:rsid w:val="00F642E8"/>
    <w:rsid w:val="00F65AE6"/>
    <w:rsid w:val="00F66153"/>
    <w:rsid w:val="00F661D2"/>
    <w:rsid w:val="00F701F0"/>
    <w:rsid w:val="00F71B99"/>
    <w:rsid w:val="00F72181"/>
    <w:rsid w:val="00F730D0"/>
    <w:rsid w:val="00F73AA6"/>
    <w:rsid w:val="00F73DCD"/>
    <w:rsid w:val="00F74432"/>
    <w:rsid w:val="00F748B6"/>
    <w:rsid w:val="00F75BF8"/>
    <w:rsid w:val="00F764EE"/>
    <w:rsid w:val="00F76AAC"/>
    <w:rsid w:val="00F7707E"/>
    <w:rsid w:val="00F770C1"/>
    <w:rsid w:val="00F77BCB"/>
    <w:rsid w:val="00F81129"/>
    <w:rsid w:val="00F81722"/>
    <w:rsid w:val="00F81D7E"/>
    <w:rsid w:val="00F82879"/>
    <w:rsid w:val="00F82CE4"/>
    <w:rsid w:val="00F82E70"/>
    <w:rsid w:val="00F831F9"/>
    <w:rsid w:val="00F8481B"/>
    <w:rsid w:val="00F859A3"/>
    <w:rsid w:val="00F85ACA"/>
    <w:rsid w:val="00F866F6"/>
    <w:rsid w:val="00F87113"/>
    <w:rsid w:val="00F87598"/>
    <w:rsid w:val="00F87D01"/>
    <w:rsid w:val="00F9035B"/>
    <w:rsid w:val="00F90A5E"/>
    <w:rsid w:val="00F915A4"/>
    <w:rsid w:val="00F91AFA"/>
    <w:rsid w:val="00F92C43"/>
    <w:rsid w:val="00F93005"/>
    <w:rsid w:val="00F94A0F"/>
    <w:rsid w:val="00F95C94"/>
    <w:rsid w:val="00F95CAF"/>
    <w:rsid w:val="00F9643D"/>
    <w:rsid w:val="00F965DD"/>
    <w:rsid w:val="00F970A7"/>
    <w:rsid w:val="00F97EA1"/>
    <w:rsid w:val="00F97EFD"/>
    <w:rsid w:val="00FA001D"/>
    <w:rsid w:val="00FA1574"/>
    <w:rsid w:val="00FA395C"/>
    <w:rsid w:val="00FA3982"/>
    <w:rsid w:val="00FA4538"/>
    <w:rsid w:val="00FA5400"/>
    <w:rsid w:val="00FA61C1"/>
    <w:rsid w:val="00FA6E60"/>
    <w:rsid w:val="00FB09BC"/>
    <w:rsid w:val="00FB0B4A"/>
    <w:rsid w:val="00FB15BC"/>
    <w:rsid w:val="00FB18FB"/>
    <w:rsid w:val="00FB2077"/>
    <w:rsid w:val="00FB2D39"/>
    <w:rsid w:val="00FB2D5D"/>
    <w:rsid w:val="00FB2D62"/>
    <w:rsid w:val="00FB2FB2"/>
    <w:rsid w:val="00FB3DD6"/>
    <w:rsid w:val="00FB50F9"/>
    <w:rsid w:val="00FB51A6"/>
    <w:rsid w:val="00FB63C7"/>
    <w:rsid w:val="00FB70E5"/>
    <w:rsid w:val="00FB71C8"/>
    <w:rsid w:val="00FB71F0"/>
    <w:rsid w:val="00FB76F7"/>
    <w:rsid w:val="00FB7C81"/>
    <w:rsid w:val="00FC0391"/>
    <w:rsid w:val="00FC19B3"/>
    <w:rsid w:val="00FC1C95"/>
    <w:rsid w:val="00FC288E"/>
    <w:rsid w:val="00FC2BDC"/>
    <w:rsid w:val="00FC32D1"/>
    <w:rsid w:val="00FC3924"/>
    <w:rsid w:val="00FC5522"/>
    <w:rsid w:val="00FC5A53"/>
    <w:rsid w:val="00FC6097"/>
    <w:rsid w:val="00FC6407"/>
    <w:rsid w:val="00FC64C7"/>
    <w:rsid w:val="00FC70B4"/>
    <w:rsid w:val="00FC78BD"/>
    <w:rsid w:val="00FD28DC"/>
    <w:rsid w:val="00FD2F23"/>
    <w:rsid w:val="00FD2F6F"/>
    <w:rsid w:val="00FD4441"/>
    <w:rsid w:val="00FD4461"/>
    <w:rsid w:val="00FD501A"/>
    <w:rsid w:val="00FD55FD"/>
    <w:rsid w:val="00FE04A2"/>
    <w:rsid w:val="00FE071B"/>
    <w:rsid w:val="00FE075C"/>
    <w:rsid w:val="00FE0AC2"/>
    <w:rsid w:val="00FE0CD4"/>
    <w:rsid w:val="00FE0ED6"/>
    <w:rsid w:val="00FE1957"/>
    <w:rsid w:val="00FE29B7"/>
    <w:rsid w:val="00FE3794"/>
    <w:rsid w:val="00FE39FB"/>
    <w:rsid w:val="00FE42BC"/>
    <w:rsid w:val="00FE4EBA"/>
    <w:rsid w:val="00FE5013"/>
    <w:rsid w:val="00FE5682"/>
    <w:rsid w:val="00FE5AB9"/>
    <w:rsid w:val="00FE619A"/>
    <w:rsid w:val="00FE6B1B"/>
    <w:rsid w:val="00FE6F64"/>
    <w:rsid w:val="00FE730F"/>
    <w:rsid w:val="00FF0A48"/>
    <w:rsid w:val="00FF1404"/>
    <w:rsid w:val="00FF1A43"/>
    <w:rsid w:val="00FF2007"/>
    <w:rsid w:val="00FF20BC"/>
    <w:rsid w:val="00FF3C30"/>
    <w:rsid w:val="00FF4694"/>
    <w:rsid w:val="00FF4A15"/>
    <w:rsid w:val="00FF4CDA"/>
    <w:rsid w:val="00FF59E8"/>
    <w:rsid w:val="00FF6D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F5B4DD"/>
  <w15:docId w15:val="{CEC10098-42AC-4F08-A4CC-AB6D5D8CB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4C7D"/>
    <w:pPr>
      <w:spacing w:before="200" w:after="200" w:line="276" w:lineRule="auto"/>
    </w:pPr>
    <w:rPr>
      <w:rFonts w:asciiTheme="minorHAnsi" w:eastAsiaTheme="minorEastAsia" w:hAnsiTheme="minorHAnsi" w:cstheme="minorBidi"/>
    </w:rPr>
  </w:style>
  <w:style w:type="paragraph" w:styleId="Heading1">
    <w:name w:val="heading 1"/>
    <w:basedOn w:val="Normal"/>
    <w:next w:val="Normal"/>
    <w:link w:val="Heading1Char"/>
    <w:uiPriority w:val="9"/>
    <w:qFormat/>
    <w:rsid w:val="008238A1"/>
    <w:pPr>
      <w:keepNext/>
      <w:pBdr>
        <w:top w:val="single" w:sz="24" w:space="0" w:color="1CADE4"/>
        <w:left w:val="single" w:sz="24" w:space="0" w:color="1CADE4"/>
        <w:bottom w:val="single" w:sz="24" w:space="0" w:color="1CADE4"/>
        <w:right w:val="single" w:sz="24" w:space="0" w:color="1CADE4"/>
      </w:pBdr>
      <w:shd w:val="clear" w:color="auto" w:fill="1CADE4"/>
      <w:spacing w:after="0"/>
      <w:outlineLvl w:val="0"/>
    </w:pPr>
    <w:rPr>
      <w:rFonts w:ascii="Century Gothic" w:hAnsi="Century Gothic"/>
      <w:b/>
      <w:bCs/>
      <w:caps/>
      <w:color w:val="FFFFFF" w:themeColor="background1"/>
      <w:spacing w:val="15"/>
      <w:sz w:val="24"/>
      <w:szCs w:val="22"/>
    </w:rPr>
  </w:style>
  <w:style w:type="paragraph" w:styleId="Heading2">
    <w:name w:val="heading 2"/>
    <w:basedOn w:val="Normal"/>
    <w:next w:val="Normal"/>
    <w:link w:val="Heading2Char"/>
    <w:uiPriority w:val="9"/>
    <w:unhideWhenUsed/>
    <w:qFormat/>
    <w:rsid w:val="00E66AF5"/>
    <w:pPr>
      <w:keepNext/>
      <w:pBdr>
        <w:top w:val="single" w:sz="24" w:space="0" w:color="D1EEF9"/>
        <w:left w:val="single" w:sz="24" w:space="0" w:color="D1EEF9"/>
        <w:bottom w:val="single" w:sz="24" w:space="0" w:color="D1EEF9"/>
        <w:right w:val="single" w:sz="24" w:space="0" w:color="D1EEF9"/>
      </w:pBdr>
      <w:shd w:val="clear" w:color="auto" w:fill="D1EEF9"/>
      <w:spacing w:after="0"/>
      <w:ind w:left="634" w:hanging="360"/>
      <w:outlineLvl w:val="1"/>
    </w:pPr>
    <w:rPr>
      <w:rFonts w:ascii="Century Gothic" w:hAnsi="Century Gothic"/>
      <w:caps/>
      <w:spacing w:val="15"/>
      <w:sz w:val="22"/>
      <w:szCs w:val="22"/>
    </w:rPr>
  </w:style>
  <w:style w:type="paragraph" w:styleId="Heading3">
    <w:name w:val="heading 3"/>
    <w:basedOn w:val="Normal"/>
    <w:next w:val="Normal"/>
    <w:link w:val="Heading3Char"/>
    <w:uiPriority w:val="9"/>
    <w:unhideWhenUsed/>
    <w:qFormat/>
    <w:rsid w:val="008238A1"/>
    <w:pPr>
      <w:keepNext/>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unhideWhenUsed/>
    <w:qFormat/>
    <w:rsid w:val="003B5CDE"/>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unhideWhenUsed/>
    <w:qFormat/>
    <w:rsid w:val="003B5CDE"/>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unhideWhenUsed/>
    <w:qFormat/>
    <w:rsid w:val="003B5CDE"/>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unhideWhenUsed/>
    <w:qFormat/>
    <w:rsid w:val="003B5CDE"/>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unhideWhenUsed/>
    <w:qFormat/>
    <w:rsid w:val="003B5CDE"/>
    <w:pPr>
      <w:spacing w:before="300" w:after="0"/>
      <w:outlineLvl w:val="7"/>
    </w:pPr>
    <w:rPr>
      <w:caps/>
      <w:spacing w:val="10"/>
      <w:sz w:val="18"/>
      <w:szCs w:val="18"/>
    </w:rPr>
  </w:style>
  <w:style w:type="paragraph" w:styleId="Heading9">
    <w:name w:val="heading 9"/>
    <w:basedOn w:val="Normal"/>
    <w:next w:val="Normal"/>
    <w:link w:val="Heading9Char"/>
    <w:uiPriority w:val="9"/>
    <w:unhideWhenUsed/>
    <w:qFormat/>
    <w:rsid w:val="003B5CDE"/>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12C06"/>
    <w:pPr>
      <w:autoSpaceDE w:val="0"/>
      <w:autoSpaceDN w:val="0"/>
      <w:adjustRightInd w:val="0"/>
      <w:spacing w:line="280" w:lineRule="exact"/>
    </w:pPr>
    <w:rPr>
      <w:rFonts w:ascii="Century Gothic" w:hAnsi="Century Gothic"/>
    </w:rPr>
  </w:style>
  <w:style w:type="paragraph" w:customStyle="1" w:styleId="Figure">
    <w:name w:val="Figure"/>
    <w:basedOn w:val="BodyText"/>
    <w:link w:val="FigureChar"/>
    <w:rsid w:val="0054550A"/>
    <w:pPr>
      <w:tabs>
        <w:tab w:val="left" w:pos="-108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7280"/>
        <w:tab w:val="left" w:pos="18000"/>
        <w:tab w:val="left" w:pos="18720"/>
      </w:tabs>
      <w:spacing w:after="240"/>
      <w:jc w:val="both"/>
    </w:pPr>
    <w:rPr>
      <w:rFonts w:eastAsia="SimSun"/>
      <w:sz w:val="22"/>
      <w:szCs w:val="21"/>
    </w:rPr>
  </w:style>
  <w:style w:type="paragraph" w:customStyle="1" w:styleId="Table">
    <w:name w:val="Table"/>
    <w:basedOn w:val="Normal"/>
    <w:rsid w:val="00925D02"/>
    <w:pPr>
      <w:jc w:val="center"/>
    </w:pPr>
    <w:rPr>
      <w:b/>
      <w:bCs/>
      <w:sz w:val="28"/>
      <w:szCs w:val="28"/>
    </w:rPr>
  </w:style>
  <w:style w:type="paragraph" w:customStyle="1" w:styleId="TableTotal">
    <w:name w:val="Table Total"/>
    <w:basedOn w:val="TableText"/>
    <w:rsid w:val="00DC3990"/>
    <w:pPr>
      <w:jc w:val="right"/>
    </w:pPr>
    <w:rPr>
      <w:b/>
    </w:rPr>
  </w:style>
  <w:style w:type="paragraph" w:customStyle="1" w:styleId="TableText">
    <w:name w:val="Table Text"/>
    <w:basedOn w:val="Normal"/>
    <w:link w:val="TableTextChar"/>
    <w:qFormat/>
    <w:rsid w:val="00D71601"/>
    <w:rPr>
      <w:rFonts w:eastAsia="Segoe UI" w:cstheme="minorHAnsi"/>
      <w:sz w:val="22"/>
      <w:szCs w:val="22"/>
    </w:rPr>
  </w:style>
  <w:style w:type="paragraph" w:customStyle="1" w:styleId="TableText-Center">
    <w:name w:val="Table Text-Center"/>
    <w:basedOn w:val="TableText"/>
    <w:rsid w:val="00DC3990"/>
    <w:pPr>
      <w:jc w:val="center"/>
    </w:pPr>
  </w:style>
  <w:style w:type="paragraph" w:customStyle="1" w:styleId="NumberList">
    <w:name w:val="Number List"/>
    <w:basedOn w:val="Normal"/>
    <w:rsid w:val="00DC7BC8"/>
    <w:pPr>
      <w:numPr>
        <w:numId w:val="16"/>
      </w:numPr>
      <w:spacing w:line="280" w:lineRule="exact"/>
      <w:contextualSpacing/>
    </w:pPr>
    <w:rPr>
      <w:rFonts w:ascii="Century Gothic" w:eastAsia="Times New Roman" w:hAnsi="Century Gothic"/>
      <w:spacing w:val="-4"/>
    </w:rPr>
  </w:style>
  <w:style w:type="paragraph" w:customStyle="1" w:styleId="TableTextItalic">
    <w:name w:val="Table Text Italic"/>
    <w:basedOn w:val="Normal"/>
    <w:rsid w:val="00DC3990"/>
    <w:pPr>
      <w:spacing w:before="20" w:after="20"/>
    </w:pPr>
    <w:rPr>
      <w:rFonts w:ascii="Franklin Gothic Book" w:hAnsi="Franklin Gothic Book" w:cs="Arial Narrow"/>
      <w:bCs/>
      <w:i/>
      <w:sz w:val="21"/>
      <w:szCs w:val="18"/>
    </w:rPr>
  </w:style>
  <w:style w:type="paragraph" w:customStyle="1" w:styleId="BodyText-0After">
    <w:name w:val="Body Text-0 After"/>
    <w:basedOn w:val="BodyText"/>
    <w:rsid w:val="00DC3990"/>
    <w:pPr>
      <w:spacing w:after="0"/>
    </w:pPr>
  </w:style>
  <w:style w:type="paragraph" w:customStyle="1" w:styleId="Appendix">
    <w:name w:val="Appendix"/>
    <w:basedOn w:val="TOCHeading"/>
    <w:qFormat/>
    <w:rsid w:val="00DC3990"/>
    <w:pPr>
      <w:jc w:val="right"/>
    </w:pPr>
    <w:rPr>
      <w:b w:val="0"/>
      <w:szCs w:val="72"/>
    </w:rPr>
  </w:style>
  <w:style w:type="paragraph" w:styleId="TOC1">
    <w:name w:val="toc 1"/>
    <w:basedOn w:val="Normal"/>
    <w:next w:val="Normal"/>
    <w:autoRedefine/>
    <w:uiPriority w:val="39"/>
    <w:unhideWhenUsed/>
    <w:rsid w:val="00A01221"/>
    <w:pPr>
      <w:tabs>
        <w:tab w:val="left" w:pos="660"/>
        <w:tab w:val="right" w:leader="dot" w:pos="9350"/>
      </w:tabs>
      <w:spacing w:after="100"/>
    </w:pPr>
    <w:rPr>
      <w:rFonts w:ascii="Century Gothic" w:hAnsi="Century Gothic"/>
      <w:b/>
      <w:noProof/>
      <w:sz w:val="22"/>
      <w:szCs w:val="22"/>
    </w:rPr>
  </w:style>
  <w:style w:type="paragraph" w:styleId="TableofFigures">
    <w:name w:val="table of figures"/>
    <w:basedOn w:val="Normal"/>
    <w:next w:val="Normal"/>
    <w:uiPriority w:val="99"/>
    <w:unhideWhenUsed/>
    <w:rsid w:val="00DC2260"/>
    <w:pPr>
      <w:tabs>
        <w:tab w:val="left" w:pos="720"/>
        <w:tab w:val="right" w:leader="dot" w:pos="10080"/>
      </w:tabs>
      <w:spacing w:after="60" w:line="280" w:lineRule="exact"/>
    </w:pPr>
    <w:rPr>
      <w:rFonts w:ascii="Century Gothic" w:hAnsi="Century Gothic"/>
    </w:rPr>
  </w:style>
  <w:style w:type="paragraph" w:styleId="Footer">
    <w:name w:val="footer"/>
    <w:basedOn w:val="Normal"/>
    <w:link w:val="FooterChar"/>
    <w:uiPriority w:val="99"/>
    <w:unhideWhenUsed/>
    <w:rsid w:val="00CB7D34"/>
    <w:pPr>
      <w:tabs>
        <w:tab w:val="center" w:pos="4680"/>
        <w:tab w:val="right" w:pos="9360"/>
      </w:tabs>
      <w:spacing w:before="0" w:after="0" w:line="240" w:lineRule="auto"/>
      <w:jc w:val="right"/>
    </w:pPr>
    <w:rPr>
      <w:b/>
      <w:sz w:val="32"/>
    </w:rPr>
  </w:style>
  <w:style w:type="paragraph" w:customStyle="1" w:styleId="BulletList">
    <w:name w:val="Bullet List"/>
    <w:basedOn w:val="Normal"/>
    <w:rsid w:val="00D15A98"/>
    <w:pPr>
      <w:numPr>
        <w:numId w:val="3"/>
      </w:numPr>
      <w:spacing w:after="0" w:line="280" w:lineRule="exact"/>
      <w:contextualSpacing/>
    </w:pPr>
    <w:rPr>
      <w:rFonts w:ascii="Century Gothic" w:hAnsi="Century Gothic"/>
    </w:rPr>
  </w:style>
  <w:style w:type="paragraph" w:customStyle="1" w:styleId="BulletListFinal">
    <w:name w:val="Bullet List Final"/>
    <w:basedOn w:val="BulletList"/>
    <w:next w:val="BodyText"/>
    <w:rsid w:val="0054550A"/>
    <w:pPr>
      <w:numPr>
        <w:numId w:val="4"/>
      </w:numPr>
      <w:spacing w:before="0" w:after="240"/>
      <w:ind w:left="720"/>
    </w:pPr>
  </w:style>
  <w:style w:type="paragraph" w:customStyle="1" w:styleId="AppendixTitle">
    <w:name w:val="Appendix Title"/>
    <w:basedOn w:val="TOCSectionHeading"/>
    <w:qFormat/>
    <w:rsid w:val="00DC3990"/>
    <w:pPr>
      <w:spacing w:before="0" w:after="0" w:line="240" w:lineRule="auto"/>
      <w:jc w:val="right"/>
    </w:pPr>
    <w:rPr>
      <w:b w:val="0"/>
      <w:caps w:val="0"/>
      <w:sz w:val="40"/>
      <w:szCs w:val="40"/>
    </w:rPr>
  </w:style>
  <w:style w:type="paragraph" w:customStyle="1" w:styleId="Subheading1">
    <w:name w:val="Subheading 1"/>
    <w:basedOn w:val="BodyText"/>
    <w:next w:val="BodyText"/>
    <w:link w:val="Subheading1Char"/>
    <w:rsid w:val="00DC3990"/>
    <w:pPr>
      <w:keepNext/>
    </w:pPr>
    <w:rPr>
      <w:b/>
      <w:color w:val="5B6670"/>
      <w:spacing w:val="10"/>
      <w:sz w:val="24"/>
    </w:rPr>
  </w:style>
  <w:style w:type="character" w:customStyle="1" w:styleId="Subheading2Char">
    <w:name w:val="Subheading 2 Char"/>
    <w:link w:val="Subheading2"/>
    <w:rsid w:val="00DC3990"/>
    <w:rPr>
      <w:rFonts w:ascii="Franklin Gothic Book" w:eastAsia="SimSun" w:hAnsi="Franklin Gothic Book"/>
      <w:color w:val="5B6670"/>
      <w:spacing w:val="10"/>
      <w:sz w:val="24"/>
      <w:szCs w:val="24"/>
    </w:rPr>
  </w:style>
  <w:style w:type="paragraph" w:customStyle="1" w:styleId="QuoteText">
    <w:name w:val="Quote Text"/>
    <w:basedOn w:val="BodyText"/>
    <w:rsid w:val="00DC3990"/>
    <w:pPr>
      <w:ind w:left="720" w:right="720"/>
    </w:pPr>
  </w:style>
  <w:style w:type="paragraph" w:customStyle="1" w:styleId="ReferenceList">
    <w:name w:val="Reference List"/>
    <w:basedOn w:val="BodyText"/>
    <w:qFormat/>
    <w:rsid w:val="00DC3990"/>
    <w:pPr>
      <w:ind w:left="720" w:hanging="720"/>
    </w:pPr>
  </w:style>
  <w:style w:type="paragraph" w:styleId="TOC3">
    <w:name w:val="toc 3"/>
    <w:basedOn w:val="Normal"/>
    <w:next w:val="Normal"/>
    <w:autoRedefine/>
    <w:uiPriority w:val="39"/>
    <w:unhideWhenUsed/>
    <w:rsid w:val="007A5686"/>
    <w:pPr>
      <w:tabs>
        <w:tab w:val="right" w:leader="dot" w:pos="9350"/>
      </w:tabs>
      <w:spacing w:after="100"/>
      <w:ind w:left="400"/>
    </w:pPr>
    <w:rPr>
      <w:rFonts w:ascii="Century Gothic" w:hAnsi="Century Gothic"/>
    </w:rPr>
  </w:style>
  <w:style w:type="paragraph" w:styleId="TOC2">
    <w:name w:val="toc 2"/>
    <w:basedOn w:val="Normal"/>
    <w:next w:val="Normal"/>
    <w:autoRedefine/>
    <w:uiPriority w:val="39"/>
    <w:unhideWhenUsed/>
    <w:rsid w:val="0084525D"/>
    <w:pPr>
      <w:tabs>
        <w:tab w:val="left" w:pos="720"/>
        <w:tab w:val="right" w:leader="dot" w:pos="9350"/>
      </w:tabs>
      <w:spacing w:after="100"/>
      <w:ind w:left="562" w:hanging="360"/>
    </w:pPr>
    <w:rPr>
      <w:rFonts w:ascii="Century Gothic" w:hAnsi="Century Gothic"/>
    </w:rPr>
  </w:style>
  <w:style w:type="paragraph" w:styleId="Header">
    <w:name w:val="header"/>
    <w:basedOn w:val="Normal"/>
    <w:link w:val="HeaderChar"/>
    <w:uiPriority w:val="99"/>
    <w:unhideWhenUsed/>
    <w:rsid w:val="003B5CDE"/>
    <w:pPr>
      <w:tabs>
        <w:tab w:val="center" w:pos="4680"/>
        <w:tab w:val="right" w:pos="9360"/>
      </w:tabs>
      <w:spacing w:before="0" w:after="0" w:line="240" w:lineRule="auto"/>
    </w:pPr>
  </w:style>
  <w:style w:type="paragraph" w:customStyle="1" w:styleId="Header11x17">
    <w:name w:val="Header 11x17"/>
    <w:basedOn w:val="Header"/>
    <w:rsid w:val="00724DAC"/>
    <w:pPr>
      <w:ind w:firstLine="10800"/>
    </w:pPr>
  </w:style>
  <w:style w:type="paragraph" w:customStyle="1" w:styleId="TableHeading">
    <w:name w:val="Table Heading"/>
    <w:basedOn w:val="TableSubheading"/>
    <w:link w:val="TableHeadingChar"/>
    <w:qFormat/>
    <w:rsid w:val="008238A1"/>
    <w:pPr>
      <w:jc w:val="center"/>
    </w:pPr>
    <w:rPr>
      <w:color w:val="FFFFFF" w:themeColor="background1"/>
      <w:sz w:val="28"/>
    </w:rPr>
  </w:style>
  <w:style w:type="paragraph" w:customStyle="1" w:styleId="TableSourceNote">
    <w:name w:val="Table Source/Note"/>
    <w:basedOn w:val="Normal"/>
    <w:link w:val="TableSourceNoteCharChar"/>
    <w:rsid w:val="00925D02"/>
    <w:pPr>
      <w:spacing w:before="60" w:after="240"/>
      <w:contextualSpacing/>
    </w:pPr>
    <w:rPr>
      <w:sz w:val="18"/>
      <w:szCs w:val="18"/>
    </w:rPr>
  </w:style>
  <w:style w:type="character" w:customStyle="1" w:styleId="TableSourceNoteCharChar">
    <w:name w:val="Table Source/Note Char Char"/>
    <w:link w:val="TableSourceNote"/>
    <w:rsid w:val="00925D02"/>
    <w:rPr>
      <w:rFonts w:asciiTheme="minorHAnsi" w:eastAsiaTheme="minorEastAsia" w:hAnsiTheme="minorHAnsi" w:cstheme="minorBidi"/>
      <w:sz w:val="18"/>
      <w:szCs w:val="18"/>
    </w:rPr>
  </w:style>
  <w:style w:type="paragraph" w:customStyle="1" w:styleId="ILB">
    <w:name w:val="ILB"/>
    <w:basedOn w:val="Normal"/>
    <w:rsid w:val="00DC3990"/>
    <w:pPr>
      <w:spacing w:before="6000" w:line="280" w:lineRule="exact"/>
      <w:jc w:val="center"/>
    </w:pPr>
    <w:rPr>
      <w:rFonts w:ascii="Franklin Gothic Book" w:hAnsi="Franklin Gothic Book"/>
      <w:bCs/>
      <w:caps/>
      <w:sz w:val="21"/>
      <w:szCs w:val="21"/>
    </w:rPr>
  </w:style>
  <w:style w:type="paragraph" w:customStyle="1" w:styleId="Printedonrecycledmaterial">
    <w:name w:val="Printed on recycled material"/>
    <w:basedOn w:val="Normal"/>
    <w:rsid w:val="00807E28"/>
    <w:rPr>
      <w:rFonts w:ascii="Franklin Gothic Medium Cond" w:hAnsi="Franklin Gothic Medium Cond" w:cs="Arial"/>
      <w:sz w:val="22"/>
      <w:szCs w:val="22"/>
    </w:rPr>
  </w:style>
  <w:style w:type="paragraph" w:customStyle="1" w:styleId="TOCSectionHeading">
    <w:name w:val="TOC Section Heading"/>
    <w:basedOn w:val="Normal"/>
    <w:rsid w:val="009742AD"/>
    <w:pPr>
      <w:keepNext/>
      <w:keepLines/>
      <w:tabs>
        <w:tab w:val="left" w:pos="720"/>
        <w:tab w:val="left" w:pos="1440"/>
        <w:tab w:val="left" w:pos="2160"/>
        <w:tab w:val="right" w:pos="9360"/>
      </w:tabs>
      <w:spacing w:before="240" w:after="240" w:line="317" w:lineRule="exact"/>
    </w:pPr>
    <w:rPr>
      <w:rFonts w:ascii="Century Gothic" w:hAnsi="Century Gothic"/>
      <w:b/>
      <w:caps/>
      <w:sz w:val="22"/>
      <w:szCs w:val="28"/>
    </w:rPr>
  </w:style>
  <w:style w:type="paragraph" w:styleId="TOCHeading">
    <w:name w:val="TOC Heading"/>
    <w:basedOn w:val="Heading1"/>
    <w:next w:val="Normal"/>
    <w:link w:val="TOCHeadingChar"/>
    <w:uiPriority w:val="39"/>
    <w:unhideWhenUsed/>
    <w:qFormat/>
    <w:rsid w:val="003B5CDE"/>
    <w:pPr>
      <w:outlineLvl w:val="9"/>
    </w:pPr>
  </w:style>
  <w:style w:type="paragraph" w:customStyle="1" w:styleId="CoverVersion">
    <w:name w:val="Cover – Version"/>
    <w:basedOn w:val="Normal"/>
    <w:next w:val="CoverReportType"/>
    <w:rsid w:val="00DC3990"/>
    <w:pPr>
      <w:jc w:val="right"/>
    </w:pPr>
    <w:rPr>
      <w:rFonts w:ascii="Avenir Next LT Pro" w:hAnsi="Avenir Next LT Pro" w:cs="Segoe UI Semibold"/>
      <w:b/>
      <w:bCs/>
      <w:caps/>
      <w:color w:val="5B6670"/>
      <w:szCs w:val="44"/>
    </w:rPr>
  </w:style>
  <w:style w:type="paragraph" w:customStyle="1" w:styleId="CoverProject">
    <w:name w:val="Cover – Project"/>
    <w:basedOn w:val="Normal"/>
    <w:rsid w:val="00C2349F"/>
    <w:pPr>
      <w:autoSpaceDE w:val="0"/>
      <w:autoSpaceDN w:val="0"/>
      <w:adjustRightInd w:val="0"/>
      <w:spacing w:after="1360" w:line="428" w:lineRule="exact"/>
      <w:contextualSpacing/>
      <w:jc w:val="center"/>
    </w:pPr>
    <w:rPr>
      <w:rFonts w:ascii="Segoe UI Semibold" w:hAnsi="Segoe UI Semibold" w:cs="Arial Black"/>
      <w:b/>
      <w:sz w:val="36"/>
      <w:szCs w:val="36"/>
      <w:lang w:val="en-CA"/>
    </w:rPr>
  </w:style>
  <w:style w:type="paragraph" w:customStyle="1" w:styleId="CoverPreparedforby">
    <w:name w:val="Cover – Prepared for/by"/>
    <w:basedOn w:val="Normal"/>
    <w:next w:val="CoverClient"/>
    <w:rsid w:val="00C2349F"/>
    <w:pPr>
      <w:spacing w:after="240" w:line="280" w:lineRule="exact"/>
      <w:jc w:val="center"/>
    </w:pPr>
    <w:rPr>
      <w:rFonts w:ascii="Franklin Gothic Book" w:hAnsi="Franklin Gothic Book" w:cs="Segoe UI Semibold"/>
      <w:i/>
      <w:sz w:val="21"/>
      <w:szCs w:val="21"/>
    </w:rPr>
  </w:style>
  <w:style w:type="paragraph" w:customStyle="1" w:styleId="CoverClient">
    <w:name w:val="Cover – Client"/>
    <w:basedOn w:val="Normal"/>
    <w:rsid w:val="00DC3990"/>
    <w:rPr>
      <w:rFonts w:ascii="Avenir Next LT Pro" w:hAnsi="Avenir Next LT Pro" w:cs="Segoe UI Semibold"/>
      <w:b/>
      <w:bCs/>
      <w:caps/>
      <w:color w:val="003057"/>
      <w:spacing w:val="10"/>
      <w:sz w:val="22"/>
      <w:szCs w:val="28"/>
    </w:rPr>
  </w:style>
  <w:style w:type="paragraph" w:customStyle="1" w:styleId="CoverAddress">
    <w:name w:val="Cover – Address"/>
    <w:basedOn w:val="Normal"/>
    <w:rsid w:val="00DC3990"/>
    <w:pPr>
      <w:autoSpaceDE w:val="0"/>
      <w:autoSpaceDN w:val="0"/>
      <w:adjustRightInd w:val="0"/>
      <w:spacing w:line="280" w:lineRule="exact"/>
    </w:pPr>
    <w:rPr>
      <w:rFonts w:ascii="Avenir Next LT Pro" w:hAnsi="Avenir Next LT Pro" w:cs="Segoe UI Semibold"/>
      <w:sz w:val="21"/>
      <w:szCs w:val="21"/>
    </w:rPr>
  </w:style>
  <w:style w:type="paragraph" w:customStyle="1" w:styleId="CoverContact">
    <w:name w:val="Cover – Contact"/>
    <w:basedOn w:val="Normal"/>
    <w:rsid w:val="00C2349F"/>
    <w:pPr>
      <w:autoSpaceDE w:val="0"/>
      <w:autoSpaceDN w:val="0"/>
      <w:adjustRightInd w:val="0"/>
      <w:spacing w:after="1360" w:line="280" w:lineRule="exact"/>
      <w:contextualSpacing/>
      <w:jc w:val="center"/>
    </w:pPr>
    <w:rPr>
      <w:rFonts w:ascii="Franklin Gothic Book" w:hAnsi="Franklin Gothic Book" w:cs="Segoe UI Semibold"/>
      <w:i/>
      <w:sz w:val="21"/>
      <w:szCs w:val="21"/>
    </w:rPr>
  </w:style>
  <w:style w:type="paragraph" w:customStyle="1" w:styleId="CoverDate">
    <w:name w:val="Cover – Date"/>
    <w:basedOn w:val="Normal"/>
    <w:next w:val="CoverPreparedfor"/>
    <w:rsid w:val="00DC3990"/>
    <w:pPr>
      <w:spacing w:before="120" w:after="240"/>
    </w:pPr>
    <w:rPr>
      <w:rFonts w:ascii="Avenir Next LT Pro" w:hAnsi="Avenir Next LT Pro" w:cs="Segoe UI Semibold"/>
      <w:b/>
      <w:bCs/>
      <w:caps/>
      <w:color w:val="0F2B4D"/>
      <w:sz w:val="22"/>
      <w:szCs w:val="44"/>
      <w:lang w:val="haw-US"/>
    </w:rPr>
  </w:style>
  <w:style w:type="paragraph" w:customStyle="1" w:styleId="Footer11X17">
    <w:name w:val="Footer 11X17"/>
    <w:basedOn w:val="Footer"/>
    <w:rsid w:val="00C2349F"/>
    <w:pPr>
      <w:tabs>
        <w:tab w:val="center" w:pos="16920"/>
        <w:tab w:val="right" w:pos="22320"/>
      </w:tabs>
    </w:pPr>
    <w:rPr>
      <w:rFonts w:cs="Times New Roman"/>
      <w:szCs w:val="24"/>
    </w:rPr>
  </w:style>
  <w:style w:type="paragraph" w:customStyle="1" w:styleId="TableSubheading">
    <w:name w:val="Table Subheading"/>
    <w:basedOn w:val="Normal"/>
    <w:qFormat/>
    <w:rsid w:val="000B0A45"/>
    <w:rPr>
      <w:rFonts w:eastAsia="Calibri" w:cs="Calibri"/>
      <w:b/>
      <w:bCs/>
      <w:color w:val="000000"/>
      <w:sz w:val="22"/>
      <w:szCs w:val="22"/>
    </w:rPr>
  </w:style>
  <w:style w:type="paragraph" w:customStyle="1" w:styleId="ilb11X17">
    <w:name w:val="ilb 11X17"/>
    <w:basedOn w:val="Normal"/>
    <w:rsid w:val="00DC3990"/>
    <w:pPr>
      <w:spacing w:before="6000" w:line="280" w:lineRule="exact"/>
      <w:ind w:left="15840"/>
    </w:pPr>
    <w:rPr>
      <w:rFonts w:ascii="Franklin Gothic Book" w:hAnsi="Franklin Gothic Book"/>
      <w:caps/>
      <w:sz w:val="21"/>
      <w:szCs w:val="21"/>
    </w:rPr>
  </w:style>
  <w:style w:type="paragraph" w:customStyle="1" w:styleId="FooterLandscape">
    <w:name w:val="Footer Landscape"/>
    <w:basedOn w:val="Footer"/>
    <w:rsid w:val="00C2349F"/>
    <w:pPr>
      <w:tabs>
        <w:tab w:val="center" w:pos="7200"/>
        <w:tab w:val="right" w:pos="13680"/>
      </w:tabs>
    </w:pPr>
  </w:style>
  <w:style w:type="paragraph" w:customStyle="1" w:styleId="TOCSectionPageNo">
    <w:name w:val="TOC Section_Page No."/>
    <w:basedOn w:val="TOC1"/>
    <w:rsid w:val="00DC3990"/>
    <w:pPr>
      <w:tabs>
        <w:tab w:val="right" w:pos="10080"/>
      </w:tabs>
      <w:spacing w:before="0" w:after="240"/>
    </w:pPr>
    <w:rPr>
      <w:rFonts w:ascii="Avenir Next LT Pro" w:hAnsi="Avenir Next LT Pro" w:cs="Arial"/>
      <w:b w:val="0"/>
      <w:caps/>
      <w:color w:val="0F2B4D"/>
      <w:sz w:val="24"/>
      <w:szCs w:val="28"/>
    </w:rPr>
  </w:style>
  <w:style w:type="paragraph" w:customStyle="1" w:styleId="TOCAppendices">
    <w:name w:val="TOC Appendices"/>
    <w:basedOn w:val="Normal"/>
    <w:rsid w:val="00C713F3"/>
    <w:pPr>
      <w:numPr>
        <w:numId w:val="2"/>
      </w:numPr>
      <w:spacing w:after="60" w:line="280" w:lineRule="exact"/>
    </w:pPr>
    <w:rPr>
      <w:rFonts w:cs="Segoe UI"/>
      <w:noProof/>
    </w:rPr>
  </w:style>
  <w:style w:type="paragraph" w:customStyle="1" w:styleId="TableSubtotal">
    <w:name w:val="Table Subtotal"/>
    <w:basedOn w:val="TableText"/>
    <w:rsid w:val="00DC3990"/>
    <w:pPr>
      <w:jc w:val="right"/>
    </w:pPr>
    <w:rPr>
      <w:i/>
    </w:rPr>
  </w:style>
  <w:style w:type="paragraph" w:customStyle="1" w:styleId="Subheading2">
    <w:name w:val="Subheading 2"/>
    <w:basedOn w:val="Subheading1"/>
    <w:next w:val="BodyText"/>
    <w:link w:val="Subheading2Char"/>
    <w:rsid w:val="00DC3990"/>
    <w:rPr>
      <w:b w:val="0"/>
    </w:rPr>
  </w:style>
  <w:style w:type="paragraph" w:customStyle="1" w:styleId="Subheading3">
    <w:name w:val="Subheading 3"/>
    <w:basedOn w:val="Subheading1"/>
    <w:next w:val="BodyText"/>
    <w:rsid w:val="00DC3990"/>
    <w:rPr>
      <w:b w:val="0"/>
      <w:sz w:val="22"/>
    </w:rPr>
  </w:style>
  <w:style w:type="paragraph" w:customStyle="1" w:styleId="Subheading4">
    <w:name w:val="Subheading 4"/>
    <w:basedOn w:val="Subheading1"/>
    <w:next w:val="BodyText"/>
    <w:rsid w:val="00DC3990"/>
    <w:rPr>
      <w:b w:val="0"/>
      <w:sz w:val="21"/>
    </w:rPr>
  </w:style>
  <w:style w:type="character" w:customStyle="1" w:styleId="Subheading1Char">
    <w:name w:val="Subheading 1 Char"/>
    <w:link w:val="Subheading1"/>
    <w:rsid w:val="00DC3990"/>
    <w:rPr>
      <w:rFonts w:ascii="Franklin Gothic Book" w:eastAsia="SimSun" w:hAnsi="Franklin Gothic Book"/>
      <w:b/>
      <w:color w:val="5B6670"/>
      <w:spacing w:val="10"/>
      <w:sz w:val="24"/>
      <w:szCs w:val="24"/>
    </w:rPr>
  </w:style>
  <w:style w:type="paragraph" w:customStyle="1" w:styleId="SpeciesListFamily">
    <w:name w:val="Species List (Family)"/>
    <w:basedOn w:val="Normal"/>
    <w:rsid w:val="00104F49"/>
    <w:pPr>
      <w:keepNext/>
      <w:keepLines/>
      <w:autoSpaceDE w:val="0"/>
      <w:autoSpaceDN w:val="0"/>
      <w:adjustRightInd w:val="0"/>
      <w:spacing w:line="317" w:lineRule="exact"/>
    </w:pPr>
    <w:rPr>
      <w:rFonts w:ascii="Franklin Gothic Book" w:hAnsi="Franklin Gothic Book"/>
      <w:b/>
      <w:caps/>
      <w:sz w:val="21"/>
      <w:szCs w:val="21"/>
    </w:rPr>
  </w:style>
  <w:style w:type="paragraph" w:customStyle="1" w:styleId="SpeciesListSpecies">
    <w:name w:val="Species List (Species)"/>
    <w:basedOn w:val="Normal"/>
    <w:rsid w:val="00104F49"/>
    <w:pPr>
      <w:autoSpaceDE w:val="0"/>
      <w:autoSpaceDN w:val="0"/>
      <w:adjustRightInd w:val="0"/>
      <w:spacing w:after="240" w:line="317" w:lineRule="exact"/>
      <w:contextualSpacing/>
    </w:pPr>
    <w:rPr>
      <w:rFonts w:ascii="Franklin Gothic Book" w:hAnsi="Franklin Gothic Book"/>
      <w:sz w:val="21"/>
      <w:szCs w:val="21"/>
    </w:rPr>
  </w:style>
  <w:style w:type="paragraph" w:customStyle="1" w:styleId="SpeciesListHeading1">
    <w:name w:val="Species List Heading 1"/>
    <w:basedOn w:val="Normal"/>
    <w:rsid w:val="00104F49"/>
    <w:pPr>
      <w:autoSpaceDE w:val="0"/>
      <w:autoSpaceDN w:val="0"/>
      <w:adjustRightInd w:val="0"/>
      <w:spacing w:after="240" w:line="317" w:lineRule="exact"/>
      <w:jc w:val="center"/>
    </w:pPr>
    <w:rPr>
      <w:rFonts w:ascii="Segoe UI Light" w:hAnsi="Segoe UI Light"/>
      <w:sz w:val="32"/>
      <w:szCs w:val="32"/>
    </w:rPr>
  </w:style>
  <w:style w:type="paragraph" w:customStyle="1" w:styleId="SpeciesListHeading2">
    <w:name w:val="Species List Heading 2"/>
    <w:basedOn w:val="Normal"/>
    <w:rsid w:val="00104F49"/>
    <w:pPr>
      <w:autoSpaceDE w:val="0"/>
      <w:autoSpaceDN w:val="0"/>
      <w:adjustRightInd w:val="0"/>
      <w:spacing w:after="240" w:line="317" w:lineRule="exact"/>
      <w:jc w:val="center"/>
    </w:pPr>
    <w:rPr>
      <w:rFonts w:ascii="Segoe UI Light" w:hAnsi="Segoe UI Light"/>
      <w:i/>
      <w:sz w:val="28"/>
      <w:szCs w:val="28"/>
    </w:rPr>
  </w:style>
  <w:style w:type="paragraph" w:customStyle="1" w:styleId="MitigationMeasure">
    <w:name w:val="Mitigation Measure"/>
    <w:basedOn w:val="BodyText"/>
    <w:link w:val="MitigationMeasureChar"/>
    <w:rsid w:val="00DC3990"/>
    <w:pPr>
      <w:tabs>
        <w:tab w:val="left" w:pos="1440"/>
      </w:tabs>
      <w:ind w:left="1440" w:hanging="1440"/>
    </w:pPr>
  </w:style>
  <w:style w:type="paragraph" w:customStyle="1" w:styleId="TableTextBullets">
    <w:name w:val="Table Text Bullets"/>
    <w:basedOn w:val="TableText"/>
    <w:rsid w:val="00DC3990"/>
    <w:pPr>
      <w:keepLines/>
      <w:numPr>
        <w:numId w:val="14"/>
      </w:numPr>
    </w:pPr>
  </w:style>
  <w:style w:type="paragraph" w:styleId="FootnoteText">
    <w:name w:val="footnote text"/>
    <w:aliases w:val="Footnote Text Char1 Char,TBG Style Char Char Char,Footnote Text Char2,Footnote Text Char1,TBG Style Char Char,Footnote Text Char3 Char,Footnote Text Char Char Char,Footnote Text Char1 Char Char Char,Footnote Text Char3"/>
    <w:basedOn w:val="Normal"/>
    <w:link w:val="FootnoteTextChar4"/>
    <w:rsid w:val="00804066"/>
    <w:pPr>
      <w:spacing w:before="0" w:after="0" w:line="240" w:lineRule="auto"/>
      <w:ind w:left="360" w:hanging="360"/>
    </w:pPr>
    <w:rPr>
      <w:rFonts w:ascii="Century Gothic" w:eastAsia="Times New Roman" w:hAnsi="Century Gothic" w:cs="Times New Roman"/>
    </w:rPr>
  </w:style>
  <w:style w:type="character" w:styleId="FootnoteReference">
    <w:name w:val="footnote reference"/>
    <w:aliases w:val="o"/>
    <w:basedOn w:val="DefaultParagraphFont"/>
    <w:rsid w:val="003B5CDE"/>
    <w:rPr>
      <w:sz w:val="22"/>
      <w:vertAlign w:val="superscript"/>
    </w:rPr>
  </w:style>
  <w:style w:type="paragraph" w:customStyle="1" w:styleId="TableTextHanging">
    <w:name w:val="Table Text Hanging"/>
    <w:basedOn w:val="TableText"/>
    <w:rsid w:val="00DC3990"/>
    <w:pPr>
      <w:tabs>
        <w:tab w:val="left" w:pos="288"/>
      </w:tabs>
      <w:ind w:left="288" w:hanging="288"/>
    </w:pPr>
  </w:style>
  <w:style w:type="table" w:customStyle="1" w:styleId="Style1">
    <w:name w:val="Style1"/>
    <w:basedOn w:val="TableNormal"/>
    <w:rsid w:val="00104F49"/>
    <w:pPr>
      <w:spacing w:before="20" w:after="20"/>
    </w:pPr>
    <w:rPr>
      <w:rFonts w:ascii="Arial Narrow" w:hAnsi="Arial Narro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tblPr/>
      <w:tcPr>
        <w:shd w:val="clear" w:color="auto" w:fill="BFBFBF"/>
        <w:vAlign w:val="bottom"/>
      </w:tcPr>
    </w:tblStylePr>
  </w:style>
  <w:style w:type="table" w:styleId="TableGrid">
    <w:name w:val="Table Grid"/>
    <w:basedOn w:val="TableNormal"/>
    <w:uiPriority w:val="39"/>
    <w:rsid w:val="003B5CD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3B5CDE"/>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3B5CDE"/>
    <w:rPr>
      <w:rFonts w:ascii="Segoe UI" w:eastAsiaTheme="minorEastAsia" w:hAnsi="Segoe UI" w:cs="Segoe UI"/>
      <w:sz w:val="18"/>
      <w:szCs w:val="18"/>
    </w:rPr>
  </w:style>
  <w:style w:type="character" w:customStyle="1" w:styleId="FigureChar">
    <w:name w:val="Figure Char"/>
    <w:link w:val="Figure"/>
    <w:rsid w:val="0054550A"/>
    <w:rPr>
      <w:rFonts w:ascii="Century Gothic" w:eastAsia="SimSun" w:hAnsi="Century Gothic" w:cstheme="minorBidi"/>
      <w:sz w:val="22"/>
      <w:szCs w:val="21"/>
    </w:rPr>
  </w:style>
  <w:style w:type="character" w:customStyle="1" w:styleId="BodyTextChar">
    <w:name w:val="Body Text Char"/>
    <w:basedOn w:val="DefaultParagraphFont"/>
    <w:link w:val="BodyText"/>
    <w:rsid w:val="00212C06"/>
    <w:rPr>
      <w:rFonts w:ascii="Century Gothic" w:eastAsiaTheme="minorEastAsia" w:hAnsi="Century Gothic" w:cstheme="minorBidi"/>
    </w:rPr>
  </w:style>
  <w:style w:type="paragraph" w:customStyle="1" w:styleId="Answertext">
    <w:name w:val="Answer text"/>
    <w:basedOn w:val="BodyText"/>
    <w:link w:val="AnswertextChar"/>
    <w:rsid w:val="00DC3990"/>
    <w:pPr>
      <w:ind w:left="720"/>
    </w:pPr>
  </w:style>
  <w:style w:type="paragraph" w:customStyle="1" w:styleId="Answertextindented">
    <w:name w:val="Answer text indented"/>
    <w:basedOn w:val="Answertext"/>
    <w:rsid w:val="00DC3990"/>
    <w:pPr>
      <w:ind w:left="1440"/>
    </w:pPr>
  </w:style>
  <w:style w:type="character" w:customStyle="1" w:styleId="TOCHeadingChar">
    <w:name w:val="TOC Heading Char"/>
    <w:link w:val="TOCHeading"/>
    <w:uiPriority w:val="39"/>
    <w:rsid w:val="00DC3990"/>
    <w:rPr>
      <w:rFonts w:asciiTheme="minorHAnsi" w:eastAsiaTheme="minorEastAsia" w:hAnsiTheme="minorHAnsi" w:cstheme="minorBidi"/>
      <w:b/>
      <w:bCs/>
      <w:caps/>
      <w:color w:val="FFFFFF" w:themeColor="background1"/>
      <w:spacing w:val="15"/>
      <w:sz w:val="22"/>
      <w:szCs w:val="22"/>
      <w:shd w:val="clear" w:color="auto" w:fill="4F81BD" w:themeFill="accent1"/>
    </w:rPr>
  </w:style>
  <w:style w:type="paragraph" w:customStyle="1" w:styleId="BodyText-0After0">
    <w:name w:val="Body Text - 0 After"/>
    <w:basedOn w:val="BodyText"/>
    <w:qFormat/>
    <w:rsid w:val="00DC3990"/>
    <w:pPr>
      <w:spacing w:after="0"/>
    </w:pPr>
  </w:style>
  <w:style w:type="character" w:styleId="CommentReference">
    <w:name w:val="annotation reference"/>
    <w:basedOn w:val="DefaultParagraphFont"/>
    <w:uiPriority w:val="99"/>
    <w:unhideWhenUsed/>
    <w:rsid w:val="003B5CDE"/>
    <w:rPr>
      <w:sz w:val="16"/>
      <w:szCs w:val="16"/>
    </w:rPr>
  </w:style>
  <w:style w:type="paragraph" w:styleId="CommentText">
    <w:name w:val="annotation text"/>
    <w:basedOn w:val="Normal"/>
    <w:link w:val="CommentTextChar"/>
    <w:uiPriority w:val="99"/>
    <w:unhideWhenUsed/>
    <w:rsid w:val="003B5CDE"/>
    <w:pPr>
      <w:spacing w:line="240" w:lineRule="auto"/>
    </w:pPr>
  </w:style>
  <w:style w:type="character" w:customStyle="1" w:styleId="CommentTextChar">
    <w:name w:val="Comment Text Char"/>
    <w:basedOn w:val="DefaultParagraphFont"/>
    <w:link w:val="CommentText"/>
    <w:uiPriority w:val="99"/>
    <w:rsid w:val="003B5CDE"/>
    <w:rPr>
      <w:rFonts w:asciiTheme="minorHAnsi" w:eastAsiaTheme="minorEastAsia" w:hAnsiTheme="minorHAnsi" w:cstheme="minorBidi"/>
    </w:rPr>
  </w:style>
  <w:style w:type="paragraph" w:styleId="CommentSubject">
    <w:name w:val="annotation subject"/>
    <w:basedOn w:val="CommentText"/>
    <w:next w:val="CommentText"/>
    <w:link w:val="CommentSubjectChar"/>
    <w:uiPriority w:val="99"/>
    <w:unhideWhenUsed/>
    <w:rsid w:val="003B5CDE"/>
    <w:rPr>
      <w:b/>
      <w:bCs/>
    </w:rPr>
  </w:style>
  <w:style w:type="character" w:customStyle="1" w:styleId="CommentSubjectChar">
    <w:name w:val="Comment Subject Char"/>
    <w:basedOn w:val="CommentTextChar"/>
    <w:link w:val="CommentSubject"/>
    <w:uiPriority w:val="99"/>
    <w:rsid w:val="003B5CDE"/>
    <w:rPr>
      <w:rFonts w:asciiTheme="minorHAnsi" w:eastAsiaTheme="minorEastAsia" w:hAnsiTheme="minorHAnsi" w:cstheme="minorBidi"/>
      <w:b/>
      <w:bCs/>
    </w:rPr>
  </w:style>
  <w:style w:type="paragraph" w:customStyle="1" w:styleId="DateandProjNumber">
    <w:name w:val="Date and Proj. Number"/>
    <w:basedOn w:val="Normal"/>
    <w:next w:val="BodyText-0After"/>
    <w:rsid w:val="00C2349F"/>
    <w:pPr>
      <w:tabs>
        <w:tab w:val="right" w:pos="9360"/>
      </w:tabs>
      <w:autoSpaceDE w:val="0"/>
      <w:autoSpaceDN w:val="0"/>
      <w:adjustRightInd w:val="0"/>
      <w:spacing w:before="840" w:after="480" w:line="317" w:lineRule="exact"/>
    </w:pPr>
  </w:style>
  <w:style w:type="character" w:customStyle="1" w:styleId="HeaderChar">
    <w:name w:val="Header Char"/>
    <w:basedOn w:val="DefaultParagraphFont"/>
    <w:link w:val="Header"/>
    <w:uiPriority w:val="99"/>
    <w:rsid w:val="003B5CDE"/>
    <w:rPr>
      <w:rFonts w:asciiTheme="minorHAnsi" w:eastAsiaTheme="minorEastAsia" w:hAnsiTheme="minorHAnsi" w:cstheme="minorBidi"/>
    </w:rPr>
  </w:style>
  <w:style w:type="character" w:customStyle="1" w:styleId="Heading1Char">
    <w:name w:val="Heading 1 Char"/>
    <w:basedOn w:val="DefaultParagraphFont"/>
    <w:link w:val="Heading1"/>
    <w:uiPriority w:val="9"/>
    <w:rsid w:val="008238A1"/>
    <w:rPr>
      <w:rFonts w:ascii="Century Gothic" w:eastAsiaTheme="minorEastAsia" w:hAnsi="Century Gothic" w:cstheme="minorBidi"/>
      <w:b/>
      <w:bCs/>
      <w:caps/>
      <w:color w:val="FFFFFF" w:themeColor="background1"/>
      <w:spacing w:val="15"/>
      <w:sz w:val="24"/>
      <w:szCs w:val="22"/>
      <w:shd w:val="clear" w:color="auto" w:fill="1CADE4"/>
    </w:rPr>
  </w:style>
  <w:style w:type="character" w:customStyle="1" w:styleId="Heading2Char">
    <w:name w:val="Heading 2 Char"/>
    <w:basedOn w:val="DefaultParagraphFont"/>
    <w:link w:val="Heading2"/>
    <w:uiPriority w:val="9"/>
    <w:rsid w:val="00E66AF5"/>
    <w:rPr>
      <w:rFonts w:ascii="Century Gothic" w:eastAsiaTheme="minorEastAsia" w:hAnsi="Century Gothic" w:cstheme="minorBidi"/>
      <w:caps/>
      <w:spacing w:val="15"/>
      <w:sz w:val="22"/>
      <w:szCs w:val="22"/>
      <w:shd w:val="clear" w:color="auto" w:fill="D1EEF9"/>
    </w:rPr>
  </w:style>
  <w:style w:type="character" w:customStyle="1" w:styleId="Heading3Char">
    <w:name w:val="Heading 3 Char"/>
    <w:basedOn w:val="DefaultParagraphFont"/>
    <w:link w:val="Heading3"/>
    <w:uiPriority w:val="9"/>
    <w:rsid w:val="008238A1"/>
    <w:rPr>
      <w:rFonts w:asciiTheme="minorHAnsi" w:eastAsiaTheme="minorEastAsia" w:hAnsiTheme="minorHAnsi" w:cstheme="minorBidi"/>
      <w:caps/>
      <w:color w:val="243F60" w:themeColor="accent1" w:themeShade="7F"/>
      <w:spacing w:val="15"/>
      <w:sz w:val="22"/>
      <w:szCs w:val="22"/>
    </w:rPr>
  </w:style>
  <w:style w:type="character" w:customStyle="1" w:styleId="Heading4Char">
    <w:name w:val="Heading 4 Char"/>
    <w:basedOn w:val="DefaultParagraphFont"/>
    <w:link w:val="Heading4"/>
    <w:uiPriority w:val="9"/>
    <w:rsid w:val="003B5CDE"/>
    <w:rPr>
      <w:rFonts w:asciiTheme="minorHAnsi" w:eastAsiaTheme="minorEastAsia" w:hAnsiTheme="minorHAnsi" w:cstheme="minorBidi"/>
      <w:caps/>
      <w:color w:val="365F91" w:themeColor="accent1" w:themeShade="BF"/>
      <w:spacing w:val="10"/>
      <w:sz w:val="22"/>
      <w:szCs w:val="22"/>
    </w:rPr>
  </w:style>
  <w:style w:type="character" w:customStyle="1" w:styleId="Heading5Char">
    <w:name w:val="Heading 5 Char"/>
    <w:basedOn w:val="DefaultParagraphFont"/>
    <w:link w:val="Heading5"/>
    <w:uiPriority w:val="9"/>
    <w:rsid w:val="003B5CDE"/>
    <w:rPr>
      <w:rFonts w:asciiTheme="minorHAnsi" w:eastAsiaTheme="minorEastAsia" w:hAnsiTheme="minorHAnsi" w:cstheme="minorBidi"/>
      <w:caps/>
      <w:color w:val="365F91" w:themeColor="accent1" w:themeShade="BF"/>
      <w:spacing w:val="10"/>
      <w:sz w:val="22"/>
      <w:szCs w:val="22"/>
    </w:rPr>
  </w:style>
  <w:style w:type="paragraph" w:customStyle="1" w:styleId="ISHeading1">
    <w:name w:val="IS Heading 1"/>
    <w:basedOn w:val="Normal"/>
    <w:rsid w:val="00104F4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17" w:lineRule="exact"/>
    </w:pPr>
    <w:rPr>
      <w:rFonts w:ascii="Arial" w:hAnsi="Arial" w:cs="Arial"/>
      <w:b/>
    </w:rPr>
  </w:style>
  <w:style w:type="paragraph" w:customStyle="1" w:styleId="NumberListFinal">
    <w:name w:val="Number List Final"/>
    <w:basedOn w:val="NumberList"/>
    <w:next w:val="BodyText"/>
    <w:qFormat/>
    <w:rsid w:val="00DC3990"/>
    <w:pPr>
      <w:spacing w:after="240"/>
    </w:pPr>
  </w:style>
  <w:style w:type="character" w:styleId="PageNumber">
    <w:name w:val="page number"/>
    <w:basedOn w:val="DefaultParagraphFont"/>
    <w:uiPriority w:val="99"/>
    <w:unhideWhenUsed/>
    <w:rsid w:val="003B5CDE"/>
  </w:style>
  <w:style w:type="paragraph" w:customStyle="1" w:styleId="Questiontext">
    <w:name w:val="Question text"/>
    <w:basedOn w:val="BodyText"/>
    <w:next w:val="Answertext"/>
    <w:rsid w:val="00DC3990"/>
    <w:pPr>
      <w:keepNext/>
      <w:keepLines/>
      <w:ind w:left="720" w:hanging="720"/>
    </w:pPr>
    <w:rPr>
      <w:b/>
      <w:i/>
    </w:rPr>
  </w:style>
  <w:style w:type="paragraph" w:customStyle="1" w:styleId="Questiontextsub">
    <w:name w:val="Question text (sub)"/>
    <w:basedOn w:val="Questiontext"/>
    <w:rsid w:val="00DC3990"/>
    <w:pPr>
      <w:ind w:left="1440"/>
    </w:pPr>
  </w:style>
  <w:style w:type="paragraph" w:customStyle="1" w:styleId="SignatureLine">
    <w:name w:val="Signature Line"/>
    <w:basedOn w:val="BodyText"/>
    <w:rsid w:val="00C713F3"/>
    <w:pPr>
      <w:spacing w:after="0"/>
    </w:pPr>
  </w:style>
  <w:style w:type="paragraph" w:customStyle="1" w:styleId="Sincerely">
    <w:name w:val="Sincerely"/>
    <w:basedOn w:val="BodyText"/>
    <w:rsid w:val="00C713F3"/>
    <w:pPr>
      <w:spacing w:after="360"/>
    </w:pPr>
  </w:style>
  <w:style w:type="character" w:customStyle="1" w:styleId="TableTextChar">
    <w:name w:val="Table Text Char"/>
    <w:link w:val="TableText"/>
    <w:rsid w:val="00D71601"/>
    <w:rPr>
      <w:rFonts w:asciiTheme="minorHAnsi" w:eastAsia="Segoe UI" w:hAnsiTheme="minorHAnsi" w:cstheme="minorHAnsi"/>
      <w:sz w:val="22"/>
      <w:szCs w:val="22"/>
    </w:rPr>
  </w:style>
  <w:style w:type="paragraph" w:customStyle="1" w:styleId="Tablea">
    <w:name w:val="Table a)"/>
    <w:basedOn w:val="TableText"/>
    <w:rsid w:val="00104F49"/>
    <w:pPr>
      <w:ind w:left="360" w:hanging="360"/>
    </w:pPr>
    <w:rPr>
      <w:szCs w:val="20"/>
    </w:rPr>
  </w:style>
  <w:style w:type="paragraph" w:customStyle="1" w:styleId="Tablei">
    <w:name w:val="Table i)"/>
    <w:basedOn w:val="Tablea"/>
    <w:rsid w:val="00104F49"/>
    <w:pPr>
      <w:ind w:left="720"/>
    </w:pPr>
  </w:style>
  <w:style w:type="paragraph" w:customStyle="1" w:styleId="TableI0">
    <w:name w:val="Table I."/>
    <w:basedOn w:val="TableText"/>
    <w:link w:val="TableICharChar"/>
    <w:rsid w:val="00104F49"/>
    <w:pPr>
      <w:keepNext/>
      <w:keepLines/>
      <w:ind w:left="360" w:hanging="360"/>
    </w:pPr>
    <w:rPr>
      <w:b/>
      <w:szCs w:val="20"/>
    </w:rPr>
  </w:style>
  <w:style w:type="character" w:customStyle="1" w:styleId="TableICharChar">
    <w:name w:val="Table I. Char Char"/>
    <w:link w:val="TableI0"/>
    <w:rsid w:val="00104F49"/>
    <w:rPr>
      <w:rFonts w:ascii="Franklin Gothic Book" w:eastAsia="Segoe UI" w:hAnsi="Franklin Gothic Book" w:cs="Segoe UI"/>
      <w:b/>
      <w:spacing w:val="-4"/>
      <w:sz w:val="21"/>
    </w:rPr>
  </w:style>
  <w:style w:type="paragraph" w:customStyle="1" w:styleId="Task">
    <w:name w:val="Task"/>
    <w:basedOn w:val="Heading3"/>
    <w:rsid w:val="00104F49"/>
    <w:pPr>
      <w:ind w:left="1080" w:hanging="1080"/>
    </w:pPr>
  </w:style>
  <w:style w:type="paragraph" w:customStyle="1" w:styleId="TaskCost">
    <w:name w:val="Task Cost"/>
    <w:basedOn w:val="Normal"/>
    <w:rsid w:val="00104F49"/>
    <w:pPr>
      <w:tabs>
        <w:tab w:val="right" w:leader="dot" w:pos="10080"/>
      </w:tabs>
      <w:spacing w:after="240" w:line="280" w:lineRule="exact"/>
      <w:outlineLvl w:val="3"/>
    </w:pPr>
    <w:rPr>
      <w:rFonts w:ascii="Franklin Gothic Book" w:eastAsiaTheme="minorHAnsi" w:hAnsi="Franklin Gothic Book" w:cs="Segoe UI"/>
      <w:b/>
      <w:bCs/>
      <w:i/>
      <w:color w:val="003359"/>
      <w:spacing w:val="-2"/>
      <w:sz w:val="21"/>
      <w:szCs w:val="21"/>
    </w:rPr>
  </w:style>
  <w:style w:type="paragraph" w:customStyle="1" w:styleId="TASKCOSTTOTAL">
    <w:name w:val="TASK COST TOTAL"/>
    <w:basedOn w:val="TaskCost"/>
    <w:rsid w:val="00104F49"/>
    <w:rPr>
      <w:i w:val="0"/>
      <w:caps/>
    </w:rPr>
  </w:style>
  <w:style w:type="character" w:customStyle="1" w:styleId="Heading6Char">
    <w:name w:val="Heading 6 Char"/>
    <w:basedOn w:val="DefaultParagraphFont"/>
    <w:link w:val="Heading6"/>
    <w:uiPriority w:val="9"/>
    <w:rsid w:val="003B5CDE"/>
    <w:rPr>
      <w:rFonts w:asciiTheme="minorHAnsi" w:eastAsiaTheme="minorEastAsia" w:hAnsiTheme="minorHAnsi" w:cstheme="minorBidi"/>
      <w:caps/>
      <w:color w:val="365F91" w:themeColor="accent1" w:themeShade="BF"/>
      <w:spacing w:val="10"/>
      <w:sz w:val="22"/>
      <w:szCs w:val="22"/>
    </w:rPr>
  </w:style>
  <w:style w:type="character" w:customStyle="1" w:styleId="Heading7Char">
    <w:name w:val="Heading 7 Char"/>
    <w:basedOn w:val="DefaultParagraphFont"/>
    <w:link w:val="Heading7"/>
    <w:uiPriority w:val="9"/>
    <w:rsid w:val="003B5CDE"/>
    <w:rPr>
      <w:rFonts w:asciiTheme="minorHAnsi" w:eastAsiaTheme="minorEastAsia" w:hAnsiTheme="minorHAnsi" w:cstheme="minorBidi"/>
      <w:caps/>
      <w:color w:val="365F91" w:themeColor="accent1" w:themeShade="BF"/>
      <w:spacing w:val="10"/>
      <w:sz w:val="22"/>
      <w:szCs w:val="22"/>
    </w:rPr>
  </w:style>
  <w:style w:type="character" w:customStyle="1" w:styleId="Heading9Char">
    <w:name w:val="Heading 9 Char"/>
    <w:basedOn w:val="DefaultParagraphFont"/>
    <w:link w:val="Heading9"/>
    <w:uiPriority w:val="9"/>
    <w:rsid w:val="003B5CDE"/>
    <w:rPr>
      <w:rFonts w:asciiTheme="minorHAnsi" w:eastAsiaTheme="minorEastAsia" w:hAnsiTheme="minorHAnsi" w:cstheme="minorBidi"/>
      <w:i/>
      <w:caps/>
      <w:spacing w:val="10"/>
      <w:sz w:val="18"/>
      <w:szCs w:val="18"/>
    </w:rPr>
  </w:style>
  <w:style w:type="paragraph" w:customStyle="1" w:styleId="TableText-Continuous">
    <w:name w:val="Table Text - Continuous"/>
    <w:basedOn w:val="TableText"/>
    <w:qFormat/>
    <w:rsid w:val="00DC3990"/>
    <w:pPr>
      <w:spacing w:after="120"/>
    </w:pPr>
  </w:style>
  <w:style w:type="paragraph" w:customStyle="1" w:styleId="TableText-LetteredList">
    <w:name w:val="Table Text - Lettered List"/>
    <w:qFormat/>
    <w:rsid w:val="00DC3990"/>
    <w:pPr>
      <w:numPr>
        <w:numId w:val="13"/>
      </w:numPr>
      <w:spacing w:before="20" w:after="20"/>
    </w:pPr>
    <w:rPr>
      <w:rFonts w:ascii="Franklin Gothic Book" w:eastAsia="Segoe UI" w:hAnsi="Franklin Gothic Book" w:cs="Segoe UI"/>
      <w:sz w:val="21"/>
      <w:szCs w:val="21"/>
    </w:rPr>
  </w:style>
  <w:style w:type="character" w:customStyle="1" w:styleId="AnswertextChar">
    <w:name w:val="Answer text Char"/>
    <w:basedOn w:val="BodyTextChar"/>
    <w:link w:val="Answertext"/>
    <w:rsid w:val="00DC3990"/>
    <w:rPr>
      <w:rFonts w:ascii="Franklin Gothic Book" w:eastAsia="SimSun" w:hAnsi="Franklin Gothic Book" w:cstheme="minorBidi"/>
      <w:sz w:val="21"/>
      <w:szCs w:val="24"/>
    </w:rPr>
  </w:style>
  <w:style w:type="paragraph" w:customStyle="1" w:styleId="AnswerText-Lead-in">
    <w:name w:val="Answer Text - Lead-in"/>
    <w:basedOn w:val="Answertext"/>
    <w:link w:val="AnswerText-Lead-inChar"/>
    <w:qFormat/>
    <w:rsid w:val="00DC3990"/>
    <w:rPr>
      <w:rFonts w:ascii="Avenir Next LT Pro" w:hAnsi="Avenir Next LT Pro"/>
      <w:color w:val="0F2B4D"/>
    </w:rPr>
  </w:style>
  <w:style w:type="character" w:customStyle="1" w:styleId="AnswerText-Lead-inChar">
    <w:name w:val="Answer Text - Lead-in Char"/>
    <w:basedOn w:val="AnswertextChar"/>
    <w:link w:val="AnswerText-Lead-in"/>
    <w:rsid w:val="00DC3990"/>
    <w:rPr>
      <w:rFonts w:ascii="Avenir Next LT Pro" w:eastAsia="SimSun" w:hAnsi="Avenir Next LT Pro" w:cstheme="minorBidi"/>
      <w:color w:val="0F2B4D"/>
      <w:sz w:val="21"/>
      <w:szCs w:val="24"/>
    </w:rPr>
  </w:style>
  <w:style w:type="paragraph" w:customStyle="1" w:styleId="BodyText-Lead-inBold">
    <w:name w:val="Body Text - Lead-in Bold"/>
    <w:basedOn w:val="BodyText"/>
    <w:link w:val="BodyText-Lead-inBoldChar"/>
    <w:qFormat/>
    <w:rsid w:val="00DC3990"/>
    <w:rPr>
      <w:b/>
      <w:color w:val="0F2B4D"/>
    </w:rPr>
  </w:style>
  <w:style w:type="character" w:customStyle="1" w:styleId="BodyText-Lead-inBoldChar">
    <w:name w:val="Body Text - Lead-in Bold Char"/>
    <w:basedOn w:val="BodyTextChar"/>
    <w:link w:val="BodyText-Lead-inBold"/>
    <w:rsid w:val="00DC3990"/>
    <w:rPr>
      <w:rFonts w:ascii="Franklin Gothic Book" w:eastAsia="SimSun" w:hAnsi="Franklin Gothic Book" w:cstheme="minorBidi"/>
      <w:b/>
      <w:color w:val="0F2B4D"/>
      <w:sz w:val="21"/>
      <w:szCs w:val="24"/>
    </w:rPr>
  </w:style>
  <w:style w:type="paragraph" w:customStyle="1" w:styleId="BodyText-Lead-inBold-Italic">
    <w:name w:val="Body Text - Lead-in Bold-Italic"/>
    <w:basedOn w:val="BodyText"/>
    <w:link w:val="BodyText-Lead-inBold-ItalicChar"/>
    <w:qFormat/>
    <w:rsid w:val="00DC3990"/>
    <w:rPr>
      <w:b/>
      <w:i/>
      <w:color w:val="0F2B4D"/>
      <w:spacing w:val="4"/>
    </w:rPr>
  </w:style>
  <w:style w:type="character" w:customStyle="1" w:styleId="BodyText-Lead-inBold-ItalicChar">
    <w:name w:val="Body Text - Lead-in Bold-Italic Char"/>
    <w:basedOn w:val="BodyTextChar"/>
    <w:link w:val="BodyText-Lead-inBold-Italic"/>
    <w:rsid w:val="00DC3990"/>
    <w:rPr>
      <w:rFonts w:ascii="Franklin Gothic Book" w:eastAsia="SimSun" w:hAnsi="Franklin Gothic Book" w:cstheme="minorBidi"/>
      <w:b/>
      <w:i/>
      <w:color w:val="0F2B4D"/>
      <w:spacing w:val="4"/>
      <w:sz w:val="21"/>
      <w:szCs w:val="24"/>
    </w:rPr>
  </w:style>
  <w:style w:type="paragraph" w:customStyle="1" w:styleId="Cover-Address-Dudek">
    <w:name w:val="Cover - Address - Dudek"/>
    <w:basedOn w:val="CoverAddress"/>
    <w:qFormat/>
    <w:rsid w:val="00DC3990"/>
    <w:pPr>
      <w:jc w:val="right"/>
    </w:pPr>
  </w:style>
  <w:style w:type="paragraph" w:customStyle="1" w:styleId="CoverContact-Client">
    <w:name w:val="Cover – Contact - Client"/>
    <w:basedOn w:val="Normal"/>
    <w:rsid w:val="00DC3990"/>
    <w:pPr>
      <w:autoSpaceDE w:val="0"/>
      <w:autoSpaceDN w:val="0"/>
      <w:adjustRightInd w:val="0"/>
      <w:spacing w:after="720" w:line="280" w:lineRule="exact"/>
      <w:contextualSpacing/>
    </w:pPr>
    <w:rPr>
      <w:rFonts w:ascii="Avenir Next LT Pro" w:hAnsi="Avenir Next LT Pro" w:cs="Segoe UI Semibold"/>
      <w:i/>
      <w:sz w:val="21"/>
      <w:szCs w:val="21"/>
    </w:rPr>
  </w:style>
  <w:style w:type="paragraph" w:customStyle="1" w:styleId="Cover-Contact-Dudek">
    <w:name w:val="Cover - Contact - Dudek"/>
    <w:basedOn w:val="CoverAddress"/>
    <w:qFormat/>
    <w:rsid w:val="00DC3990"/>
    <w:pPr>
      <w:spacing w:after="1200"/>
      <w:contextualSpacing/>
      <w:jc w:val="right"/>
    </w:pPr>
    <w:rPr>
      <w:i/>
    </w:rPr>
  </w:style>
  <w:style w:type="paragraph" w:customStyle="1" w:styleId="CoverPreparedfor">
    <w:name w:val="Cover – Prepared for"/>
    <w:basedOn w:val="Normal"/>
    <w:next w:val="CoverClient"/>
    <w:rsid w:val="00DC3990"/>
    <w:pPr>
      <w:spacing w:before="840" w:after="240"/>
    </w:pPr>
    <w:rPr>
      <w:rFonts w:ascii="Avenir Next LT Pro" w:hAnsi="Avenir Next LT Pro" w:cs="Segoe UI Semibold"/>
      <w:i/>
      <w:sz w:val="21"/>
      <w:szCs w:val="21"/>
    </w:rPr>
  </w:style>
  <w:style w:type="paragraph" w:customStyle="1" w:styleId="Cover-Preparedby">
    <w:name w:val="Cover - Prepared by"/>
    <w:basedOn w:val="CoverPreparedfor"/>
    <w:qFormat/>
    <w:rsid w:val="00DC3990"/>
    <w:pPr>
      <w:spacing w:before="0"/>
      <w:jc w:val="right"/>
    </w:pPr>
  </w:style>
  <w:style w:type="paragraph" w:customStyle="1" w:styleId="Cover-ProjectName">
    <w:name w:val="Cover - Project Name"/>
    <w:next w:val="CoverDate"/>
    <w:qFormat/>
    <w:rsid w:val="00DC3990"/>
    <w:pPr>
      <w:pBdr>
        <w:bottom w:val="single" w:sz="8" w:space="1" w:color="0F2B4D"/>
      </w:pBdr>
    </w:pPr>
    <w:rPr>
      <w:rFonts w:ascii="Avenir Next LT Pro" w:eastAsia="SimSun" w:hAnsi="Avenir Next LT Pro" w:cs="Arial Black"/>
      <w:b/>
      <w:bCs/>
      <w:color w:val="0F2B4D"/>
      <w:spacing w:val="-10"/>
      <w:kern w:val="20"/>
      <w:sz w:val="72"/>
      <w:szCs w:val="72"/>
      <w:lang w:val="haw-US"/>
      <w14:ligatures w14:val="all"/>
    </w:rPr>
  </w:style>
  <w:style w:type="paragraph" w:customStyle="1" w:styleId="CoverReportType">
    <w:name w:val="Cover – Report Type"/>
    <w:basedOn w:val="Normal"/>
    <w:next w:val="Cover-ProjectName"/>
    <w:rsid w:val="00DC3990"/>
    <w:pPr>
      <w:pBdr>
        <w:top w:val="single" w:sz="8" w:space="15" w:color="0F2B4D"/>
      </w:pBdr>
      <w:autoSpaceDE w:val="0"/>
      <w:autoSpaceDN w:val="0"/>
      <w:adjustRightInd w:val="0"/>
      <w:spacing w:before="480" w:after="120" w:line="228" w:lineRule="auto"/>
      <w:contextualSpacing/>
    </w:pPr>
    <w:rPr>
      <w:rFonts w:ascii="Avenir Next LT Pro" w:hAnsi="Avenir Next LT Pro" w:cs="Arial Black"/>
      <w:color w:val="0F2B4D"/>
      <w:spacing w:val="-10"/>
      <w:kern w:val="20"/>
      <w:sz w:val="52"/>
      <w:szCs w:val="52"/>
      <w14:ligatures w14:val="all"/>
    </w:rPr>
  </w:style>
  <w:style w:type="paragraph" w:customStyle="1" w:styleId="Cover-SignatureLine">
    <w:name w:val="Cover - Signature Line"/>
    <w:basedOn w:val="Normal"/>
    <w:qFormat/>
    <w:rsid w:val="00DC3990"/>
    <w:pPr>
      <w:autoSpaceDE w:val="0"/>
      <w:autoSpaceDN w:val="0"/>
      <w:adjustRightInd w:val="0"/>
      <w:contextualSpacing/>
      <w:jc w:val="right"/>
    </w:pPr>
    <w:rPr>
      <w:rFonts w:ascii="Avenir Next LT Pro" w:hAnsi="Avenir Next LT Pro" w:cs="Segoe UI Semibold"/>
      <w:sz w:val="21"/>
      <w:szCs w:val="21"/>
    </w:rPr>
  </w:style>
  <w:style w:type="paragraph" w:customStyle="1" w:styleId="Cover-SignatureName">
    <w:name w:val="Cover - Signature Name"/>
    <w:basedOn w:val="CoverContact-Client"/>
    <w:qFormat/>
    <w:rsid w:val="00DC3990"/>
    <w:pPr>
      <w:spacing w:line="280" w:lineRule="atLeast"/>
      <w:jc w:val="right"/>
    </w:pPr>
    <w:rPr>
      <w:rFonts w:eastAsia="Times New Roman"/>
      <w:i w:val="0"/>
      <w:lang w:val="haw-US"/>
    </w:rPr>
  </w:style>
  <w:style w:type="paragraph" w:customStyle="1" w:styleId="ExhibitCaption">
    <w:name w:val="Exhibit Caption"/>
    <w:basedOn w:val="BodyText"/>
    <w:qFormat/>
    <w:rsid w:val="00DC3990"/>
    <w:pPr>
      <w:keepNext/>
      <w:spacing w:after="0"/>
    </w:pPr>
  </w:style>
  <w:style w:type="paragraph" w:customStyle="1" w:styleId="ExhibitSourceNote">
    <w:name w:val="Exhibit Source/Note"/>
    <w:basedOn w:val="TableSourceNote"/>
    <w:qFormat/>
    <w:rsid w:val="00DC3990"/>
    <w:pPr>
      <w:framePr w:hSpace="187" w:vSpace="187" w:wrap="around" w:vAnchor="text" w:hAnchor="text" w:y="1"/>
      <w:spacing w:before="0" w:after="0"/>
      <w:suppressOverlap/>
    </w:pPr>
  </w:style>
  <w:style w:type="character" w:customStyle="1" w:styleId="FooterChar">
    <w:name w:val="Footer Char"/>
    <w:basedOn w:val="DefaultParagraphFont"/>
    <w:link w:val="Footer"/>
    <w:uiPriority w:val="99"/>
    <w:rsid w:val="00CB7D34"/>
    <w:rPr>
      <w:rFonts w:asciiTheme="minorHAnsi" w:eastAsiaTheme="minorEastAsia" w:hAnsiTheme="minorHAnsi" w:cstheme="minorBidi"/>
      <w:b/>
      <w:sz w:val="32"/>
    </w:rPr>
  </w:style>
  <w:style w:type="paragraph" w:customStyle="1" w:styleId="GPOLevel1">
    <w:name w:val="GPO Level 1"/>
    <w:basedOn w:val="BodyText"/>
    <w:link w:val="GPOLevel1Char"/>
    <w:qFormat/>
    <w:rsid w:val="00DC3990"/>
    <w:pPr>
      <w:ind w:left="720" w:hanging="720"/>
    </w:pPr>
    <w:rPr>
      <w:szCs w:val="21"/>
    </w:rPr>
  </w:style>
  <w:style w:type="character" w:customStyle="1" w:styleId="GPOLevel1Char">
    <w:name w:val="GPO Level 1 Char"/>
    <w:basedOn w:val="BodyTextChar"/>
    <w:link w:val="GPOLevel1"/>
    <w:rsid w:val="00DC3990"/>
    <w:rPr>
      <w:rFonts w:ascii="Franklin Gothic Book" w:eastAsia="SimSun" w:hAnsi="Franklin Gothic Book" w:cstheme="minorBidi"/>
      <w:sz w:val="21"/>
      <w:szCs w:val="21"/>
    </w:rPr>
  </w:style>
  <w:style w:type="paragraph" w:customStyle="1" w:styleId="GPOLeadin">
    <w:name w:val="GPO Leadin"/>
    <w:basedOn w:val="GPOLevel1"/>
    <w:link w:val="GPOLeadinChar"/>
    <w:qFormat/>
    <w:rsid w:val="00DC3990"/>
    <w:rPr>
      <w:rFonts w:ascii="Avenir Next LT Pro" w:hAnsi="Avenir Next LT Pro"/>
      <w:color w:val="0F2B4D"/>
    </w:rPr>
  </w:style>
  <w:style w:type="character" w:customStyle="1" w:styleId="GPOLeadinChar">
    <w:name w:val="GPO Leadin Char"/>
    <w:basedOn w:val="GPOLevel1Char"/>
    <w:link w:val="GPOLeadin"/>
    <w:rsid w:val="00DC3990"/>
    <w:rPr>
      <w:rFonts w:ascii="Avenir Next LT Pro" w:eastAsia="SimSun" w:hAnsi="Avenir Next LT Pro" w:cstheme="minorBidi"/>
      <w:color w:val="0F2B4D"/>
      <w:sz w:val="21"/>
      <w:szCs w:val="21"/>
    </w:rPr>
  </w:style>
  <w:style w:type="paragraph" w:customStyle="1" w:styleId="GPOLevel1-Bullet">
    <w:name w:val="GPO Level 1 - Bullet"/>
    <w:basedOn w:val="GPOLevel1"/>
    <w:qFormat/>
    <w:rsid w:val="00DC3990"/>
    <w:pPr>
      <w:numPr>
        <w:numId w:val="5"/>
      </w:numPr>
      <w:spacing w:after="60"/>
    </w:pPr>
  </w:style>
  <w:style w:type="paragraph" w:customStyle="1" w:styleId="GPOLevel1-BulletFinal">
    <w:name w:val="GPO Level 1 - Bullet Final"/>
    <w:basedOn w:val="GPOLevel1-Bullet"/>
    <w:next w:val="GPOLevel1"/>
    <w:qFormat/>
    <w:rsid w:val="00DC3990"/>
    <w:pPr>
      <w:tabs>
        <w:tab w:val="clear" w:pos="2880"/>
        <w:tab w:val="num" w:pos="1080"/>
      </w:tabs>
      <w:spacing w:after="240"/>
    </w:pPr>
  </w:style>
  <w:style w:type="paragraph" w:customStyle="1" w:styleId="GPOLevel2">
    <w:name w:val="GPO Level 2"/>
    <w:basedOn w:val="BodyText"/>
    <w:qFormat/>
    <w:rsid w:val="00DC3990"/>
    <w:pPr>
      <w:ind w:left="1440" w:hanging="720"/>
    </w:pPr>
    <w:rPr>
      <w:szCs w:val="21"/>
    </w:rPr>
  </w:style>
  <w:style w:type="paragraph" w:customStyle="1" w:styleId="GPOLevel2-Bullet">
    <w:name w:val="GPO Level 2 - Bullet"/>
    <w:basedOn w:val="GPOLevel2"/>
    <w:qFormat/>
    <w:rsid w:val="00DC3990"/>
    <w:pPr>
      <w:numPr>
        <w:numId w:val="6"/>
      </w:numPr>
      <w:spacing w:after="60"/>
    </w:pPr>
  </w:style>
  <w:style w:type="paragraph" w:customStyle="1" w:styleId="GPOLevel2-BulletFinal">
    <w:name w:val="GPO Level 2 - Bullet Final"/>
    <w:basedOn w:val="GPOLevel2-Bullet"/>
    <w:next w:val="GPOLevel2"/>
    <w:qFormat/>
    <w:rsid w:val="00DC3990"/>
    <w:pPr>
      <w:spacing w:after="240"/>
    </w:pPr>
  </w:style>
  <w:style w:type="paragraph" w:customStyle="1" w:styleId="GPOLevel3">
    <w:name w:val="GPO Level 3"/>
    <w:basedOn w:val="BodyText"/>
    <w:qFormat/>
    <w:rsid w:val="00DC3990"/>
    <w:pPr>
      <w:ind w:left="2160" w:hanging="720"/>
    </w:pPr>
    <w:rPr>
      <w:szCs w:val="21"/>
    </w:rPr>
  </w:style>
  <w:style w:type="paragraph" w:customStyle="1" w:styleId="GPOLevel3-Bullet">
    <w:name w:val="GPO Level 3 - Bullet"/>
    <w:basedOn w:val="GPOLevel3"/>
    <w:qFormat/>
    <w:rsid w:val="00DC3990"/>
    <w:pPr>
      <w:numPr>
        <w:numId w:val="7"/>
      </w:numPr>
      <w:spacing w:after="60"/>
    </w:pPr>
  </w:style>
  <w:style w:type="paragraph" w:customStyle="1" w:styleId="GPOLevel3-BulletFinal">
    <w:name w:val="GPO Level 3 - Bullet Final"/>
    <w:basedOn w:val="GPOLevel3-Bullet"/>
    <w:next w:val="GPOLevel3"/>
    <w:qFormat/>
    <w:rsid w:val="00DC3990"/>
    <w:pPr>
      <w:spacing w:after="240"/>
    </w:pPr>
  </w:style>
  <w:style w:type="paragraph" w:customStyle="1" w:styleId="Header-FirstPage">
    <w:name w:val="Header - First Page"/>
    <w:basedOn w:val="Header"/>
    <w:qFormat/>
    <w:rsid w:val="00DC3990"/>
  </w:style>
  <w:style w:type="paragraph" w:customStyle="1" w:styleId="HiddenParagraph">
    <w:name w:val="Hidden Paragraph"/>
    <w:basedOn w:val="Normal"/>
    <w:qFormat/>
    <w:rsid w:val="00DC3990"/>
    <w:pPr>
      <w:tabs>
        <w:tab w:val="center" w:pos="5040"/>
        <w:tab w:val="right" w:pos="10080"/>
      </w:tabs>
      <w:ind w:left="72" w:right="72"/>
      <w:contextualSpacing/>
      <w:jc w:val="right"/>
    </w:pPr>
    <w:rPr>
      <w:rFonts w:ascii="Avenir Next LT Pro" w:hAnsi="Avenir Next LT Pro" w:cs="Arial"/>
      <w:caps/>
      <w:sz w:val="2"/>
      <w:szCs w:val="2"/>
    </w:rPr>
  </w:style>
  <w:style w:type="character" w:styleId="Hyperlink">
    <w:name w:val="Hyperlink"/>
    <w:basedOn w:val="DefaultParagraphFont"/>
    <w:uiPriority w:val="99"/>
    <w:unhideWhenUsed/>
    <w:rsid w:val="003B5CDE"/>
    <w:rPr>
      <w:color w:val="0000FF" w:themeColor="hyperlink"/>
      <w:u w:val="single"/>
    </w:rPr>
  </w:style>
  <w:style w:type="character" w:customStyle="1" w:styleId="MitigationMeasureChar">
    <w:name w:val="Mitigation Measure Char"/>
    <w:basedOn w:val="BodyTextChar"/>
    <w:link w:val="MitigationMeasure"/>
    <w:rsid w:val="00DC3990"/>
    <w:rPr>
      <w:rFonts w:ascii="Franklin Gothic Book" w:eastAsia="SimSun" w:hAnsi="Franklin Gothic Book" w:cstheme="minorBidi"/>
      <w:sz w:val="21"/>
      <w:szCs w:val="24"/>
    </w:rPr>
  </w:style>
  <w:style w:type="paragraph" w:customStyle="1" w:styleId="Impacts">
    <w:name w:val="Impacts"/>
    <w:basedOn w:val="MitigationMeasure"/>
    <w:link w:val="ImpactsChar"/>
    <w:qFormat/>
    <w:rsid w:val="00DC3990"/>
    <w:pPr>
      <w:tabs>
        <w:tab w:val="clear" w:pos="1440"/>
      </w:tabs>
      <w:ind w:left="2160" w:hanging="2160"/>
    </w:pPr>
  </w:style>
  <w:style w:type="character" w:customStyle="1" w:styleId="ImpactsChar">
    <w:name w:val="Impacts Char"/>
    <w:basedOn w:val="MitigationMeasureChar"/>
    <w:link w:val="Impacts"/>
    <w:rsid w:val="00DC3990"/>
    <w:rPr>
      <w:rFonts w:ascii="Franklin Gothic Book" w:eastAsia="SimSun" w:hAnsi="Franklin Gothic Book" w:cstheme="minorBidi"/>
      <w:sz w:val="21"/>
      <w:szCs w:val="24"/>
    </w:rPr>
  </w:style>
  <w:style w:type="paragraph" w:customStyle="1" w:styleId="Impact-Answer">
    <w:name w:val="Impact - Answer"/>
    <w:basedOn w:val="Impacts"/>
    <w:qFormat/>
    <w:rsid w:val="00DC3990"/>
    <w:pPr>
      <w:ind w:left="2880"/>
    </w:pPr>
  </w:style>
  <w:style w:type="paragraph" w:customStyle="1" w:styleId="Impact-Answer-Continued">
    <w:name w:val="Impact - Answer - Continued"/>
    <w:basedOn w:val="Impact-Answer"/>
    <w:qFormat/>
    <w:rsid w:val="00DC3990"/>
    <w:pPr>
      <w:ind w:firstLine="0"/>
    </w:pPr>
  </w:style>
  <w:style w:type="paragraph" w:customStyle="1" w:styleId="Impact-Answer-Bullet">
    <w:name w:val="Impact - Answer - Bullet"/>
    <w:basedOn w:val="Impact-Answer-Continued"/>
    <w:qFormat/>
    <w:rsid w:val="00DC3990"/>
    <w:pPr>
      <w:numPr>
        <w:numId w:val="8"/>
      </w:numPr>
      <w:spacing w:after="60"/>
    </w:pPr>
  </w:style>
  <w:style w:type="paragraph" w:customStyle="1" w:styleId="Impact-Answer-BulletFinal">
    <w:name w:val="Impact - Answer - Bullet Final"/>
    <w:basedOn w:val="Impact-Answer-Bullet"/>
    <w:next w:val="Impact-Answer-Continued"/>
    <w:qFormat/>
    <w:rsid w:val="00DC3990"/>
    <w:pPr>
      <w:spacing w:after="240"/>
    </w:pPr>
  </w:style>
  <w:style w:type="paragraph" w:customStyle="1" w:styleId="Impacts-Continued">
    <w:name w:val="Impacts - Continued"/>
    <w:basedOn w:val="Impacts"/>
    <w:qFormat/>
    <w:rsid w:val="00DC3990"/>
    <w:pPr>
      <w:ind w:firstLine="0"/>
    </w:pPr>
  </w:style>
  <w:style w:type="paragraph" w:customStyle="1" w:styleId="Impacts-Bullet">
    <w:name w:val="Impacts - Bullet"/>
    <w:basedOn w:val="Impacts-Continued"/>
    <w:qFormat/>
    <w:rsid w:val="00DC3990"/>
    <w:pPr>
      <w:numPr>
        <w:numId w:val="9"/>
      </w:numPr>
      <w:spacing w:after="60"/>
    </w:pPr>
  </w:style>
  <w:style w:type="paragraph" w:customStyle="1" w:styleId="Impacts-BulletFinal">
    <w:name w:val="Impacts - Bullet Final"/>
    <w:basedOn w:val="Impacts-Bullet"/>
    <w:next w:val="Impacts-Continued"/>
    <w:qFormat/>
    <w:rsid w:val="00DC3990"/>
    <w:pPr>
      <w:spacing w:after="240"/>
    </w:pPr>
  </w:style>
  <w:style w:type="paragraph" w:customStyle="1" w:styleId="ImpactsLeadin">
    <w:name w:val="Impacts Leadin"/>
    <w:basedOn w:val="Impacts"/>
    <w:link w:val="ImpactsLeadinChar"/>
    <w:qFormat/>
    <w:rsid w:val="00DC3990"/>
    <w:rPr>
      <w:rFonts w:ascii="Avenir Next LT Pro" w:hAnsi="Avenir Next LT Pro"/>
      <w:color w:val="0F2B4D"/>
    </w:rPr>
  </w:style>
  <w:style w:type="character" w:customStyle="1" w:styleId="ImpactsLeadinChar">
    <w:name w:val="Impacts Leadin Char"/>
    <w:basedOn w:val="ImpactsChar"/>
    <w:link w:val="ImpactsLeadin"/>
    <w:rsid w:val="00DC3990"/>
    <w:rPr>
      <w:rFonts w:ascii="Avenir Next LT Pro" w:eastAsia="SimSun" w:hAnsi="Avenir Next LT Pro" w:cstheme="minorBidi"/>
      <w:color w:val="0F2B4D"/>
      <w:sz w:val="21"/>
      <w:szCs w:val="24"/>
    </w:rPr>
  </w:style>
  <w:style w:type="paragraph" w:customStyle="1" w:styleId="MitigationMeasure-Answer">
    <w:name w:val="Mitigation Measure - Answer"/>
    <w:basedOn w:val="MitigationMeasure"/>
    <w:qFormat/>
    <w:rsid w:val="00DC3990"/>
    <w:pPr>
      <w:ind w:left="2160"/>
    </w:pPr>
  </w:style>
  <w:style w:type="paragraph" w:customStyle="1" w:styleId="MitigationMeasure-Answer-Continued">
    <w:name w:val="Mitigation Measure - Answer - Continued"/>
    <w:basedOn w:val="MitigationMeasure-Answer"/>
    <w:qFormat/>
    <w:rsid w:val="00DC3990"/>
    <w:pPr>
      <w:tabs>
        <w:tab w:val="clear" w:pos="1440"/>
      </w:tabs>
      <w:ind w:firstLine="0"/>
    </w:pPr>
  </w:style>
  <w:style w:type="paragraph" w:customStyle="1" w:styleId="MitigationMeasure-Answer-Bullet">
    <w:name w:val="Mitigation Measure - Answer - Bullet"/>
    <w:basedOn w:val="MitigationMeasure-Answer-Continued"/>
    <w:qFormat/>
    <w:rsid w:val="00DC3990"/>
    <w:pPr>
      <w:numPr>
        <w:numId w:val="10"/>
      </w:numPr>
      <w:spacing w:after="60"/>
    </w:pPr>
  </w:style>
  <w:style w:type="paragraph" w:customStyle="1" w:styleId="MitigationMeasure-Answer-BulletFinal">
    <w:name w:val="Mitigation Measure - Answer - Bullet Final"/>
    <w:basedOn w:val="MitigationMeasure-Answer-Bullet"/>
    <w:next w:val="MitigationMeasure-Answer-Continued"/>
    <w:qFormat/>
    <w:rsid w:val="00DC3990"/>
    <w:pPr>
      <w:spacing w:after="240"/>
    </w:pPr>
  </w:style>
  <w:style w:type="paragraph" w:customStyle="1" w:styleId="MitigationMeasure-Bullet">
    <w:name w:val="Mitigation Measure - Bullet"/>
    <w:basedOn w:val="MitigationMeasure-Answer-Bullet"/>
    <w:qFormat/>
    <w:rsid w:val="00DC3990"/>
    <w:pPr>
      <w:numPr>
        <w:ilvl w:val="3"/>
        <w:numId w:val="11"/>
      </w:numPr>
      <w:autoSpaceDE/>
      <w:autoSpaceDN/>
      <w:adjustRightInd/>
    </w:pPr>
    <w:rPr>
      <w:noProof/>
    </w:rPr>
  </w:style>
  <w:style w:type="paragraph" w:customStyle="1" w:styleId="MitigationMeasure-BulletFinal">
    <w:name w:val="Mitigation Measure - Bullet Final"/>
    <w:basedOn w:val="Impacts-BulletFinal"/>
    <w:next w:val="MitigationMeasure-Continued"/>
    <w:qFormat/>
    <w:rsid w:val="00DC3990"/>
    <w:pPr>
      <w:numPr>
        <w:ilvl w:val="3"/>
        <w:numId w:val="12"/>
      </w:numPr>
    </w:pPr>
  </w:style>
  <w:style w:type="paragraph" w:customStyle="1" w:styleId="MitigationMeasure-Continued">
    <w:name w:val="Mitigation Measure - Continued"/>
    <w:basedOn w:val="BodyText"/>
    <w:qFormat/>
    <w:rsid w:val="00DC3990"/>
    <w:pPr>
      <w:ind w:left="1440"/>
    </w:pPr>
  </w:style>
  <w:style w:type="paragraph" w:customStyle="1" w:styleId="MitigationTitleLeadin">
    <w:name w:val="Mitigation Title (Leadin)"/>
    <w:basedOn w:val="Normal"/>
    <w:link w:val="MitigationTitleLeadinChar"/>
    <w:qFormat/>
    <w:rsid w:val="00DC3990"/>
    <w:pPr>
      <w:tabs>
        <w:tab w:val="left" w:pos="1440"/>
      </w:tabs>
      <w:autoSpaceDE w:val="0"/>
      <w:autoSpaceDN w:val="0"/>
      <w:adjustRightInd w:val="0"/>
      <w:spacing w:after="240" w:line="280" w:lineRule="exact"/>
      <w:ind w:left="1440" w:hanging="1440"/>
    </w:pPr>
    <w:rPr>
      <w:rFonts w:ascii="Avenir Next LT Pro" w:hAnsi="Avenir Next LT Pro"/>
      <w:bCs/>
      <w:color w:val="0F2B4D"/>
      <w:sz w:val="21"/>
    </w:rPr>
  </w:style>
  <w:style w:type="character" w:customStyle="1" w:styleId="MitigationTitleLeadinChar">
    <w:name w:val="Mitigation Title (Leadin) Char"/>
    <w:basedOn w:val="MitigationMeasureChar"/>
    <w:link w:val="MitigationTitleLeadin"/>
    <w:rsid w:val="00DC3990"/>
    <w:rPr>
      <w:rFonts w:ascii="Avenir Next LT Pro" w:eastAsia="SimSun" w:hAnsi="Avenir Next LT Pro" w:cstheme="minorBidi"/>
      <w:bCs/>
      <w:color w:val="0F2B4D"/>
      <w:sz w:val="21"/>
      <w:szCs w:val="24"/>
    </w:rPr>
  </w:style>
  <w:style w:type="character" w:customStyle="1" w:styleId="TableHeadingChar">
    <w:name w:val="Table Heading Char"/>
    <w:link w:val="TableHeading"/>
    <w:locked/>
    <w:rsid w:val="008238A1"/>
    <w:rPr>
      <w:rFonts w:asciiTheme="minorHAnsi" w:eastAsia="Calibri" w:hAnsiTheme="minorHAnsi" w:cs="Calibri"/>
      <w:b/>
      <w:bCs/>
      <w:color w:val="FFFFFF" w:themeColor="background1"/>
      <w:sz w:val="28"/>
      <w:szCs w:val="22"/>
    </w:rPr>
  </w:style>
  <w:style w:type="paragraph" w:customStyle="1" w:styleId="TOCTableofAppendices">
    <w:name w:val="TOC Table of Appendices"/>
    <w:rsid w:val="00461E29"/>
    <w:pPr>
      <w:numPr>
        <w:numId w:val="15"/>
      </w:numPr>
      <w:spacing w:after="60" w:line="280" w:lineRule="exact"/>
    </w:pPr>
    <w:rPr>
      <w:rFonts w:ascii="Franklin Gothic Book" w:eastAsia="SimSun" w:hAnsi="Franklin Gothic Book" w:cs="Segoe UI"/>
      <w:noProof/>
      <w:sz w:val="21"/>
      <w:szCs w:val="21"/>
    </w:rPr>
  </w:style>
  <w:style w:type="paragraph" w:customStyle="1" w:styleId="TOCTableofExhibits">
    <w:name w:val="TOC Table of Exhibits"/>
    <w:basedOn w:val="Normal"/>
    <w:qFormat/>
    <w:rsid w:val="00DC3990"/>
    <w:pPr>
      <w:tabs>
        <w:tab w:val="left" w:pos="720"/>
        <w:tab w:val="right" w:leader="dot" w:pos="10080"/>
      </w:tabs>
      <w:spacing w:after="60" w:line="280" w:lineRule="exact"/>
    </w:pPr>
    <w:rPr>
      <w:rFonts w:ascii="Franklin Gothic Book" w:hAnsi="Franklin Gothic Book"/>
      <w:sz w:val="21"/>
    </w:rPr>
  </w:style>
  <w:style w:type="paragraph" w:customStyle="1" w:styleId="TOCTableofFigures">
    <w:name w:val="TOC Table of Figures"/>
    <w:basedOn w:val="TOCTableofExhibits"/>
    <w:qFormat/>
    <w:rsid w:val="00DC3990"/>
  </w:style>
  <w:style w:type="paragraph" w:customStyle="1" w:styleId="TOCTableofTables">
    <w:name w:val="TOC Table of Tables"/>
    <w:basedOn w:val="Normal"/>
    <w:qFormat/>
    <w:rsid w:val="00DC3990"/>
    <w:pPr>
      <w:tabs>
        <w:tab w:val="left" w:pos="720"/>
        <w:tab w:val="right" w:leader="dot" w:pos="10080"/>
      </w:tabs>
      <w:spacing w:line="280" w:lineRule="exact"/>
      <w:ind w:left="720" w:hanging="720"/>
    </w:pPr>
    <w:rPr>
      <w:rFonts w:ascii="Franklin Gothic Book" w:hAnsi="Franklin Gothic Book"/>
      <w:sz w:val="21"/>
      <w:szCs w:val="21"/>
    </w:rPr>
  </w:style>
  <w:style w:type="character" w:customStyle="1" w:styleId="FootnoteTextChar">
    <w:name w:val="Footnote Text Char"/>
    <w:basedOn w:val="DefaultParagraphFont"/>
    <w:uiPriority w:val="99"/>
    <w:rsid w:val="003B5CDE"/>
    <w:rPr>
      <w:sz w:val="20"/>
      <w:szCs w:val="20"/>
    </w:rPr>
  </w:style>
  <w:style w:type="paragraph" w:customStyle="1" w:styleId="Cover-Logo">
    <w:name w:val="Cover - Logo"/>
    <w:basedOn w:val="Normal"/>
    <w:next w:val="Cover-Address-Dudek"/>
    <w:qFormat/>
    <w:rsid w:val="00DC3990"/>
    <w:pPr>
      <w:spacing w:after="60"/>
      <w:jc w:val="right"/>
    </w:pPr>
  </w:style>
  <w:style w:type="paragraph" w:customStyle="1" w:styleId="Footer-6ptbefore">
    <w:name w:val="Footer - 6 pt before"/>
    <w:basedOn w:val="Footer"/>
    <w:qFormat/>
    <w:rsid w:val="00DC3990"/>
    <w:pPr>
      <w:spacing w:before="120"/>
    </w:pPr>
  </w:style>
  <w:style w:type="character" w:customStyle="1" w:styleId="UnresolvedMention1">
    <w:name w:val="Unresolved Mention1"/>
    <w:basedOn w:val="DefaultParagraphFont"/>
    <w:uiPriority w:val="99"/>
    <w:semiHidden/>
    <w:unhideWhenUsed/>
    <w:rsid w:val="009431AA"/>
    <w:rPr>
      <w:color w:val="605E5C"/>
      <w:shd w:val="clear" w:color="auto" w:fill="E1DFDD"/>
    </w:rPr>
  </w:style>
  <w:style w:type="paragraph" w:styleId="Revision">
    <w:name w:val="Revision"/>
    <w:hidden/>
    <w:uiPriority w:val="99"/>
    <w:semiHidden/>
    <w:rsid w:val="00B978DD"/>
    <w:rPr>
      <w:rFonts w:eastAsia="SimSun"/>
      <w:sz w:val="24"/>
      <w:szCs w:val="24"/>
    </w:rPr>
  </w:style>
  <w:style w:type="paragraph" w:customStyle="1" w:styleId="Att">
    <w:name w:val="Att:"/>
    <w:basedOn w:val="Normal"/>
    <w:rsid w:val="00C713F3"/>
    <w:pPr>
      <w:spacing w:after="240"/>
      <w:contextualSpacing/>
    </w:pPr>
    <w:rPr>
      <w:rFonts w:ascii="Franklin Gothic Book" w:eastAsia="Times New Roman" w:hAnsi="Franklin Gothic Book" w:cs="Segoe UI"/>
      <w:i/>
      <w:sz w:val="16"/>
      <w:szCs w:val="19"/>
    </w:rPr>
  </w:style>
  <w:style w:type="paragraph" w:customStyle="1" w:styleId="BodyText-LeadIn">
    <w:name w:val="Body Text - Lead In"/>
    <w:basedOn w:val="Normal"/>
    <w:qFormat/>
    <w:rsid w:val="00C713F3"/>
    <w:pPr>
      <w:suppressAutoHyphens/>
      <w:autoSpaceDE w:val="0"/>
      <w:autoSpaceDN w:val="0"/>
      <w:adjustRightInd w:val="0"/>
      <w:spacing w:after="240" w:line="280" w:lineRule="exact"/>
    </w:pPr>
    <w:rPr>
      <w:rFonts w:ascii="Franklin Gothic Book" w:eastAsiaTheme="minorHAnsi" w:hAnsi="Franklin Gothic Book" w:cs="Segoe UI"/>
      <w:b/>
      <w:color w:val="4BACC6" w:themeColor="accent5"/>
      <w:kern w:val="21"/>
      <w:sz w:val="21"/>
      <w:szCs w:val="21"/>
    </w:rPr>
  </w:style>
  <w:style w:type="paragraph" w:customStyle="1" w:styleId="BulletList-Table">
    <w:name w:val="Bullet List - Table"/>
    <w:basedOn w:val="BulletList"/>
    <w:qFormat/>
    <w:rsid w:val="00C713F3"/>
    <w:pPr>
      <w:spacing w:line="240" w:lineRule="auto"/>
      <w:ind w:left="288" w:hanging="288"/>
    </w:pPr>
    <w:rPr>
      <w:spacing w:val="-4"/>
    </w:rPr>
  </w:style>
  <w:style w:type="paragraph" w:customStyle="1" w:styleId="BulletList-Table2">
    <w:name w:val="Bullet List - Table 2"/>
    <w:basedOn w:val="BulletList-Table"/>
    <w:qFormat/>
    <w:rsid w:val="00C713F3"/>
    <w:pPr>
      <w:numPr>
        <w:numId w:val="0"/>
      </w:numPr>
      <w:spacing w:after="60"/>
      <w:ind w:left="576" w:hanging="288"/>
    </w:pPr>
  </w:style>
  <w:style w:type="paragraph" w:customStyle="1" w:styleId="BulletList-TableFinal">
    <w:name w:val="Bullet List - Table Final"/>
    <w:basedOn w:val="BulletList-Table"/>
    <w:qFormat/>
    <w:rsid w:val="00C713F3"/>
    <w:pPr>
      <w:spacing w:after="60"/>
    </w:pPr>
  </w:style>
  <w:style w:type="paragraph" w:customStyle="1" w:styleId="CallOutBox">
    <w:name w:val="Call Out Box"/>
    <w:basedOn w:val="Normal"/>
    <w:qFormat/>
    <w:rsid w:val="00C713F3"/>
    <w:pPr>
      <w:spacing w:before="240" w:after="240" w:line="288" w:lineRule="auto"/>
      <w:ind w:left="144" w:right="144"/>
    </w:pPr>
    <w:rPr>
      <w:rFonts w:asciiTheme="majorHAnsi" w:eastAsia="Times New Roman" w:hAnsiTheme="majorHAnsi" w:cs="Segoe UI"/>
      <w:b/>
      <w:i/>
      <w:color w:val="FFFFFF" w:themeColor="background1"/>
      <w:spacing w:val="-4"/>
      <w:sz w:val="32"/>
      <w:szCs w:val="32"/>
    </w:rPr>
  </w:style>
  <w:style w:type="paragraph" w:customStyle="1" w:styleId="CallOutText">
    <w:name w:val="Call Out Text"/>
    <w:link w:val="CallOutTextChar"/>
    <w:rsid w:val="00C713F3"/>
    <w:pPr>
      <w:pBdr>
        <w:top w:val="single" w:sz="4" w:space="1" w:color="C0504D" w:themeColor="accent2"/>
        <w:bottom w:val="single" w:sz="4" w:space="1" w:color="C0504D" w:themeColor="accent2"/>
      </w:pBdr>
      <w:spacing w:after="60" w:line="312" w:lineRule="auto"/>
    </w:pPr>
    <w:rPr>
      <w:rFonts w:ascii="Franklin Gothic Book" w:hAnsi="Franklin Gothic Book" w:cs="Segoe UI"/>
      <w:i/>
      <w:color w:val="5C7F92"/>
      <w:sz w:val="24"/>
      <w:szCs w:val="21"/>
    </w:rPr>
  </w:style>
  <w:style w:type="character" w:customStyle="1" w:styleId="CallOutTextChar">
    <w:name w:val="Call Out Text Char"/>
    <w:link w:val="CallOutText"/>
    <w:rsid w:val="00C713F3"/>
    <w:rPr>
      <w:rFonts w:ascii="Franklin Gothic Book" w:hAnsi="Franklin Gothic Book" w:cs="Segoe UI"/>
      <w:i/>
      <w:color w:val="5C7F92"/>
      <w:sz w:val="24"/>
      <w:szCs w:val="21"/>
    </w:rPr>
  </w:style>
  <w:style w:type="paragraph" w:customStyle="1" w:styleId="CallOutTitle-EducationBoxes">
    <w:name w:val="Call Out Title - Education Boxes"/>
    <w:basedOn w:val="CallOutText"/>
    <w:next w:val="CallOutText"/>
    <w:link w:val="CallOutTitle-EducationBoxesChar"/>
    <w:rsid w:val="00C713F3"/>
    <w:rPr>
      <w:rFonts w:ascii="Arial" w:hAnsi="Arial" w:cs="Arial"/>
      <w:b/>
      <w:caps/>
      <w:color w:val="C0504D" w:themeColor="accent2"/>
      <w:sz w:val="18"/>
    </w:rPr>
  </w:style>
  <w:style w:type="character" w:customStyle="1" w:styleId="CallOutTitle-EducationBoxesChar">
    <w:name w:val="Call Out Title - Education Boxes Char"/>
    <w:link w:val="CallOutTitle-EducationBoxes"/>
    <w:rsid w:val="00C713F3"/>
    <w:rPr>
      <w:rFonts w:ascii="Arial" w:hAnsi="Arial" w:cs="Arial"/>
      <w:b/>
      <w:i/>
      <w:caps/>
      <w:color w:val="C0504D" w:themeColor="accent2"/>
      <w:sz w:val="18"/>
      <w:szCs w:val="21"/>
    </w:rPr>
  </w:style>
  <w:style w:type="paragraph" w:styleId="Caption">
    <w:name w:val="caption"/>
    <w:basedOn w:val="Normal"/>
    <w:next w:val="Normal"/>
    <w:uiPriority w:val="35"/>
    <w:unhideWhenUsed/>
    <w:qFormat/>
    <w:rsid w:val="003B5CDE"/>
    <w:rPr>
      <w:b/>
      <w:bCs/>
      <w:color w:val="365F91" w:themeColor="accent1" w:themeShade="BF"/>
      <w:sz w:val="16"/>
      <w:szCs w:val="16"/>
    </w:rPr>
  </w:style>
  <w:style w:type="paragraph" w:customStyle="1" w:styleId="CaptionText-White">
    <w:name w:val="Caption Text - White"/>
    <w:basedOn w:val="Normal"/>
    <w:qFormat/>
    <w:rsid w:val="00C713F3"/>
    <w:pPr>
      <w:spacing w:before="63" w:after="240" w:line="301" w:lineRule="exact"/>
      <w:jc w:val="center"/>
    </w:pPr>
    <w:rPr>
      <w:rFonts w:ascii="Franklin Gothic Book" w:eastAsia="Times New Roman" w:hAnsi="Franklin Gothic Book"/>
      <w:color w:val="FFFFFF"/>
      <w:spacing w:val="-1"/>
      <w:sz w:val="21"/>
      <w:szCs w:val="21"/>
    </w:rPr>
  </w:style>
  <w:style w:type="paragraph" w:styleId="Date">
    <w:name w:val="Date"/>
    <w:basedOn w:val="Normal"/>
    <w:next w:val="Normal"/>
    <w:link w:val="DateChar"/>
    <w:rsid w:val="00C713F3"/>
    <w:pPr>
      <w:spacing w:before="360" w:after="360" w:line="223" w:lineRule="auto"/>
    </w:pPr>
    <w:rPr>
      <w:rFonts w:ascii="Franklin Gothic Book" w:eastAsia="Times New Roman" w:hAnsi="Franklin Gothic Book" w:cs="Segoe UI"/>
      <w:spacing w:val="-4"/>
      <w:sz w:val="21"/>
      <w:szCs w:val="21"/>
    </w:rPr>
  </w:style>
  <w:style w:type="character" w:customStyle="1" w:styleId="DateChar">
    <w:name w:val="Date Char"/>
    <w:basedOn w:val="DefaultParagraphFont"/>
    <w:link w:val="Date"/>
    <w:rsid w:val="00C713F3"/>
    <w:rPr>
      <w:rFonts w:ascii="Franklin Gothic Book" w:hAnsi="Franklin Gothic Book" w:cs="Segoe UI"/>
      <w:spacing w:val="-4"/>
      <w:sz w:val="21"/>
      <w:szCs w:val="21"/>
    </w:rPr>
  </w:style>
  <w:style w:type="paragraph" w:customStyle="1" w:styleId="EducationBoxHeading">
    <w:name w:val="Education Box Heading"/>
    <w:basedOn w:val="CallOutTitle-EducationBoxes"/>
    <w:qFormat/>
    <w:rsid w:val="00C713F3"/>
    <w:pPr>
      <w:spacing w:line="240" w:lineRule="auto"/>
    </w:pPr>
    <w:rPr>
      <w:rFonts w:ascii="Franklin Gothic Book" w:hAnsi="Franklin Gothic Book" w:cs="Segoe UI"/>
      <w:caps w:val="0"/>
      <w:color w:val="9BBB59" w:themeColor="accent3"/>
      <w:sz w:val="21"/>
    </w:rPr>
  </w:style>
  <w:style w:type="paragraph" w:customStyle="1" w:styleId="EducationBoxText">
    <w:name w:val="Education Box Text"/>
    <w:basedOn w:val="CallOutText"/>
    <w:qFormat/>
    <w:rsid w:val="00C713F3"/>
    <w:pPr>
      <w:spacing w:line="240" w:lineRule="auto"/>
    </w:pPr>
    <w:rPr>
      <w:color w:val="485865"/>
      <w:sz w:val="21"/>
    </w:rPr>
  </w:style>
  <w:style w:type="paragraph" w:customStyle="1" w:styleId="Footer11x170">
    <w:name w:val="Footer 11x17"/>
    <w:basedOn w:val="Footer"/>
    <w:qFormat/>
    <w:rsid w:val="00C713F3"/>
    <w:pPr>
      <w:tabs>
        <w:tab w:val="right" w:pos="22320"/>
      </w:tabs>
    </w:pPr>
  </w:style>
  <w:style w:type="paragraph" w:customStyle="1" w:styleId="ILB11x170">
    <w:name w:val="ILB 11x17"/>
    <w:basedOn w:val="ILB"/>
    <w:qFormat/>
    <w:rsid w:val="00C713F3"/>
    <w:pPr>
      <w:ind w:left="10800"/>
    </w:pPr>
  </w:style>
  <w:style w:type="paragraph" w:customStyle="1" w:styleId="InlineQuote">
    <w:name w:val="Inline Quote"/>
    <w:basedOn w:val="Heading2"/>
    <w:qFormat/>
    <w:rsid w:val="00C713F3"/>
    <w:pPr>
      <w:keepLines/>
      <w:suppressAutoHyphens/>
      <w:spacing w:after="180"/>
      <w:ind w:left="0" w:firstLine="0"/>
    </w:pPr>
    <w:rPr>
      <w:rFonts w:ascii="Franklin Gothic Book" w:hAnsi="Franklin Gothic Book"/>
      <w:i/>
      <w:color w:val="9BBB59" w:themeColor="accent3"/>
      <w:spacing w:val="-1"/>
      <w:kern w:val="22"/>
      <w:sz w:val="29"/>
      <w:szCs w:val="29"/>
    </w:rPr>
  </w:style>
  <w:style w:type="paragraph" w:customStyle="1" w:styleId="LeadIn">
    <w:name w:val="Lead In"/>
    <w:basedOn w:val="BodyText"/>
    <w:link w:val="LeadInChar"/>
    <w:qFormat/>
    <w:rsid w:val="00C713F3"/>
    <w:rPr>
      <w:b/>
      <w:color w:val="4BACC6" w:themeColor="accent5"/>
    </w:rPr>
  </w:style>
  <w:style w:type="character" w:customStyle="1" w:styleId="LeadInChar">
    <w:name w:val="Lead In Char"/>
    <w:basedOn w:val="BodyTextChar"/>
    <w:link w:val="LeadIn"/>
    <w:rsid w:val="00C713F3"/>
    <w:rPr>
      <w:rFonts w:ascii="Franklin Gothic Book" w:eastAsia="SimSun" w:hAnsi="Franklin Gothic Book" w:cstheme="minorBidi"/>
      <w:b/>
      <w:color w:val="4BACC6" w:themeColor="accent5"/>
      <w:sz w:val="21"/>
      <w:szCs w:val="24"/>
    </w:rPr>
  </w:style>
  <w:style w:type="paragraph" w:customStyle="1" w:styleId="LeadIn-Green">
    <w:name w:val="Lead In - Green"/>
    <w:basedOn w:val="LeadIn"/>
    <w:link w:val="LeadIn-GreenChar"/>
    <w:qFormat/>
    <w:rsid w:val="00C713F3"/>
    <w:pPr>
      <w:spacing w:after="0"/>
    </w:pPr>
    <w:rPr>
      <w:color w:val="8064A2" w:themeColor="accent4"/>
    </w:rPr>
  </w:style>
  <w:style w:type="character" w:customStyle="1" w:styleId="LeadIn-GreenChar">
    <w:name w:val="Lead In - Green Char"/>
    <w:basedOn w:val="LeadInChar"/>
    <w:link w:val="LeadIn-Green"/>
    <w:rsid w:val="00C713F3"/>
    <w:rPr>
      <w:rFonts w:ascii="Franklin Gothic Book" w:eastAsia="SimSun" w:hAnsi="Franklin Gothic Book" w:cstheme="minorBidi"/>
      <w:b/>
      <w:color w:val="8064A2" w:themeColor="accent4"/>
      <w:sz w:val="21"/>
      <w:szCs w:val="24"/>
    </w:rPr>
  </w:style>
  <w:style w:type="paragraph" w:customStyle="1" w:styleId="letterhead-address">
    <w:name w:val="letterhead-address"/>
    <w:basedOn w:val="Normal"/>
    <w:qFormat/>
    <w:rsid w:val="00C713F3"/>
    <w:pPr>
      <w:suppressAutoHyphens/>
      <w:spacing w:line="288" w:lineRule="auto"/>
    </w:pPr>
    <w:rPr>
      <w:rFonts w:asciiTheme="majorHAnsi" w:hAnsiTheme="majorHAnsi" w:cs="Segoe UI"/>
      <w:kern w:val="20"/>
      <w:sz w:val="14"/>
      <w:lang w:val="haw-US"/>
    </w:rPr>
  </w:style>
  <w:style w:type="paragraph" w:customStyle="1" w:styleId="letterhead-dudekcom">
    <w:name w:val="letterhead-dudek.com"/>
    <w:basedOn w:val="letterhead-address"/>
    <w:qFormat/>
    <w:rsid w:val="00C713F3"/>
    <w:rPr>
      <w:b/>
      <w:color w:val="4BACC6" w:themeColor="accent5"/>
    </w:rPr>
  </w:style>
  <w:style w:type="character" w:customStyle="1" w:styleId="Level5LeadIn2">
    <w:name w:val="Level 5 Lead In 2"/>
    <w:basedOn w:val="Heading5Char"/>
    <w:rsid w:val="00C713F3"/>
    <w:rPr>
      <w:rFonts w:ascii="Franklin Gothic Book" w:eastAsiaTheme="minorHAnsi" w:hAnsi="Franklin Gothic Book" w:cs="Segoe UI"/>
      <w:b/>
      <w:caps/>
      <w:color w:val="9BBB59" w:themeColor="accent3"/>
      <w:spacing w:val="10"/>
      <w:kern w:val="21"/>
      <w:sz w:val="21"/>
      <w:szCs w:val="21"/>
    </w:rPr>
  </w:style>
  <w:style w:type="paragraph" w:styleId="ListParagraph">
    <w:name w:val="List Paragraph"/>
    <w:basedOn w:val="Normal"/>
    <w:uiPriority w:val="34"/>
    <w:qFormat/>
    <w:rsid w:val="003B5CDE"/>
    <w:pPr>
      <w:ind w:left="720"/>
      <w:contextualSpacing/>
    </w:pPr>
  </w:style>
  <w:style w:type="paragraph" w:customStyle="1" w:styleId="OrgChartBoxHeader">
    <w:name w:val="Org Chart Box Header"/>
    <w:basedOn w:val="Normal"/>
    <w:link w:val="OrgChartBoxHeaderChar"/>
    <w:qFormat/>
    <w:rsid w:val="00C713F3"/>
    <w:pPr>
      <w:widowControl w:val="0"/>
      <w:autoSpaceDE w:val="0"/>
      <w:autoSpaceDN w:val="0"/>
      <w:spacing w:line="280" w:lineRule="exact"/>
      <w:jc w:val="center"/>
    </w:pPr>
    <w:rPr>
      <w:rFonts w:asciiTheme="majorHAnsi" w:eastAsia="Segoe UI" w:hAnsiTheme="majorHAnsi" w:cs="Segoe UI"/>
      <w:b/>
      <w:bCs/>
      <w:color w:val="318BAD"/>
      <w:sz w:val="18"/>
      <w:szCs w:val="18"/>
    </w:rPr>
  </w:style>
  <w:style w:type="character" w:customStyle="1" w:styleId="OrgChartBoxHeaderChar">
    <w:name w:val="Org Chart Box Header Char"/>
    <w:basedOn w:val="DefaultParagraphFont"/>
    <w:link w:val="OrgChartBoxHeader"/>
    <w:rsid w:val="00C713F3"/>
    <w:rPr>
      <w:rFonts w:asciiTheme="majorHAnsi" w:eastAsia="Segoe UI" w:hAnsiTheme="majorHAnsi" w:cs="Segoe UI"/>
      <w:b/>
      <w:bCs/>
      <w:color w:val="318BAD"/>
      <w:sz w:val="18"/>
      <w:szCs w:val="18"/>
    </w:rPr>
  </w:style>
  <w:style w:type="paragraph" w:customStyle="1" w:styleId="OrgChartFooter">
    <w:name w:val="Org Chart Footer"/>
    <w:basedOn w:val="Normal"/>
    <w:link w:val="OrgChartFooterChar"/>
    <w:qFormat/>
    <w:rsid w:val="00C713F3"/>
    <w:pPr>
      <w:widowControl w:val="0"/>
      <w:autoSpaceDE w:val="0"/>
      <w:autoSpaceDN w:val="0"/>
      <w:spacing w:line="220" w:lineRule="exact"/>
    </w:pPr>
    <w:rPr>
      <w:rFonts w:asciiTheme="majorHAnsi" w:eastAsia="Segoe UI" w:hAnsiTheme="majorHAnsi" w:cs="Segoe UI"/>
      <w:i/>
      <w:sz w:val="18"/>
      <w:szCs w:val="18"/>
    </w:rPr>
  </w:style>
  <w:style w:type="character" w:customStyle="1" w:styleId="OrgChartFooterChar">
    <w:name w:val="Org Chart Footer Char"/>
    <w:basedOn w:val="DefaultParagraphFont"/>
    <w:link w:val="OrgChartFooter"/>
    <w:rsid w:val="00C713F3"/>
    <w:rPr>
      <w:rFonts w:asciiTheme="majorHAnsi" w:eastAsia="Segoe UI" w:hAnsiTheme="majorHAnsi" w:cs="Segoe UI"/>
      <w:i/>
      <w:sz w:val="18"/>
      <w:szCs w:val="18"/>
    </w:rPr>
  </w:style>
  <w:style w:type="paragraph" w:customStyle="1" w:styleId="OrgChartText">
    <w:name w:val="Org Chart Text"/>
    <w:basedOn w:val="Normal"/>
    <w:link w:val="OrgChartTextChar"/>
    <w:qFormat/>
    <w:rsid w:val="00C713F3"/>
    <w:pPr>
      <w:keepNext/>
      <w:widowControl w:val="0"/>
      <w:autoSpaceDE w:val="0"/>
      <w:autoSpaceDN w:val="0"/>
      <w:spacing w:before="120" w:after="120" w:line="280" w:lineRule="exact"/>
      <w:jc w:val="center"/>
    </w:pPr>
    <w:rPr>
      <w:rFonts w:asciiTheme="majorHAnsi" w:eastAsia="Segoe UI" w:hAnsiTheme="majorHAnsi" w:cs="Segoe UI"/>
      <w:color w:val="000000"/>
      <w:sz w:val="18"/>
      <w:szCs w:val="18"/>
    </w:rPr>
  </w:style>
  <w:style w:type="character" w:customStyle="1" w:styleId="OrgChartTextChar">
    <w:name w:val="Org Chart Text Char"/>
    <w:basedOn w:val="DefaultParagraphFont"/>
    <w:link w:val="OrgChartText"/>
    <w:rsid w:val="00C713F3"/>
    <w:rPr>
      <w:rFonts w:asciiTheme="majorHAnsi" w:eastAsia="Segoe UI" w:hAnsiTheme="majorHAnsi" w:cs="Segoe UI"/>
      <w:color w:val="000000"/>
      <w:sz w:val="18"/>
      <w:szCs w:val="18"/>
    </w:rPr>
  </w:style>
  <w:style w:type="paragraph" w:customStyle="1" w:styleId="ProjectDescriptions">
    <w:name w:val="Project Descriptions"/>
    <w:basedOn w:val="BodyText"/>
    <w:qFormat/>
    <w:rsid w:val="00C713F3"/>
    <w:pPr>
      <w:spacing w:after="0"/>
    </w:pPr>
  </w:style>
  <w:style w:type="paragraph" w:customStyle="1" w:styleId="ProjectTitles">
    <w:name w:val="Project Titles"/>
    <w:basedOn w:val="Normal"/>
    <w:qFormat/>
    <w:rsid w:val="00C713F3"/>
    <w:pPr>
      <w:pBdr>
        <w:left w:val="single" w:sz="24" w:space="0" w:color="C0504D" w:themeColor="accent2"/>
        <w:bottom w:val="single" w:sz="24" w:space="0" w:color="C0504D" w:themeColor="accent2"/>
      </w:pBdr>
      <w:shd w:val="clear" w:color="auto" w:fill="C0504D" w:themeFill="accent2"/>
      <w:spacing w:line="280" w:lineRule="exact"/>
      <w:ind w:left="72"/>
    </w:pPr>
    <w:rPr>
      <w:rFonts w:ascii="Franklin Gothic Demi" w:hAnsi="Franklin Gothic Demi"/>
      <w:b/>
      <w:color w:val="FFFFFF" w:themeColor="background1"/>
    </w:rPr>
  </w:style>
  <w:style w:type="paragraph" w:customStyle="1" w:styleId="ResumeText">
    <w:name w:val="Resume Text"/>
    <w:basedOn w:val="CallOutText"/>
    <w:qFormat/>
    <w:rsid w:val="00C713F3"/>
    <w:pPr>
      <w:spacing w:line="240" w:lineRule="auto"/>
    </w:pPr>
    <w:rPr>
      <w:color w:val="485865"/>
      <w:sz w:val="21"/>
    </w:rPr>
  </w:style>
  <w:style w:type="paragraph" w:customStyle="1" w:styleId="SectionTitle">
    <w:name w:val="Section Title"/>
    <w:basedOn w:val="Normal"/>
    <w:qFormat/>
    <w:rsid w:val="00C713F3"/>
    <w:pPr>
      <w:pBdr>
        <w:bottom w:val="single" w:sz="18" w:space="1" w:color="2F845A"/>
      </w:pBdr>
      <w:spacing w:after="120"/>
    </w:pPr>
    <w:rPr>
      <w:noProof/>
      <w:color w:val="517891"/>
      <w:sz w:val="72"/>
      <w:szCs w:val="72"/>
    </w:rPr>
  </w:style>
  <w:style w:type="paragraph" w:styleId="Signature">
    <w:name w:val="Signature"/>
    <w:basedOn w:val="BodyText"/>
    <w:link w:val="SignatureChar"/>
    <w:uiPriority w:val="99"/>
    <w:unhideWhenUsed/>
    <w:rsid w:val="00C713F3"/>
    <w:pPr>
      <w:contextualSpacing/>
    </w:pPr>
  </w:style>
  <w:style w:type="character" w:customStyle="1" w:styleId="SignatureChar">
    <w:name w:val="Signature Char"/>
    <w:basedOn w:val="DefaultParagraphFont"/>
    <w:link w:val="Signature"/>
    <w:uiPriority w:val="99"/>
    <w:rsid w:val="00C713F3"/>
    <w:rPr>
      <w:rFonts w:ascii="Franklin Gothic Book" w:eastAsiaTheme="minorHAnsi" w:hAnsi="Franklin Gothic Book" w:cs="Segoe UI"/>
      <w:kern w:val="21"/>
      <w:sz w:val="21"/>
      <w:szCs w:val="21"/>
    </w:rPr>
  </w:style>
  <w:style w:type="paragraph" w:customStyle="1" w:styleId="Subject">
    <w:name w:val="Subject"/>
    <w:basedOn w:val="Heading4"/>
    <w:rsid w:val="00C713F3"/>
    <w:pPr>
      <w:keepLines/>
      <w:spacing w:before="240"/>
      <w:ind w:left="1080" w:hanging="1080"/>
    </w:pPr>
    <w:rPr>
      <w:rFonts w:ascii="Franklin Gothic Book" w:hAnsi="Franklin Gothic Book"/>
      <w:b/>
      <w:color w:val="5C7F92"/>
      <w:sz w:val="21"/>
      <w:szCs w:val="21"/>
    </w:rPr>
  </w:style>
  <w:style w:type="paragraph" w:styleId="Subtitle">
    <w:name w:val="Subtitle"/>
    <w:basedOn w:val="Normal"/>
    <w:next w:val="Normal"/>
    <w:link w:val="SubtitleChar"/>
    <w:uiPriority w:val="11"/>
    <w:qFormat/>
    <w:rsid w:val="003B5CDE"/>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3B5CDE"/>
    <w:rPr>
      <w:rFonts w:asciiTheme="minorHAnsi" w:eastAsiaTheme="minorEastAsia" w:hAnsiTheme="minorHAnsi" w:cstheme="minorBidi"/>
      <w:caps/>
      <w:color w:val="595959" w:themeColor="text1" w:themeTint="A6"/>
      <w:spacing w:val="10"/>
      <w:sz w:val="24"/>
      <w:szCs w:val="24"/>
    </w:rPr>
  </w:style>
  <w:style w:type="table" w:styleId="TableGridLight">
    <w:name w:val="Grid Table Light"/>
    <w:basedOn w:val="TableNormal"/>
    <w:uiPriority w:val="40"/>
    <w:rsid w:val="00C713F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Normal"/>
    <w:uiPriority w:val="1"/>
    <w:qFormat/>
    <w:rsid w:val="00C713F3"/>
    <w:pPr>
      <w:widowControl w:val="0"/>
    </w:pPr>
    <w:rPr>
      <w:rFonts w:eastAsiaTheme="minorHAnsi"/>
      <w:sz w:val="22"/>
      <w:szCs w:val="22"/>
    </w:rPr>
  </w:style>
  <w:style w:type="paragraph" w:styleId="TOC4">
    <w:name w:val="toc 4"/>
    <w:basedOn w:val="Normal"/>
    <w:next w:val="Normal"/>
    <w:autoRedefine/>
    <w:uiPriority w:val="39"/>
    <w:unhideWhenUsed/>
    <w:rsid w:val="00C713F3"/>
    <w:pPr>
      <w:spacing w:after="100"/>
      <w:ind w:left="630"/>
    </w:pPr>
  </w:style>
  <w:style w:type="paragraph" w:customStyle="1" w:styleId="TOCSectionHeadings2">
    <w:name w:val="TOC Section Headings 2"/>
    <w:basedOn w:val="Normal"/>
    <w:next w:val="Normal"/>
    <w:rsid w:val="00C713F3"/>
    <w:pPr>
      <w:spacing w:before="240"/>
    </w:pPr>
    <w:rPr>
      <w:rFonts w:asciiTheme="majorHAnsi" w:hAnsiTheme="majorHAnsi" w:cs="Segoe UI"/>
      <w:b/>
      <w:caps/>
      <w:color w:val="003359"/>
      <w:sz w:val="22"/>
      <w:szCs w:val="26"/>
    </w:rPr>
  </w:style>
  <w:style w:type="paragraph" w:customStyle="1" w:styleId="graphic">
    <w:name w:val="graphic"/>
    <w:basedOn w:val="BodyText"/>
    <w:qFormat/>
    <w:rsid w:val="00F45938"/>
    <w:pPr>
      <w:spacing w:line="240" w:lineRule="auto"/>
      <w:jc w:val="center"/>
    </w:pPr>
  </w:style>
  <w:style w:type="table" w:customStyle="1" w:styleId="TableGrid1">
    <w:name w:val="Table Grid1"/>
    <w:basedOn w:val="TableNormal"/>
    <w:next w:val="TableGrid"/>
    <w:uiPriority w:val="39"/>
    <w:rsid w:val="007718D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7C4FC0"/>
    <w:rPr>
      <w:rFonts w:ascii="Calibri" w:hAnsi="Calibri" w:cs="Calibri" w:hint="default"/>
      <w:b/>
      <w:bCs/>
      <w:i w:val="0"/>
      <w:iCs w:val="0"/>
      <w:color w:val="000000"/>
      <w:sz w:val="22"/>
      <w:szCs w:val="22"/>
    </w:rPr>
  </w:style>
  <w:style w:type="character" w:customStyle="1" w:styleId="fontstyle21">
    <w:name w:val="fontstyle21"/>
    <w:basedOn w:val="DefaultParagraphFont"/>
    <w:rsid w:val="007C4FC0"/>
    <w:rPr>
      <w:rFonts w:ascii="Segoe UI Symbol" w:hAnsi="Segoe UI Symbol" w:hint="default"/>
      <w:b w:val="0"/>
      <w:bCs w:val="0"/>
      <w:i w:val="0"/>
      <w:iCs w:val="0"/>
      <w:color w:val="000000"/>
      <w:sz w:val="22"/>
      <w:szCs w:val="22"/>
    </w:rPr>
  </w:style>
  <w:style w:type="character" w:customStyle="1" w:styleId="fontstyle31">
    <w:name w:val="fontstyle31"/>
    <w:basedOn w:val="DefaultParagraphFont"/>
    <w:rsid w:val="007C4FC0"/>
    <w:rPr>
      <w:rFonts w:ascii="Calibri" w:hAnsi="Calibri" w:cs="Calibri" w:hint="default"/>
      <w:b w:val="0"/>
      <w:bCs w:val="0"/>
      <w:i w:val="0"/>
      <w:iCs w:val="0"/>
      <w:color w:val="000000"/>
      <w:sz w:val="22"/>
      <w:szCs w:val="22"/>
    </w:rPr>
  </w:style>
  <w:style w:type="character" w:customStyle="1" w:styleId="fontstyle41">
    <w:name w:val="fontstyle41"/>
    <w:basedOn w:val="DefaultParagraphFont"/>
    <w:rsid w:val="007C4FC0"/>
    <w:rPr>
      <w:rFonts w:ascii="Calibri" w:hAnsi="Calibri" w:cs="Calibri" w:hint="default"/>
      <w:b w:val="0"/>
      <w:bCs w:val="0"/>
      <w:i/>
      <w:iCs/>
      <w:color w:val="000000"/>
      <w:sz w:val="20"/>
      <w:szCs w:val="20"/>
    </w:rPr>
  </w:style>
  <w:style w:type="character" w:customStyle="1" w:styleId="fontstyle51">
    <w:name w:val="fontstyle51"/>
    <w:basedOn w:val="DefaultParagraphFont"/>
    <w:rsid w:val="007C4FC0"/>
    <w:rPr>
      <w:rFonts w:ascii="Century Gothic" w:hAnsi="Century Gothic" w:hint="default"/>
      <w:b w:val="0"/>
      <w:bCs w:val="0"/>
      <w:i w:val="0"/>
      <w:iCs w:val="0"/>
      <w:color w:val="1CADE4"/>
      <w:sz w:val="20"/>
      <w:szCs w:val="20"/>
    </w:rPr>
  </w:style>
  <w:style w:type="character" w:customStyle="1" w:styleId="fontstyle61">
    <w:name w:val="fontstyle61"/>
    <w:basedOn w:val="DefaultParagraphFont"/>
    <w:rsid w:val="007C4FC0"/>
    <w:rPr>
      <w:rFonts w:ascii="Century Gothic" w:hAnsi="Century Gothic" w:hint="default"/>
      <w:b/>
      <w:bCs/>
      <w:i w:val="0"/>
      <w:iCs w:val="0"/>
      <w:color w:val="0A4252"/>
      <w:sz w:val="32"/>
      <w:szCs w:val="32"/>
    </w:rPr>
  </w:style>
  <w:style w:type="paragraph" w:styleId="NoSpacing">
    <w:name w:val="No Spacing"/>
    <w:basedOn w:val="Normal"/>
    <w:link w:val="NoSpacingChar"/>
    <w:uiPriority w:val="1"/>
    <w:qFormat/>
    <w:rsid w:val="003B5CDE"/>
    <w:pPr>
      <w:spacing w:before="0" w:after="0" w:line="240" w:lineRule="auto"/>
    </w:pPr>
  </w:style>
  <w:style w:type="character" w:customStyle="1" w:styleId="NoSpacingChar">
    <w:name w:val="No Spacing Char"/>
    <w:basedOn w:val="DefaultParagraphFont"/>
    <w:link w:val="NoSpacing"/>
    <w:uiPriority w:val="1"/>
    <w:rsid w:val="003B5CDE"/>
    <w:rPr>
      <w:rFonts w:asciiTheme="minorHAnsi" w:eastAsiaTheme="minorEastAsia" w:hAnsiTheme="minorHAnsi" w:cstheme="minorBidi"/>
    </w:rPr>
  </w:style>
  <w:style w:type="paragraph" w:styleId="Bibliography">
    <w:name w:val="Bibliography"/>
    <w:basedOn w:val="Normal"/>
    <w:next w:val="Normal"/>
    <w:uiPriority w:val="37"/>
    <w:unhideWhenUsed/>
    <w:rsid w:val="003B6165"/>
  </w:style>
  <w:style w:type="character" w:styleId="Strong">
    <w:name w:val="Strong"/>
    <w:qFormat/>
    <w:rsid w:val="003B5CDE"/>
    <w:rPr>
      <w:b/>
      <w:bCs/>
    </w:rPr>
  </w:style>
  <w:style w:type="character" w:styleId="FollowedHyperlink">
    <w:name w:val="FollowedHyperlink"/>
    <w:basedOn w:val="DefaultParagraphFont"/>
    <w:semiHidden/>
    <w:unhideWhenUsed/>
    <w:rsid w:val="009D30F2"/>
    <w:rPr>
      <w:color w:val="800080" w:themeColor="followedHyperlink"/>
      <w:u w:val="single"/>
    </w:rPr>
  </w:style>
  <w:style w:type="character" w:styleId="UnresolvedMention">
    <w:name w:val="Unresolved Mention"/>
    <w:basedOn w:val="DefaultParagraphFont"/>
    <w:uiPriority w:val="99"/>
    <w:semiHidden/>
    <w:unhideWhenUsed/>
    <w:rsid w:val="00C008E6"/>
    <w:rPr>
      <w:color w:val="605E5C"/>
      <w:shd w:val="clear" w:color="auto" w:fill="E1DFDD"/>
    </w:rPr>
  </w:style>
  <w:style w:type="character" w:styleId="BookTitle">
    <w:name w:val="Book Title"/>
    <w:uiPriority w:val="33"/>
    <w:qFormat/>
    <w:rsid w:val="003B5CDE"/>
    <w:rPr>
      <w:b/>
      <w:bCs/>
      <w:i/>
      <w:iCs/>
      <w:spacing w:val="9"/>
    </w:rPr>
  </w:style>
  <w:style w:type="paragraph" w:customStyle="1" w:styleId="Default">
    <w:name w:val="Default"/>
    <w:rsid w:val="003B5CDE"/>
    <w:pPr>
      <w:autoSpaceDE w:val="0"/>
      <w:autoSpaceDN w:val="0"/>
      <w:adjustRightInd w:val="0"/>
    </w:pPr>
    <w:rPr>
      <w:rFonts w:ascii="Arial" w:eastAsiaTheme="minorEastAsia" w:hAnsi="Arial" w:cs="Arial"/>
      <w:color w:val="000000"/>
      <w:sz w:val="24"/>
      <w:szCs w:val="24"/>
    </w:rPr>
  </w:style>
  <w:style w:type="character" w:styleId="Emphasis">
    <w:name w:val="Emphasis"/>
    <w:uiPriority w:val="20"/>
    <w:qFormat/>
    <w:rsid w:val="003B5CDE"/>
    <w:rPr>
      <w:caps/>
      <w:color w:val="243F60" w:themeColor="accent1" w:themeShade="7F"/>
      <w:spacing w:val="5"/>
    </w:rPr>
  </w:style>
  <w:style w:type="character" w:customStyle="1" w:styleId="FootnoteTextChar4">
    <w:name w:val="Footnote Text Char4"/>
    <w:aliases w:val="Footnote Text Char1 Char Char,TBG Style Char Char Char Char,Footnote Text Char2 Char,Footnote Text Char1 Char1,TBG Style Char Char Char1,Footnote Text Char3 Char Char,Footnote Text Char Char Char Char,Footnote Text Char3 Char1"/>
    <w:link w:val="FootnoteText"/>
    <w:rsid w:val="00804066"/>
    <w:rPr>
      <w:rFonts w:ascii="Century Gothic" w:hAnsi="Century Gothic"/>
    </w:rPr>
  </w:style>
  <w:style w:type="character" w:customStyle="1" w:styleId="Heading8Char">
    <w:name w:val="Heading 8 Char"/>
    <w:basedOn w:val="DefaultParagraphFont"/>
    <w:link w:val="Heading8"/>
    <w:uiPriority w:val="9"/>
    <w:rsid w:val="003B5CDE"/>
    <w:rPr>
      <w:rFonts w:asciiTheme="minorHAnsi" w:eastAsiaTheme="minorEastAsia" w:hAnsiTheme="minorHAnsi" w:cstheme="minorBidi"/>
      <w:caps/>
      <w:spacing w:val="10"/>
      <w:sz w:val="18"/>
      <w:szCs w:val="18"/>
    </w:rPr>
  </w:style>
  <w:style w:type="character" w:styleId="IntenseEmphasis">
    <w:name w:val="Intense Emphasis"/>
    <w:uiPriority w:val="21"/>
    <w:qFormat/>
    <w:rsid w:val="003B5CDE"/>
    <w:rPr>
      <w:b/>
      <w:bCs/>
      <w:caps/>
      <w:color w:val="243F60" w:themeColor="accent1" w:themeShade="7F"/>
      <w:spacing w:val="10"/>
    </w:rPr>
  </w:style>
  <w:style w:type="paragraph" w:styleId="IntenseQuote">
    <w:name w:val="Intense Quote"/>
    <w:basedOn w:val="Normal"/>
    <w:next w:val="Normal"/>
    <w:link w:val="IntenseQuoteChar"/>
    <w:uiPriority w:val="30"/>
    <w:qFormat/>
    <w:rsid w:val="003B5CDE"/>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3B5CDE"/>
    <w:rPr>
      <w:rFonts w:asciiTheme="minorHAnsi" w:eastAsiaTheme="minorEastAsia" w:hAnsiTheme="minorHAnsi" w:cstheme="minorBidi"/>
      <w:i/>
      <w:iCs/>
      <w:color w:val="4F81BD" w:themeColor="accent1"/>
    </w:rPr>
  </w:style>
  <w:style w:type="character" w:styleId="IntenseReference">
    <w:name w:val="Intense Reference"/>
    <w:uiPriority w:val="32"/>
    <w:qFormat/>
    <w:rsid w:val="003B5CDE"/>
    <w:rPr>
      <w:b/>
      <w:bCs/>
      <w:i/>
      <w:iCs/>
      <w:caps/>
      <w:color w:val="4F81BD" w:themeColor="accent1"/>
    </w:rPr>
  </w:style>
  <w:style w:type="paragraph" w:styleId="ListBullet">
    <w:name w:val="List Bullet"/>
    <w:basedOn w:val="Normal"/>
    <w:uiPriority w:val="99"/>
    <w:unhideWhenUsed/>
    <w:rsid w:val="003B5CDE"/>
    <w:pPr>
      <w:numPr>
        <w:numId w:val="17"/>
      </w:numPr>
      <w:contextualSpacing/>
    </w:pPr>
  </w:style>
  <w:style w:type="paragraph" w:styleId="NormalWeb">
    <w:name w:val="Normal (Web)"/>
    <w:basedOn w:val="Normal"/>
    <w:uiPriority w:val="99"/>
    <w:unhideWhenUsed/>
    <w:rsid w:val="003B5CDE"/>
    <w:pPr>
      <w:spacing w:before="100" w:beforeAutospacing="1" w:after="100" w:afterAutospacing="1" w:line="240" w:lineRule="auto"/>
    </w:pPr>
    <w:rPr>
      <w:rFonts w:ascii="Times New Roman" w:eastAsia="Times New Roman" w:hAnsi="Times New Roman" w:cs="Times New Roman"/>
      <w:sz w:val="24"/>
      <w:szCs w:val="24"/>
    </w:rPr>
  </w:style>
  <w:style w:type="paragraph" w:styleId="Quote">
    <w:name w:val="Quote"/>
    <w:basedOn w:val="Normal"/>
    <w:next w:val="Normal"/>
    <w:link w:val="QuoteChar"/>
    <w:uiPriority w:val="29"/>
    <w:qFormat/>
    <w:rsid w:val="003B5CDE"/>
    <w:rPr>
      <w:i/>
      <w:iCs/>
    </w:rPr>
  </w:style>
  <w:style w:type="character" w:customStyle="1" w:styleId="QuoteChar">
    <w:name w:val="Quote Char"/>
    <w:basedOn w:val="DefaultParagraphFont"/>
    <w:link w:val="Quote"/>
    <w:uiPriority w:val="29"/>
    <w:rsid w:val="003B5CDE"/>
    <w:rPr>
      <w:rFonts w:asciiTheme="minorHAnsi" w:eastAsiaTheme="minorEastAsia" w:hAnsiTheme="minorHAnsi" w:cstheme="minorBidi"/>
      <w:i/>
      <w:iCs/>
    </w:rPr>
  </w:style>
  <w:style w:type="character" w:styleId="SubtleEmphasis">
    <w:name w:val="Subtle Emphasis"/>
    <w:uiPriority w:val="19"/>
    <w:qFormat/>
    <w:rsid w:val="003B5CDE"/>
    <w:rPr>
      <w:i/>
      <w:iCs/>
      <w:color w:val="243F60" w:themeColor="accent1" w:themeShade="7F"/>
    </w:rPr>
  </w:style>
  <w:style w:type="character" w:styleId="SubtleReference">
    <w:name w:val="Subtle Reference"/>
    <w:uiPriority w:val="31"/>
    <w:qFormat/>
    <w:rsid w:val="003B5CDE"/>
    <w:rPr>
      <w:b/>
      <w:bCs/>
      <w:color w:val="4F81BD" w:themeColor="accent1"/>
    </w:rPr>
  </w:style>
  <w:style w:type="paragraph" w:styleId="Title">
    <w:name w:val="Title"/>
    <w:basedOn w:val="Normal"/>
    <w:next w:val="Normal"/>
    <w:link w:val="TitleChar"/>
    <w:uiPriority w:val="10"/>
    <w:qFormat/>
    <w:rsid w:val="00EE4AAD"/>
    <w:pPr>
      <w:spacing w:before="720"/>
      <w:jc w:val="center"/>
    </w:pPr>
    <w:rPr>
      <w:rFonts w:ascii="Century Gothic" w:hAnsi="Century Gothic"/>
      <w:caps/>
      <w:color w:val="1CADE4"/>
      <w:spacing w:val="10"/>
      <w:kern w:val="28"/>
      <w:sz w:val="52"/>
      <w:szCs w:val="52"/>
    </w:rPr>
  </w:style>
  <w:style w:type="character" w:customStyle="1" w:styleId="TitleChar">
    <w:name w:val="Title Char"/>
    <w:basedOn w:val="DefaultParagraphFont"/>
    <w:link w:val="Title"/>
    <w:uiPriority w:val="10"/>
    <w:rsid w:val="00EE4AAD"/>
    <w:rPr>
      <w:rFonts w:ascii="Century Gothic" w:eastAsiaTheme="minorEastAsia" w:hAnsi="Century Gothic" w:cstheme="minorBidi"/>
      <w:caps/>
      <w:color w:val="1CADE4"/>
      <w:spacing w:val="10"/>
      <w:kern w:val="28"/>
      <w:sz w:val="52"/>
      <w:szCs w:val="52"/>
    </w:rPr>
  </w:style>
  <w:style w:type="paragraph" w:customStyle="1" w:styleId="isselectedend">
    <w:name w:val="isselectedend"/>
    <w:basedOn w:val="Normal"/>
    <w:rsid w:val="000F2FE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pendices-Heading2">
    <w:name w:val="Appendices - Heading 2"/>
    <w:basedOn w:val="Heading2"/>
    <w:qFormat/>
    <w:rsid w:val="007F5ED4"/>
    <w:pPr>
      <w:keepLines/>
    </w:pPr>
  </w:style>
  <w:style w:type="paragraph" w:customStyle="1" w:styleId="Appendices-Heading3">
    <w:name w:val="Appendices - Heading 3"/>
    <w:basedOn w:val="Heading3"/>
    <w:qFormat/>
    <w:rsid w:val="007F5ED4"/>
  </w:style>
  <w:style w:type="paragraph" w:customStyle="1" w:styleId="Appendices-Heading1">
    <w:name w:val="Appendices - Heading 1"/>
    <w:basedOn w:val="Heading1"/>
    <w:qFormat/>
    <w:rsid w:val="005B403F"/>
  </w:style>
  <w:style w:type="paragraph" w:styleId="TOC5">
    <w:name w:val="toc 5"/>
    <w:basedOn w:val="Normal"/>
    <w:next w:val="Normal"/>
    <w:autoRedefine/>
    <w:uiPriority w:val="39"/>
    <w:unhideWhenUsed/>
    <w:rsid w:val="00A01221"/>
    <w:pPr>
      <w:spacing w:before="0" w:after="100" w:line="278" w:lineRule="auto"/>
      <w:ind w:left="960"/>
    </w:pPr>
    <w:rPr>
      <w:kern w:val="2"/>
      <w:sz w:val="24"/>
      <w:szCs w:val="24"/>
      <w14:ligatures w14:val="standardContextual"/>
    </w:rPr>
  </w:style>
  <w:style w:type="paragraph" w:styleId="TOC6">
    <w:name w:val="toc 6"/>
    <w:basedOn w:val="Normal"/>
    <w:next w:val="Normal"/>
    <w:autoRedefine/>
    <w:uiPriority w:val="39"/>
    <w:unhideWhenUsed/>
    <w:rsid w:val="00A01221"/>
    <w:pPr>
      <w:spacing w:before="0" w:after="100" w:line="278" w:lineRule="auto"/>
      <w:ind w:left="1200"/>
    </w:pPr>
    <w:rPr>
      <w:kern w:val="2"/>
      <w:sz w:val="24"/>
      <w:szCs w:val="24"/>
      <w14:ligatures w14:val="standardContextual"/>
    </w:rPr>
  </w:style>
  <w:style w:type="paragraph" w:styleId="TOC7">
    <w:name w:val="toc 7"/>
    <w:basedOn w:val="Normal"/>
    <w:next w:val="Normal"/>
    <w:autoRedefine/>
    <w:uiPriority w:val="39"/>
    <w:unhideWhenUsed/>
    <w:rsid w:val="00A01221"/>
    <w:pPr>
      <w:spacing w:before="0" w:after="100" w:line="278" w:lineRule="auto"/>
      <w:ind w:left="1440"/>
    </w:pPr>
    <w:rPr>
      <w:kern w:val="2"/>
      <w:sz w:val="24"/>
      <w:szCs w:val="24"/>
      <w14:ligatures w14:val="standardContextual"/>
    </w:rPr>
  </w:style>
  <w:style w:type="paragraph" w:styleId="TOC8">
    <w:name w:val="toc 8"/>
    <w:basedOn w:val="Normal"/>
    <w:next w:val="Normal"/>
    <w:autoRedefine/>
    <w:uiPriority w:val="39"/>
    <w:unhideWhenUsed/>
    <w:rsid w:val="00A01221"/>
    <w:pPr>
      <w:spacing w:before="0" w:after="100" w:line="278" w:lineRule="auto"/>
      <w:ind w:left="1680"/>
    </w:pPr>
    <w:rPr>
      <w:kern w:val="2"/>
      <w:sz w:val="24"/>
      <w:szCs w:val="24"/>
      <w14:ligatures w14:val="standardContextual"/>
    </w:rPr>
  </w:style>
  <w:style w:type="paragraph" w:styleId="TOC9">
    <w:name w:val="toc 9"/>
    <w:basedOn w:val="Normal"/>
    <w:next w:val="Normal"/>
    <w:autoRedefine/>
    <w:uiPriority w:val="39"/>
    <w:unhideWhenUsed/>
    <w:rsid w:val="00A01221"/>
    <w:pPr>
      <w:spacing w:before="0" w:after="100" w:line="278" w:lineRule="auto"/>
      <w:ind w:left="1920"/>
    </w:pPr>
    <w:rPr>
      <w:kern w:val="2"/>
      <w:sz w:val="24"/>
      <w:szCs w:val="24"/>
      <w14:ligatures w14:val="standardContextual"/>
    </w:rPr>
  </w:style>
  <w:style w:type="paragraph" w:styleId="EndnoteText">
    <w:name w:val="endnote text"/>
    <w:basedOn w:val="Normal"/>
    <w:link w:val="EndnoteTextChar"/>
    <w:semiHidden/>
    <w:unhideWhenUsed/>
    <w:rsid w:val="00742874"/>
    <w:pPr>
      <w:spacing w:before="0" w:after="0" w:line="240" w:lineRule="auto"/>
    </w:pPr>
  </w:style>
  <w:style w:type="character" w:customStyle="1" w:styleId="EndnoteTextChar">
    <w:name w:val="Endnote Text Char"/>
    <w:basedOn w:val="DefaultParagraphFont"/>
    <w:link w:val="EndnoteText"/>
    <w:semiHidden/>
    <w:rsid w:val="00742874"/>
    <w:rPr>
      <w:rFonts w:asciiTheme="minorHAnsi" w:eastAsiaTheme="minorEastAsia" w:hAnsiTheme="minorHAnsi" w:cstheme="minorBidi"/>
    </w:rPr>
  </w:style>
  <w:style w:type="character" w:styleId="EndnoteReference">
    <w:name w:val="endnote reference"/>
    <w:basedOn w:val="DefaultParagraphFont"/>
    <w:semiHidden/>
    <w:unhideWhenUsed/>
    <w:rsid w:val="00742874"/>
    <w:rPr>
      <w:vertAlign w:val="superscript"/>
    </w:rPr>
  </w:style>
  <w:style w:type="paragraph" w:customStyle="1" w:styleId="AppendicesTable">
    <w:name w:val="Appendices Table"/>
    <w:basedOn w:val="Table"/>
    <w:qFormat/>
    <w:rsid w:val="0054550A"/>
  </w:style>
  <w:style w:type="paragraph" w:customStyle="1" w:styleId="footnotedescription">
    <w:name w:val="footnote description"/>
    <w:next w:val="Normal"/>
    <w:link w:val="footnotedescriptionChar"/>
    <w:hidden/>
    <w:rsid w:val="008E40B0"/>
    <w:pPr>
      <w:spacing w:line="259" w:lineRule="auto"/>
    </w:pPr>
    <w:rPr>
      <w:color w:val="000000"/>
      <w:kern w:val="2"/>
      <w:sz w:val="16"/>
      <w:szCs w:val="24"/>
      <w14:ligatures w14:val="standardContextual"/>
    </w:rPr>
  </w:style>
  <w:style w:type="character" w:customStyle="1" w:styleId="footnotedescriptionChar">
    <w:name w:val="footnote description Char"/>
    <w:link w:val="footnotedescription"/>
    <w:rsid w:val="008E40B0"/>
    <w:rPr>
      <w:color w:val="000000"/>
      <w:kern w:val="2"/>
      <w:sz w:val="16"/>
      <w:szCs w:val="24"/>
      <w14:ligatures w14:val="standardContextual"/>
    </w:rPr>
  </w:style>
  <w:style w:type="character" w:customStyle="1" w:styleId="footnotemark">
    <w:name w:val="footnote mark"/>
    <w:hidden/>
    <w:rsid w:val="008E40B0"/>
    <w:rPr>
      <w:rFonts w:ascii="Times New Roman" w:eastAsia="Times New Roman" w:hAnsi="Times New Roman" w:cs="Times New Roman"/>
      <w:color w:val="000000"/>
      <w:sz w:val="16"/>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956390">
      <w:bodyDiv w:val="1"/>
      <w:marLeft w:val="0"/>
      <w:marRight w:val="0"/>
      <w:marTop w:val="0"/>
      <w:marBottom w:val="0"/>
      <w:divBdr>
        <w:top w:val="none" w:sz="0" w:space="0" w:color="auto"/>
        <w:left w:val="none" w:sz="0" w:space="0" w:color="auto"/>
        <w:bottom w:val="none" w:sz="0" w:space="0" w:color="auto"/>
        <w:right w:val="none" w:sz="0" w:space="0" w:color="auto"/>
      </w:divBdr>
    </w:div>
    <w:div w:id="357315226">
      <w:bodyDiv w:val="1"/>
      <w:marLeft w:val="0"/>
      <w:marRight w:val="0"/>
      <w:marTop w:val="0"/>
      <w:marBottom w:val="0"/>
      <w:divBdr>
        <w:top w:val="none" w:sz="0" w:space="0" w:color="auto"/>
        <w:left w:val="none" w:sz="0" w:space="0" w:color="auto"/>
        <w:bottom w:val="none" w:sz="0" w:space="0" w:color="auto"/>
        <w:right w:val="none" w:sz="0" w:space="0" w:color="auto"/>
      </w:divBdr>
    </w:div>
    <w:div w:id="446850808">
      <w:bodyDiv w:val="1"/>
      <w:marLeft w:val="0"/>
      <w:marRight w:val="0"/>
      <w:marTop w:val="0"/>
      <w:marBottom w:val="0"/>
      <w:divBdr>
        <w:top w:val="none" w:sz="0" w:space="0" w:color="auto"/>
        <w:left w:val="none" w:sz="0" w:space="0" w:color="auto"/>
        <w:bottom w:val="none" w:sz="0" w:space="0" w:color="auto"/>
        <w:right w:val="none" w:sz="0" w:space="0" w:color="auto"/>
      </w:divBdr>
    </w:div>
    <w:div w:id="553465964">
      <w:bodyDiv w:val="1"/>
      <w:marLeft w:val="0"/>
      <w:marRight w:val="0"/>
      <w:marTop w:val="0"/>
      <w:marBottom w:val="0"/>
      <w:divBdr>
        <w:top w:val="none" w:sz="0" w:space="0" w:color="auto"/>
        <w:left w:val="none" w:sz="0" w:space="0" w:color="auto"/>
        <w:bottom w:val="none" w:sz="0" w:space="0" w:color="auto"/>
        <w:right w:val="none" w:sz="0" w:space="0" w:color="auto"/>
      </w:divBdr>
    </w:div>
    <w:div w:id="603154959">
      <w:bodyDiv w:val="1"/>
      <w:marLeft w:val="0"/>
      <w:marRight w:val="0"/>
      <w:marTop w:val="0"/>
      <w:marBottom w:val="0"/>
      <w:divBdr>
        <w:top w:val="none" w:sz="0" w:space="0" w:color="auto"/>
        <w:left w:val="none" w:sz="0" w:space="0" w:color="auto"/>
        <w:bottom w:val="none" w:sz="0" w:space="0" w:color="auto"/>
        <w:right w:val="none" w:sz="0" w:space="0" w:color="auto"/>
      </w:divBdr>
    </w:div>
    <w:div w:id="633873512">
      <w:bodyDiv w:val="1"/>
      <w:marLeft w:val="0"/>
      <w:marRight w:val="0"/>
      <w:marTop w:val="0"/>
      <w:marBottom w:val="0"/>
      <w:divBdr>
        <w:top w:val="none" w:sz="0" w:space="0" w:color="auto"/>
        <w:left w:val="none" w:sz="0" w:space="0" w:color="auto"/>
        <w:bottom w:val="none" w:sz="0" w:space="0" w:color="auto"/>
        <w:right w:val="none" w:sz="0" w:space="0" w:color="auto"/>
      </w:divBdr>
    </w:div>
    <w:div w:id="810444354">
      <w:bodyDiv w:val="1"/>
      <w:marLeft w:val="0"/>
      <w:marRight w:val="0"/>
      <w:marTop w:val="0"/>
      <w:marBottom w:val="0"/>
      <w:divBdr>
        <w:top w:val="none" w:sz="0" w:space="0" w:color="auto"/>
        <w:left w:val="none" w:sz="0" w:space="0" w:color="auto"/>
        <w:bottom w:val="none" w:sz="0" w:space="0" w:color="auto"/>
        <w:right w:val="none" w:sz="0" w:space="0" w:color="auto"/>
      </w:divBdr>
    </w:div>
    <w:div w:id="863635855">
      <w:bodyDiv w:val="1"/>
      <w:marLeft w:val="0"/>
      <w:marRight w:val="0"/>
      <w:marTop w:val="0"/>
      <w:marBottom w:val="0"/>
      <w:divBdr>
        <w:top w:val="none" w:sz="0" w:space="0" w:color="auto"/>
        <w:left w:val="none" w:sz="0" w:space="0" w:color="auto"/>
        <w:bottom w:val="none" w:sz="0" w:space="0" w:color="auto"/>
        <w:right w:val="none" w:sz="0" w:space="0" w:color="auto"/>
      </w:divBdr>
    </w:div>
    <w:div w:id="888999689">
      <w:bodyDiv w:val="1"/>
      <w:marLeft w:val="0"/>
      <w:marRight w:val="0"/>
      <w:marTop w:val="0"/>
      <w:marBottom w:val="0"/>
      <w:divBdr>
        <w:top w:val="none" w:sz="0" w:space="0" w:color="auto"/>
        <w:left w:val="none" w:sz="0" w:space="0" w:color="auto"/>
        <w:bottom w:val="none" w:sz="0" w:space="0" w:color="auto"/>
        <w:right w:val="none" w:sz="0" w:space="0" w:color="auto"/>
      </w:divBdr>
    </w:div>
    <w:div w:id="991523099">
      <w:bodyDiv w:val="1"/>
      <w:marLeft w:val="0"/>
      <w:marRight w:val="0"/>
      <w:marTop w:val="0"/>
      <w:marBottom w:val="0"/>
      <w:divBdr>
        <w:top w:val="none" w:sz="0" w:space="0" w:color="auto"/>
        <w:left w:val="none" w:sz="0" w:space="0" w:color="auto"/>
        <w:bottom w:val="none" w:sz="0" w:space="0" w:color="auto"/>
        <w:right w:val="none" w:sz="0" w:space="0" w:color="auto"/>
      </w:divBdr>
    </w:div>
    <w:div w:id="1439566203">
      <w:bodyDiv w:val="1"/>
      <w:marLeft w:val="0"/>
      <w:marRight w:val="0"/>
      <w:marTop w:val="0"/>
      <w:marBottom w:val="0"/>
      <w:divBdr>
        <w:top w:val="none" w:sz="0" w:space="0" w:color="auto"/>
        <w:left w:val="none" w:sz="0" w:space="0" w:color="auto"/>
        <w:bottom w:val="none" w:sz="0" w:space="0" w:color="auto"/>
        <w:right w:val="none" w:sz="0" w:space="0" w:color="auto"/>
      </w:divBdr>
    </w:div>
    <w:div w:id="1455521389">
      <w:bodyDiv w:val="1"/>
      <w:marLeft w:val="0"/>
      <w:marRight w:val="0"/>
      <w:marTop w:val="0"/>
      <w:marBottom w:val="0"/>
      <w:divBdr>
        <w:top w:val="none" w:sz="0" w:space="0" w:color="auto"/>
        <w:left w:val="none" w:sz="0" w:space="0" w:color="auto"/>
        <w:bottom w:val="none" w:sz="0" w:space="0" w:color="auto"/>
        <w:right w:val="none" w:sz="0" w:space="0" w:color="auto"/>
      </w:divBdr>
    </w:div>
    <w:div w:id="1459375104">
      <w:bodyDiv w:val="1"/>
      <w:marLeft w:val="0"/>
      <w:marRight w:val="0"/>
      <w:marTop w:val="0"/>
      <w:marBottom w:val="0"/>
      <w:divBdr>
        <w:top w:val="none" w:sz="0" w:space="0" w:color="auto"/>
        <w:left w:val="none" w:sz="0" w:space="0" w:color="auto"/>
        <w:bottom w:val="none" w:sz="0" w:space="0" w:color="auto"/>
        <w:right w:val="none" w:sz="0" w:space="0" w:color="auto"/>
      </w:divBdr>
    </w:div>
    <w:div w:id="1461610944">
      <w:bodyDiv w:val="1"/>
      <w:marLeft w:val="0"/>
      <w:marRight w:val="0"/>
      <w:marTop w:val="0"/>
      <w:marBottom w:val="0"/>
      <w:divBdr>
        <w:top w:val="none" w:sz="0" w:space="0" w:color="auto"/>
        <w:left w:val="none" w:sz="0" w:space="0" w:color="auto"/>
        <w:bottom w:val="none" w:sz="0" w:space="0" w:color="auto"/>
        <w:right w:val="none" w:sz="0" w:space="0" w:color="auto"/>
      </w:divBdr>
    </w:div>
    <w:div w:id="1693914492">
      <w:bodyDiv w:val="1"/>
      <w:marLeft w:val="0"/>
      <w:marRight w:val="0"/>
      <w:marTop w:val="0"/>
      <w:marBottom w:val="0"/>
      <w:divBdr>
        <w:top w:val="none" w:sz="0" w:space="0" w:color="auto"/>
        <w:left w:val="none" w:sz="0" w:space="0" w:color="auto"/>
        <w:bottom w:val="none" w:sz="0" w:space="0" w:color="auto"/>
        <w:right w:val="none" w:sz="0" w:space="0" w:color="auto"/>
      </w:divBdr>
    </w:div>
    <w:div w:id="1697340435">
      <w:bodyDiv w:val="1"/>
      <w:marLeft w:val="0"/>
      <w:marRight w:val="0"/>
      <w:marTop w:val="0"/>
      <w:marBottom w:val="0"/>
      <w:divBdr>
        <w:top w:val="none" w:sz="0" w:space="0" w:color="auto"/>
        <w:left w:val="none" w:sz="0" w:space="0" w:color="auto"/>
        <w:bottom w:val="none" w:sz="0" w:space="0" w:color="auto"/>
        <w:right w:val="none" w:sz="0" w:space="0" w:color="auto"/>
      </w:divBdr>
    </w:div>
    <w:div w:id="1925261089">
      <w:bodyDiv w:val="1"/>
      <w:marLeft w:val="0"/>
      <w:marRight w:val="0"/>
      <w:marTop w:val="0"/>
      <w:marBottom w:val="0"/>
      <w:divBdr>
        <w:top w:val="none" w:sz="0" w:space="0" w:color="auto"/>
        <w:left w:val="none" w:sz="0" w:space="0" w:color="auto"/>
        <w:bottom w:val="none" w:sz="0" w:space="0" w:color="auto"/>
        <w:right w:val="none" w:sz="0" w:space="0" w:color="auto"/>
      </w:divBdr>
    </w:div>
    <w:div w:id="1985504175">
      <w:bodyDiv w:val="1"/>
      <w:marLeft w:val="0"/>
      <w:marRight w:val="0"/>
      <w:marTop w:val="0"/>
      <w:marBottom w:val="0"/>
      <w:divBdr>
        <w:top w:val="none" w:sz="0" w:space="0" w:color="auto"/>
        <w:left w:val="none" w:sz="0" w:space="0" w:color="auto"/>
        <w:bottom w:val="none" w:sz="0" w:space="0" w:color="auto"/>
        <w:right w:val="none" w:sz="0" w:space="0" w:color="auto"/>
      </w:divBdr>
    </w:div>
    <w:div w:id="1989747646">
      <w:bodyDiv w:val="1"/>
      <w:marLeft w:val="0"/>
      <w:marRight w:val="0"/>
      <w:marTop w:val="0"/>
      <w:marBottom w:val="0"/>
      <w:divBdr>
        <w:top w:val="none" w:sz="0" w:space="0" w:color="auto"/>
        <w:left w:val="none" w:sz="0" w:space="0" w:color="auto"/>
        <w:bottom w:val="none" w:sz="0" w:space="0" w:color="auto"/>
        <w:right w:val="none" w:sz="0" w:space="0" w:color="auto"/>
      </w:divBdr>
    </w:div>
    <w:div w:id="2036925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QuickStyle" Target="diagrams/quickStyle1.xml"/><Relationship Id="rId21" Type="http://schemas.openxmlformats.org/officeDocument/2006/relationships/image" Target="media/image2.png"/><Relationship Id="rId34" Type="http://schemas.openxmlformats.org/officeDocument/2006/relationships/footer" Target="footer5.xml"/><Relationship Id="rId42" Type="http://schemas.openxmlformats.org/officeDocument/2006/relationships/image" Target="media/image6.png"/><Relationship Id="rId47" Type="http://schemas.openxmlformats.org/officeDocument/2006/relationships/image" Target="media/image11.png"/><Relationship Id="rId50" Type="http://schemas.openxmlformats.org/officeDocument/2006/relationships/image" Target="media/image14.png"/><Relationship Id="rId55" Type="http://schemas.openxmlformats.org/officeDocument/2006/relationships/image" Target="media/image17.jpeg"/><Relationship Id="rId63" Type="http://schemas.openxmlformats.org/officeDocument/2006/relationships/footer" Target="footer1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bof.fire.ca.gov/media/420iskxo/rpc-2-b-iv-town-of-truckee-emergency-operations-plan-supplemental.pdf" TargetMode="External"/><Relationship Id="rId11" Type="http://schemas.openxmlformats.org/officeDocument/2006/relationships/image" Target="media/image1.png"/><Relationship Id="rId24" Type="http://schemas.openxmlformats.org/officeDocument/2006/relationships/diagramData" Target="diagrams/data1.xml"/><Relationship Id="rId32" Type="http://schemas.openxmlformats.org/officeDocument/2006/relationships/footer" Target="footer4.xml"/><Relationship Id="rId37" Type="http://schemas.openxmlformats.org/officeDocument/2006/relationships/footer" Target="footer7.xml"/><Relationship Id="rId40" Type="http://schemas.openxmlformats.org/officeDocument/2006/relationships/image" Target="media/image4.png"/><Relationship Id="rId45" Type="http://schemas.openxmlformats.org/officeDocument/2006/relationships/image" Target="media/image9.png"/><Relationship Id="rId53" Type="http://schemas.openxmlformats.org/officeDocument/2006/relationships/footer" Target="footer11.xml"/><Relationship Id="rId58" Type="http://schemas.openxmlformats.org/officeDocument/2006/relationships/image" Target="media/image18.emf"/><Relationship Id="rId66"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image" Target="media/image21.png"/><Relationship Id="rId19" Type="http://schemas.microsoft.com/office/2016/09/relationships/commentsIds" Target="commentsIds.xml"/><Relationship Id="rId14" Type="http://schemas.openxmlformats.org/officeDocument/2006/relationships/footer" Target="footer2.xml"/><Relationship Id="rId22" Type="http://schemas.openxmlformats.org/officeDocument/2006/relationships/hyperlink" Target="https://web.tdpud.org/WebLink/Browse.aspx?id=289229&amp;dbid=0&amp;repo=TDPUD" TargetMode="External"/><Relationship Id="rId27" Type="http://schemas.openxmlformats.org/officeDocument/2006/relationships/diagramColors" Target="diagrams/colors1.xml"/><Relationship Id="rId30" Type="http://schemas.openxmlformats.org/officeDocument/2006/relationships/hyperlink" Target="http://www.tdpud.org" TargetMode="External"/><Relationship Id="rId35" Type="http://schemas.openxmlformats.org/officeDocument/2006/relationships/footer" Target="footer6.xml"/><Relationship Id="rId43" Type="http://schemas.openxmlformats.org/officeDocument/2006/relationships/image" Target="media/image7.png"/><Relationship Id="rId48" Type="http://schemas.openxmlformats.org/officeDocument/2006/relationships/image" Target="media/image12.png"/><Relationship Id="rId56" Type="http://schemas.openxmlformats.org/officeDocument/2006/relationships/footer" Target="footer12.xml"/><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15.png"/><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comments" Target="comments.xml"/><Relationship Id="rId25" Type="http://schemas.openxmlformats.org/officeDocument/2006/relationships/diagramLayout" Target="diagrams/layout1.xml"/><Relationship Id="rId33" Type="http://schemas.openxmlformats.org/officeDocument/2006/relationships/header" Target="header4.xml"/><Relationship Id="rId38" Type="http://schemas.openxmlformats.org/officeDocument/2006/relationships/footer" Target="footer8.xml"/><Relationship Id="rId46" Type="http://schemas.openxmlformats.org/officeDocument/2006/relationships/image" Target="media/image10.png"/><Relationship Id="rId59" Type="http://schemas.openxmlformats.org/officeDocument/2006/relationships/image" Target="media/image19.jpg"/><Relationship Id="rId20" Type="http://schemas.microsoft.com/office/2018/08/relationships/commentsExtensible" Target="commentsExtensible.xml"/><Relationship Id="rId41" Type="http://schemas.openxmlformats.org/officeDocument/2006/relationships/image" Target="media/image5.png"/><Relationship Id="rId54" Type="http://schemas.openxmlformats.org/officeDocument/2006/relationships/image" Target="media/image16.png"/><Relationship Id="rId62"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www.tdpud.org/departments/wildfire-emergency-preparedness" TargetMode="External"/><Relationship Id="rId28" Type="http://schemas.microsoft.com/office/2007/relationships/diagramDrawing" Target="diagrams/drawing1.xml"/><Relationship Id="rId36" Type="http://schemas.openxmlformats.org/officeDocument/2006/relationships/image" Target="media/image3.png"/><Relationship Id="rId49" Type="http://schemas.openxmlformats.org/officeDocument/2006/relationships/image" Target="media/image13.png"/><Relationship Id="rId57" Type="http://schemas.openxmlformats.org/officeDocument/2006/relationships/footer" Target="footer13.xml"/><Relationship Id="rId10" Type="http://schemas.openxmlformats.org/officeDocument/2006/relationships/endnotes" Target="endnotes.xml"/><Relationship Id="rId31" Type="http://schemas.openxmlformats.org/officeDocument/2006/relationships/header" Target="header3.xml"/><Relationship Id="rId44" Type="http://schemas.openxmlformats.org/officeDocument/2006/relationships/image" Target="media/image8.png"/><Relationship Id="rId52" Type="http://schemas.openxmlformats.org/officeDocument/2006/relationships/footer" Target="footer10.xml"/><Relationship Id="rId60" Type="http://schemas.openxmlformats.org/officeDocument/2006/relationships/image" Target="media/image20.jpg"/><Relationship Id="rId65"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microsoft.com/office/2011/relationships/commentsExtended" Target="commentsExtended.xml"/><Relationship Id="rId39" Type="http://schemas.openxmlformats.org/officeDocument/2006/relationships/footer" Target="footer9.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4088DFD-5521-854C-AC7F-9C3277932759}" type="doc">
      <dgm:prSet loTypeId="urn:microsoft.com/office/officeart/2005/8/layout/orgChart1" loCatId="" qsTypeId="urn:microsoft.com/office/officeart/2005/8/quickstyle/simple1" qsCatId="simple" csTypeId="urn:microsoft.com/office/officeart/2005/8/colors/accent1_2" csCatId="accent1" phldr="1"/>
      <dgm:spPr/>
      <dgm:t>
        <a:bodyPr/>
        <a:lstStyle/>
        <a:p>
          <a:endParaRPr lang="en-US"/>
        </a:p>
      </dgm:t>
    </dgm:pt>
    <dgm:pt modelId="{76EBBB97-6D9D-4892-8443-4E5D7C5E9BB1}">
      <dgm:prSet/>
      <dgm:spPr>
        <a:solidFill>
          <a:srgbClr val="1CADE4"/>
        </a:solidFill>
      </dgm:spPr>
      <dgm:t>
        <a:bodyPr/>
        <a:lstStyle/>
        <a:p>
          <a:r>
            <a:rPr lang="en-US"/>
            <a:t>Truckee Donner Public Utility District (TDPUD)</a:t>
          </a:r>
        </a:p>
      </dgm:t>
    </dgm:pt>
    <dgm:pt modelId="{588521EA-BDE3-4330-8740-3079E2581BB0}" type="parTrans" cxnId="{80AE1468-3130-4260-BA87-44A244BC6146}">
      <dgm:prSet/>
      <dgm:spPr/>
      <dgm:t>
        <a:bodyPr/>
        <a:lstStyle/>
        <a:p>
          <a:endParaRPr lang="en-US"/>
        </a:p>
      </dgm:t>
    </dgm:pt>
    <dgm:pt modelId="{20259C5E-1C22-4C89-940D-64AEA86A1DAD}" type="sibTrans" cxnId="{80AE1468-3130-4260-BA87-44A244BC6146}">
      <dgm:prSet/>
      <dgm:spPr/>
      <dgm:t>
        <a:bodyPr/>
        <a:lstStyle/>
        <a:p>
          <a:endParaRPr lang="en-US"/>
        </a:p>
      </dgm:t>
    </dgm:pt>
    <dgm:pt modelId="{69968DD8-4916-4239-95A0-F15612595867}">
      <dgm:prSet/>
      <dgm:spPr>
        <a:solidFill>
          <a:srgbClr val="1CADE4"/>
        </a:solidFill>
      </dgm:spPr>
      <dgm:t>
        <a:bodyPr/>
        <a:lstStyle/>
        <a:p>
          <a:r>
            <a:rPr lang="en-US"/>
            <a:t>Board of </a:t>
          </a:r>
        </a:p>
        <a:p>
          <a:r>
            <a:rPr lang="en-US"/>
            <a:t>Directors</a:t>
          </a:r>
        </a:p>
      </dgm:t>
    </dgm:pt>
    <dgm:pt modelId="{EEF91937-9D64-478A-A76A-8AC455680E8A}" type="parTrans" cxnId="{B7910B26-96D1-4483-8CC1-47F9CFD06C85}">
      <dgm:prSet/>
      <dgm:spPr>
        <a:ln>
          <a:solidFill>
            <a:srgbClr val="1CADE4"/>
          </a:solidFill>
        </a:ln>
      </dgm:spPr>
      <dgm:t>
        <a:bodyPr/>
        <a:lstStyle/>
        <a:p>
          <a:endParaRPr lang="en-US"/>
        </a:p>
      </dgm:t>
    </dgm:pt>
    <dgm:pt modelId="{CF1085AF-BE5B-49FD-B5DD-422B93A20879}" type="sibTrans" cxnId="{B7910B26-96D1-4483-8CC1-47F9CFD06C85}">
      <dgm:prSet/>
      <dgm:spPr/>
      <dgm:t>
        <a:bodyPr/>
        <a:lstStyle/>
        <a:p>
          <a:endParaRPr lang="en-US"/>
        </a:p>
      </dgm:t>
    </dgm:pt>
    <dgm:pt modelId="{7D599144-4CDF-479C-9D11-F261328B27E4}">
      <dgm:prSet/>
      <dgm:spPr>
        <a:solidFill>
          <a:srgbClr val="1CADE4"/>
        </a:solidFill>
      </dgm:spPr>
      <dgm:t>
        <a:bodyPr/>
        <a:lstStyle/>
        <a:p>
          <a:r>
            <a:rPr lang="en-US"/>
            <a:t>General </a:t>
          </a:r>
        </a:p>
        <a:p>
          <a:r>
            <a:rPr lang="en-US"/>
            <a:t>Manager</a:t>
          </a:r>
        </a:p>
      </dgm:t>
    </dgm:pt>
    <dgm:pt modelId="{AF8674C3-B556-47F8-9E32-B6D0026E4366}" type="parTrans" cxnId="{C69F5C98-07AB-4651-A75E-9211A516C665}">
      <dgm:prSet/>
      <dgm:spPr>
        <a:ln>
          <a:solidFill>
            <a:srgbClr val="1CADE4"/>
          </a:solidFill>
        </a:ln>
      </dgm:spPr>
      <dgm:t>
        <a:bodyPr/>
        <a:lstStyle/>
        <a:p>
          <a:endParaRPr lang="en-US"/>
        </a:p>
      </dgm:t>
    </dgm:pt>
    <dgm:pt modelId="{3A7AF09A-6FD9-445E-B843-87D09E0B09B0}" type="sibTrans" cxnId="{C69F5C98-07AB-4651-A75E-9211A516C665}">
      <dgm:prSet/>
      <dgm:spPr/>
      <dgm:t>
        <a:bodyPr/>
        <a:lstStyle/>
        <a:p>
          <a:endParaRPr lang="en-US"/>
        </a:p>
      </dgm:t>
    </dgm:pt>
    <dgm:pt modelId="{3512A8E3-FD0C-4A6F-88DB-6E2DEA5F7950}">
      <dgm:prSet/>
      <dgm:spPr>
        <a:solidFill>
          <a:srgbClr val="1CADE4"/>
        </a:solidFill>
      </dgm:spPr>
      <dgm:t>
        <a:bodyPr/>
        <a:lstStyle/>
        <a:p>
          <a:r>
            <a:rPr lang="en-US"/>
            <a:t>Director of Electric Engineering &amp; Operations </a:t>
          </a:r>
        </a:p>
      </dgm:t>
    </dgm:pt>
    <dgm:pt modelId="{1B44CDDA-8EF3-4CD0-9F82-E41BE7686A77}" type="parTrans" cxnId="{7A170F43-A93D-4FBF-9915-E0E2DD087DCA}">
      <dgm:prSet/>
      <dgm:spPr>
        <a:ln>
          <a:solidFill>
            <a:srgbClr val="1CADE4"/>
          </a:solidFill>
        </a:ln>
      </dgm:spPr>
      <dgm:t>
        <a:bodyPr/>
        <a:lstStyle/>
        <a:p>
          <a:endParaRPr lang="en-US"/>
        </a:p>
      </dgm:t>
    </dgm:pt>
    <dgm:pt modelId="{D72FC3C8-A6DE-45BF-8344-51DB2722B3D9}" type="sibTrans" cxnId="{7A170F43-A93D-4FBF-9915-E0E2DD087DCA}">
      <dgm:prSet/>
      <dgm:spPr/>
      <dgm:t>
        <a:bodyPr/>
        <a:lstStyle/>
        <a:p>
          <a:endParaRPr lang="en-US"/>
        </a:p>
      </dgm:t>
    </dgm:pt>
    <dgm:pt modelId="{7351F809-34C0-484C-80AB-B4CAC985565B}">
      <dgm:prSet/>
      <dgm:spPr>
        <a:solidFill>
          <a:srgbClr val="1CADE4"/>
        </a:solidFill>
      </dgm:spPr>
      <dgm:t>
        <a:bodyPr/>
        <a:lstStyle/>
        <a:p>
          <a:r>
            <a:rPr lang="en-US"/>
            <a:t>Electric Operations Manager</a:t>
          </a:r>
        </a:p>
      </dgm:t>
    </dgm:pt>
    <dgm:pt modelId="{6A5C2FD0-4213-4E35-AD54-28132AE316EA}" type="parTrans" cxnId="{7FE5843E-87F3-4F9B-BD2B-79F0BD0C4267}">
      <dgm:prSet/>
      <dgm:spPr>
        <a:solidFill>
          <a:srgbClr val="1CADE4"/>
        </a:solidFill>
        <a:ln>
          <a:solidFill>
            <a:srgbClr val="1CADE4"/>
          </a:solidFill>
        </a:ln>
      </dgm:spPr>
      <dgm:t>
        <a:bodyPr/>
        <a:lstStyle/>
        <a:p>
          <a:endParaRPr lang="en-US"/>
        </a:p>
      </dgm:t>
    </dgm:pt>
    <dgm:pt modelId="{04E90DB9-2F4D-4D88-8B6C-04AE2423AB92}" type="sibTrans" cxnId="{7FE5843E-87F3-4F9B-BD2B-79F0BD0C4267}">
      <dgm:prSet/>
      <dgm:spPr/>
      <dgm:t>
        <a:bodyPr/>
        <a:lstStyle/>
        <a:p>
          <a:endParaRPr lang="en-US"/>
        </a:p>
      </dgm:t>
    </dgm:pt>
    <dgm:pt modelId="{F1553890-9925-4A56-81E3-8A0FCA7EF039}">
      <dgm:prSet/>
      <dgm:spPr>
        <a:solidFill>
          <a:srgbClr val="1CADE4"/>
        </a:solidFill>
      </dgm:spPr>
      <dgm:t>
        <a:bodyPr/>
        <a:lstStyle/>
        <a:p>
          <a:r>
            <a:rPr lang="en-US"/>
            <a:t>Electric Engineering Manager</a:t>
          </a:r>
        </a:p>
      </dgm:t>
    </dgm:pt>
    <dgm:pt modelId="{3C2F677B-E75A-4598-B471-C91BD9AE8D6B}" type="parTrans" cxnId="{16983425-C9FC-4D35-92AA-976D8DAB8949}">
      <dgm:prSet/>
      <dgm:spPr>
        <a:solidFill>
          <a:srgbClr val="1CADE4"/>
        </a:solidFill>
        <a:ln>
          <a:solidFill>
            <a:srgbClr val="1CADE4"/>
          </a:solidFill>
        </a:ln>
      </dgm:spPr>
      <dgm:t>
        <a:bodyPr/>
        <a:lstStyle/>
        <a:p>
          <a:endParaRPr lang="en-US"/>
        </a:p>
      </dgm:t>
    </dgm:pt>
    <dgm:pt modelId="{E397FD4C-D59C-42E8-90BE-47A9A2309AEB}" type="sibTrans" cxnId="{16983425-C9FC-4D35-92AA-976D8DAB8949}">
      <dgm:prSet/>
      <dgm:spPr/>
      <dgm:t>
        <a:bodyPr/>
        <a:lstStyle/>
        <a:p>
          <a:endParaRPr lang="en-US"/>
        </a:p>
      </dgm:t>
    </dgm:pt>
    <dgm:pt modelId="{DEE8CBE5-BB09-44C6-858E-7B820228D153}">
      <dgm:prSet/>
      <dgm:spPr>
        <a:solidFill>
          <a:srgbClr val="1CADE4"/>
        </a:solidFill>
      </dgm:spPr>
      <dgm:t>
        <a:bodyPr/>
        <a:lstStyle/>
        <a:p>
          <a:r>
            <a:rPr lang="en-US"/>
            <a:t>PIO/Strategic Affairs Director</a:t>
          </a:r>
        </a:p>
      </dgm:t>
    </dgm:pt>
    <dgm:pt modelId="{7C521D8C-168E-4D53-9841-CEDC46D0FD25}" type="parTrans" cxnId="{2BF273FE-0F8E-4C32-8987-752FA8DEA74D}">
      <dgm:prSet/>
      <dgm:spPr>
        <a:ln>
          <a:solidFill>
            <a:srgbClr val="1CADE4"/>
          </a:solidFill>
        </a:ln>
      </dgm:spPr>
      <dgm:t>
        <a:bodyPr/>
        <a:lstStyle/>
        <a:p>
          <a:endParaRPr lang="en-US"/>
        </a:p>
      </dgm:t>
    </dgm:pt>
    <dgm:pt modelId="{A315901C-70BD-4142-96C4-E5F34045D461}" type="sibTrans" cxnId="{2BF273FE-0F8E-4C32-8987-752FA8DEA74D}">
      <dgm:prSet/>
      <dgm:spPr/>
      <dgm:t>
        <a:bodyPr/>
        <a:lstStyle/>
        <a:p>
          <a:endParaRPr lang="en-US"/>
        </a:p>
      </dgm:t>
    </dgm:pt>
    <dgm:pt modelId="{21E37F84-2117-4224-9EEA-87D984EFE8FB}">
      <dgm:prSet/>
      <dgm:spPr>
        <a:solidFill>
          <a:srgbClr val="1CADE4"/>
        </a:solidFill>
      </dgm:spPr>
      <dgm:t>
        <a:bodyPr/>
        <a:lstStyle/>
        <a:p>
          <a:r>
            <a:rPr lang="en-US"/>
            <a:t>TDPUD Customers</a:t>
          </a:r>
        </a:p>
      </dgm:t>
    </dgm:pt>
    <dgm:pt modelId="{48E85842-BFE9-473E-A55F-4E91531641B5}" type="parTrans" cxnId="{3D59369B-BF04-4C4F-8E2E-69DA67AB693E}">
      <dgm:prSet/>
      <dgm:spPr>
        <a:ln>
          <a:solidFill>
            <a:srgbClr val="1CADE4"/>
          </a:solidFill>
        </a:ln>
      </dgm:spPr>
      <dgm:t>
        <a:bodyPr/>
        <a:lstStyle/>
        <a:p>
          <a:endParaRPr lang="en-US"/>
        </a:p>
      </dgm:t>
    </dgm:pt>
    <dgm:pt modelId="{CDA0E861-8072-4B2B-9CD8-5DBAD7463D7E}" type="sibTrans" cxnId="{3D59369B-BF04-4C4F-8E2E-69DA67AB693E}">
      <dgm:prSet/>
      <dgm:spPr/>
      <dgm:t>
        <a:bodyPr/>
        <a:lstStyle/>
        <a:p>
          <a:endParaRPr lang="en-US"/>
        </a:p>
      </dgm:t>
    </dgm:pt>
    <dgm:pt modelId="{387781E0-7021-4994-B403-0ACC4CDF9414}">
      <dgm:prSet/>
      <dgm:spPr>
        <a:solidFill>
          <a:srgbClr val="1CADE4"/>
        </a:solidFill>
      </dgm:spPr>
      <dgm:t>
        <a:bodyPr/>
        <a:lstStyle/>
        <a:p>
          <a:r>
            <a:rPr lang="en-US"/>
            <a:t>Water Utility Director</a:t>
          </a:r>
        </a:p>
      </dgm:t>
    </dgm:pt>
    <dgm:pt modelId="{E72231B1-57D7-40D1-B206-ABC25DDF91F6}" type="parTrans" cxnId="{DD4471C5-F84C-4039-9E8D-73D38AF6DD3A}">
      <dgm:prSet/>
      <dgm:spPr/>
      <dgm:t>
        <a:bodyPr/>
        <a:lstStyle/>
        <a:p>
          <a:endParaRPr lang="en-US"/>
        </a:p>
      </dgm:t>
    </dgm:pt>
    <dgm:pt modelId="{9B979123-750F-42D3-B61F-80CA9AF5917F}" type="sibTrans" cxnId="{DD4471C5-F84C-4039-9E8D-73D38AF6DD3A}">
      <dgm:prSet/>
      <dgm:spPr/>
      <dgm:t>
        <a:bodyPr/>
        <a:lstStyle/>
        <a:p>
          <a:endParaRPr lang="en-US"/>
        </a:p>
      </dgm:t>
    </dgm:pt>
    <dgm:pt modelId="{4160E5D1-0F8C-4ACF-AD64-774DF384FC91}">
      <dgm:prSet/>
      <dgm:spPr>
        <a:solidFill>
          <a:srgbClr val="1CADE4"/>
        </a:solidFill>
      </dgm:spPr>
      <dgm:t>
        <a:bodyPr/>
        <a:lstStyle/>
        <a:p>
          <a:r>
            <a:rPr lang="en-US"/>
            <a:t>IT Director</a:t>
          </a:r>
        </a:p>
      </dgm:t>
    </dgm:pt>
    <dgm:pt modelId="{7B6A2A14-C9FD-4B77-A035-45033F47BDCA}" type="parTrans" cxnId="{712BF760-ACE3-4E0E-8B63-058FB794986C}">
      <dgm:prSet/>
      <dgm:spPr/>
      <dgm:t>
        <a:bodyPr/>
        <a:lstStyle/>
        <a:p>
          <a:endParaRPr lang="en-US"/>
        </a:p>
      </dgm:t>
    </dgm:pt>
    <dgm:pt modelId="{9C13DCC0-B3F0-4BD2-9CEF-64BA2CF998EE}" type="sibTrans" cxnId="{712BF760-ACE3-4E0E-8B63-058FB794986C}">
      <dgm:prSet/>
      <dgm:spPr/>
      <dgm:t>
        <a:bodyPr/>
        <a:lstStyle/>
        <a:p>
          <a:endParaRPr lang="en-US"/>
        </a:p>
      </dgm:t>
    </dgm:pt>
    <dgm:pt modelId="{2CF9E690-6906-45C4-A7A5-33B44044DF68}">
      <dgm:prSet/>
      <dgm:spPr>
        <a:solidFill>
          <a:srgbClr val="1CADE4"/>
        </a:solidFill>
      </dgm:spPr>
      <dgm:t>
        <a:bodyPr/>
        <a:lstStyle/>
        <a:p>
          <a:r>
            <a:rPr lang="en-US"/>
            <a:t>Director of HR &amp; Risk</a:t>
          </a:r>
        </a:p>
      </dgm:t>
    </dgm:pt>
    <dgm:pt modelId="{6D81D5FC-EE2B-41BB-A113-E360A1769FDC}" type="parTrans" cxnId="{A8A71DFD-4486-4537-98C1-72CC3B735E20}">
      <dgm:prSet/>
      <dgm:spPr/>
      <dgm:t>
        <a:bodyPr/>
        <a:lstStyle/>
        <a:p>
          <a:endParaRPr lang="en-US"/>
        </a:p>
      </dgm:t>
    </dgm:pt>
    <dgm:pt modelId="{A18F9252-CB9C-429C-A76F-B7BCA5B18D21}" type="sibTrans" cxnId="{A8A71DFD-4486-4537-98C1-72CC3B735E20}">
      <dgm:prSet/>
      <dgm:spPr/>
      <dgm:t>
        <a:bodyPr/>
        <a:lstStyle/>
        <a:p>
          <a:endParaRPr lang="en-US"/>
        </a:p>
      </dgm:t>
    </dgm:pt>
    <dgm:pt modelId="{B5121C08-3350-48F2-9831-52728FD18A03}">
      <dgm:prSet/>
      <dgm:spPr>
        <a:solidFill>
          <a:srgbClr val="1CADE4"/>
        </a:solidFill>
      </dgm:spPr>
      <dgm:t>
        <a:bodyPr/>
        <a:lstStyle/>
        <a:p>
          <a:r>
            <a:rPr lang="en-US"/>
            <a:t>CFO (Manager of Dispatch)</a:t>
          </a:r>
        </a:p>
      </dgm:t>
    </dgm:pt>
    <dgm:pt modelId="{AF8C83E1-93EF-48F7-9989-864BABED12CC}" type="parTrans" cxnId="{482439D9-0CD2-4209-9E40-93389F711E6F}">
      <dgm:prSet/>
      <dgm:spPr/>
      <dgm:t>
        <a:bodyPr/>
        <a:lstStyle/>
        <a:p>
          <a:endParaRPr lang="en-US"/>
        </a:p>
      </dgm:t>
    </dgm:pt>
    <dgm:pt modelId="{7ADD4F87-CE2D-4509-A1CA-A7DF906BC2E1}" type="sibTrans" cxnId="{482439D9-0CD2-4209-9E40-93389F711E6F}">
      <dgm:prSet/>
      <dgm:spPr/>
      <dgm:t>
        <a:bodyPr/>
        <a:lstStyle/>
        <a:p>
          <a:endParaRPr lang="en-US"/>
        </a:p>
      </dgm:t>
    </dgm:pt>
    <dgm:pt modelId="{7E6E7055-494D-A247-9B14-DDC2215F3428}" type="pres">
      <dgm:prSet presAssocID="{04088DFD-5521-854C-AC7F-9C3277932759}" presName="hierChild1" presStyleCnt="0">
        <dgm:presLayoutVars>
          <dgm:orgChart val="1"/>
          <dgm:chPref val="1"/>
          <dgm:dir val="rev"/>
          <dgm:animOne val="branch"/>
          <dgm:animLvl val="lvl"/>
          <dgm:resizeHandles/>
        </dgm:presLayoutVars>
      </dgm:prSet>
      <dgm:spPr/>
    </dgm:pt>
    <dgm:pt modelId="{34EAEAE2-48C4-4B97-B49D-78844A721C21}" type="pres">
      <dgm:prSet presAssocID="{76EBBB97-6D9D-4892-8443-4E5D7C5E9BB1}" presName="hierRoot1" presStyleCnt="0">
        <dgm:presLayoutVars>
          <dgm:hierBranch val="init"/>
        </dgm:presLayoutVars>
      </dgm:prSet>
      <dgm:spPr/>
    </dgm:pt>
    <dgm:pt modelId="{E21CFD43-8B65-4474-907A-A1656A75ABDA}" type="pres">
      <dgm:prSet presAssocID="{76EBBB97-6D9D-4892-8443-4E5D7C5E9BB1}" presName="rootComposite1" presStyleCnt="0"/>
      <dgm:spPr/>
    </dgm:pt>
    <dgm:pt modelId="{C44C3A6B-1E80-44CF-8B09-4066187A1419}" type="pres">
      <dgm:prSet presAssocID="{76EBBB97-6D9D-4892-8443-4E5D7C5E9BB1}" presName="rootText1" presStyleLbl="node0" presStyleIdx="0" presStyleCnt="1">
        <dgm:presLayoutVars>
          <dgm:chPref val="3"/>
        </dgm:presLayoutVars>
      </dgm:prSet>
      <dgm:spPr/>
    </dgm:pt>
    <dgm:pt modelId="{3ABDBC14-2A04-499C-9C91-B11114C95FBF}" type="pres">
      <dgm:prSet presAssocID="{76EBBB97-6D9D-4892-8443-4E5D7C5E9BB1}" presName="rootConnector1" presStyleLbl="node1" presStyleIdx="0" presStyleCnt="0"/>
      <dgm:spPr/>
    </dgm:pt>
    <dgm:pt modelId="{1D00B270-250F-4437-B42C-4FA1931EB07F}" type="pres">
      <dgm:prSet presAssocID="{76EBBB97-6D9D-4892-8443-4E5D7C5E9BB1}" presName="hierChild2" presStyleCnt="0"/>
      <dgm:spPr/>
    </dgm:pt>
    <dgm:pt modelId="{7A4A5AB6-61DB-48E5-BCD4-5CB23EFC306C}" type="pres">
      <dgm:prSet presAssocID="{48E85842-BFE9-473E-A55F-4E91531641B5}" presName="Name37" presStyleLbl="parChTrans1D2" presStyleIdx="0" presStyleCnt="1"/>
      <dgm:spPr/>
    </dgm:pt>
    <dgm:pt modelId="{D7565DA9-C8DB-40BD-B217-0A9D21F8B7B4}" type="pres">
      <dgm:prSet presAssocID="{21E37F84-2117-4224-9EEA-87D984EFE8FB}" presName="hierRoot2" presStyleCnt="0">
        <dgm:presLayoutVars>
          <dgm:hierBranch val="init"/>
        </dgm:presLayoutVars>
      </dgm:prSet>
      <dgm:spPr/>
    </dgm:pt>
    <dgm:pt modelId="{223B3C5C-CD87-43C3-9403-35F1281818CB}" type="pres">
      <dgm:prSet presAssocID="{21E37F84-2117-4224-9EEA-87D984EFE8FB}" presName="rootComposite" presStyleCnt="0"/>
      <dgm:spPr/>
    </dgm:pt>
    <dgm:pt modelId="{54B6983C-9E8B-4D4B-884F-099828A04229}" type="pres">
      <dgm:prSet presAssocID="{21E37F84-2117-4224-9EEA-87D984EFE8FB}" presName="rootText" presStyleLbl="node2" presStyleIdx="0" presStyleCnt="1">
        <dgm:presLayoutVars>
          <dgm:chPref val="3"/>
        </dgm:presLayoutVars>
      </dgm:prSet>
      <dgm:spPr/>
    </dgm:pt>
    <dgm:pt modelId="{6F68BD20-9E72-4C93-B343-7371817523FC}" type="pres">
      <dgm:prSet presAssocID="{21E37F84-2117-4224-9EEA-87D984EFE8FB}" presName="rootConnector" presStyleLbl="node2" presStyleIdx="0" presStyleCnt="1"/>
      <dgm:spPr/>
    </dgm:pt>
    <dgm:pt modelId="{83D44650-17BA-4D11-A92D-F3054AF9F6F2}" type="pres">
      <dgm:prSet presAssocID="{21E37F84-2117-4224-9EEA-87D984EFE8FB}" presName="hierChild4" presStyleCnt="0"/>
      <dgm:spPr/>
    </dgm:pt>
    <dgm:pt modelId="{D6150408-EBA8-481C-A3A3-4D288553D353}" type="pres">
      <dgm:prSet presAssocID="{EEF91937-9D64-478A-A76A-8AC455680E8A}" presName="Name37" presStyleLbl="parChTrans1D3" presStyleIdx="0" presStyleCnt="1"/>
      <dgm:spPr/>
    </dgm:pt>
    <dgm:pt modelId="{3B1E609E-CEA8-4C5F-BBFD-019E107340E8}" type="pres">
      <dgm:prSet presAssocID="{69968DD8-4916-4239-95A0-F15612595867}" presName="hierRoot2" presStyleCnt="0">
        <dgm:presLayoutVars>
          <dgm:hierBranch val="init"/>
        </dgm:presLayoutVars>
      </dgm:prSet>
      <dgm:spPr/>
    </dgm:pt>
    <dgm:pt modelId="{2A31D893-DF78-48AF-B0B7-AE2946D2C040}" type="pres">
      <dgm:prSet presAssocID="{69968DD8-4916-4239-95A0-F15612595867}" presName="rootComposite" presStyleCnt="0"/>
      <dgm:spPr/>
    </dgm:pt>
    <dgm:pt modelId="{5197E310-2E11-47AA-83CE-8DF7EBCF1816}" type="pres">
      <dgm:prSet presAssocID="{69968DD8-4916-4239-95A0-F15612595867}" presName="rootText" presStyleLbl="node3" presStyleIdx="0" presStyleCnt="1" custLinFactNeighborX="1054" custLinFactNeighborY="-2108">
        <dgm:presLayoutVars>
          <dgm:chPref val="3"/>
        </dgm:presLayoutVars>
      </dgm:prSet>
      <dgm:spPr/>
    </dgm:pt>
    <dgm:pt modelId="{71F4E4F9-C0E0-4190-BCAB-491993792BE6}" type="pres">
      <dgm:prSet presAssocID="{69968DD8-4916-4239-95A0-F15612595867}" presName="rootConnector" presStyleLbl="node3" presStyleIdx="0" presStyleCnt="1"/>
      <dgm:spPr/>
    </dgm:pt>
    <dgm:pt modelId="{12CCC6CE-B1AD-4887-8779-70A2A388D024}" type="pres">
      <dgm:prSet presAssocID="{69968DD8-4916-4239-95A0-F15612595867}" presName="hierChild4" presStyleCnt="0"/>
      <dgm:spPr/>
    </dgm:pt>
    <dgm:pt modelId="{2A8D5C82-D57A-4F9C-9CF1-9CB85D3F55F6}" type="pres">
      <dgm:prSet presAssocID="{AF8674C3-B556-47F8-9E32-B6D0026E4366}" presName="Name37" presStyleLbl="parChTrans1D4" presStyleIdx="0" presStyleCnt="9"/>
      <dgm:spPr/>
    </dgm:pt>
    <dgm:pt modelId="{B4555D48-DE39-4948-9FB9-2BF7B87381D9}" type="pres">
      <dgm:prSet presAssocID="{7D599144-4CDF-479C-9D11-F261328B27E4}" presName="hierRoot2" presStyleCnt="0">
        <dgm:presLayoutVars>
          <dgm:hierBranch val="init"/>
        </dgm:presLayoutVars>
      </dgm:prSet>
      <dgm:spPr/>
    </dgm:pt>
    <dgm:pt modelId="{6C188EC8-40C0-4784-80D6-96BD42184386}" type="pres">
      <dgm:prSet presAssocID="{7D599144-4CDF-479C-9D11-F261328B27E4}" presName="rootComposite" presStyleCnt="0"/>
      <dgm:spPr/>
    </dgm:pt>
    <dgm:pt modelId="{8482A6E5-9B1B-4B8F-B344-06D2ECBFC801}" type="pres">
      <dgm:prSet presAssocID="{7D599144-4CDF-479C-9D11-F261328B27E4}" presName="rootText" presStyleLbl="node4" presStyleIdx="0" presStyleCnt="9">
        <dgm:presLayoutVars>
          <dgm:chPref val="3"/>
        </dgm:presLayoutVars>
      </dgm:prSet>
      <dgm:spPr/>
    </dgm:pt>
    <dgm:pt modelId="{B1F7323F-48F5-42D2-9492-FF76DE074019}" type="pres">
      <dgm:prSet presAssocID="{7D599144-4CDF-479C-9D11-F261328B27E4}" presName="rootConnector" presStyleLbl="node4" presStyleIdx="0" presStyleCnt="9"/>
      <dgm:spPr/>
    </dgm:pt>
    <dgm:pt modelId="{9A65152E-53DB-4967-9E33-31DEF3E8EA5E}" type="pres">
      <dgm:prSet presAssocID="{7D599144-4CDF-479C-9D11-F261328B27E4}" presName="hierChild4" presStyleCnt="0"/>
      <dgm:spPr/>
    </dgm:pt>
    <dgm:pt modelId="{81343013-4BC4-4F6D-884B-33925BE19CBD}" type="pres">
      <dgm:prSet presAssocID="{7C521D8C-168E-4D53-9841-CEDC46D0FD25}" presName="Name37" presStyleLbl="parChTrans1D4" presStyleIdx="1" presStyleCnt="9"/>
      <dgm:spPr/>
    </dgm:pt>
    <dgm:pt modelId="{89C472A6-66B1-452E-9988-5D057862A335}" type="pres">
      <dgm:prSet presAssocID="{DEE8CBE5-BB09-44C6-858E-7B820228D153}" presName="hierRoot2" presStyleCnt="0">
        <dgm:presLayoutVars>
          <dgm:hierBranch val="init"/>
        </dgm:presLayoutVars>
      </dgm:prSet>
      <dgm:spPr/>
    </dgm:pt>
    <dgm:pt modelId="{5FDF9386-05E6-4D91-AFBF-44CF0C48F12D}" type="pres">
      <dgm:prSet presAssocID="{DEE8CBE5-BB09-44C6-858E-7B820228D153}" presName="rootComposite" presStyleCnt="0"/>
      <dgm:spPr/>
    </dgm:pt>
    <dgm:pt modelId="{7B9DB256-9C7F-410E-B345-EC35B7515E24}" type="pres">
      <dgm:prSet presAssocID="{DEE8CBE5-BB09-44C6-858E-7B820228D153}" presName="rootText" presStyleLbl="node4" presStyleIdx="1" presStyleCnt="9">
        <dgm:presLayoutVars>
          <dgm:chPref val="3"/>
        </dgm:presLayoutVars>
      </dgm:prSet>
      <dgm:spPr/>
    </dgm:pt>
    <dgm:pt modelId="{2B5A3B15-7DE4-4A6B-9972-63969EAC2036}" type="pres">
      <dgm:prSet presAssocID="{DEE8CBE5-BB09-44C6-858E-7B820228D153}" presName="rootConnector" presStyleLbl="node4" presStyleIdx="1" presStyleCnt="9"/>
      <dgm:spPr/>
    </dgm:pt>
    <dgm:pt modelId="{980B7A9E-C46F-461D-83D2-BD7F2DC23B97}" type="pres">
      <dgm:prSet presAssocID="{DEE8CBE5-BB09-44C6-858E-7B820228D153}" presName="hierChild4" presStyleCnt="0"/>
      <dgm:spPr/>
    </dgm:pt>
    <dgm:pt modelId="{77E8A49F-91DE-474B-9B52-838BA989196B}" type="pres">
      <dgm:prSet presAssocID="{DEE8CBE5-BB09-44C6-858E-7B820228D153}" presName="hierChild5" presStyleCnt="0"/>
      <dgm:spPr/>
    </dgm:pt>
    <dgm:pt modelId="{CF767022-4D74-4B7E-AB8D-2CD5C7664012}" type="pres">
      <dgm:prSet presAssocID="{1B44CDDA-8EF3-4CD0-9F82-E41BE7686A77}" presName="Name37" presStyleLbl="parChTrans1D4" presStyleIdx="2" presStyleCnt="9"/>
      <dgm:spPr/>
    </dgm:pt>
    <dgm:pt modelId="{0F32D2B8-9533-4D89-9476-846B430438B6}" type="pres">
      <dgm:prSet presAssocID="{3512A8E3-FD0C-4A6F-88DB-6E2DEA5F7950}" presName="hierRoot2" presStyleCnt="0">
        <dgm:presLayoutVars>
          <dgm:hierBranch/>
        </dgm:presLayoutVars>
      </dgm:prSet>
      <dgm:spPr/>
    </dgm:pt>
    <dgm:pt modelId="{7266ED83-E2CF-47C7-BF3E-78F6BAD22E08}" type="pres">
      <dgm:prSet presAssocID="{3512A8E3-FD0C-4A6F-88DB-6E2DEA5F7950}" presName="rootComposite" presStyleCnt="0"/>
      <dgm:spPr/>
    </dgm:pt>
    <dgm:pt modelId="{0FD8D10D-70C6-4DF9-81E0-D3ACB518041F}" type="pres">
      <dgm:prSet presAssocID="{3512A8E3-FD0C-4A6F-88DB-6E2DEA5F7950}" presName="rootText" presStyleLbl="node4" presStyleIdx="2" presStyleCnt="9">
        <dgm:presLayoutVars>
          <dgm:chPref val="3"/>
        </dgm:presLayoutVars>
      </dgm:prSet>
      <dgm:spPr/>
    </dgm:pt>
    <dgm:pt modelId="{68799F0A-1804-4FAA-AC05-96C75DFFB368}" type="pres">
      <dgm:prSet presAssocID="{3512A8E3-FD0C-4A6F-88DB-6E2DEA5F7950}" presName="rootConnector" presStyleLbl="node4" presStyleIdx="2" presStyleCnt="9"/>
      <dgm:spPr/>
    </dgm:pt>
    <dgm:pt modelId="{E7AB39DE-B808-438D-980D-A58DA59B138D}" type="pres">
      <dgm:prSet presAssocID="{3512A8E3-FD0C-4A6F-88DB-6E2DEA5F7950}" presName="hierChild4" presStyleCnt="0"/>
      <dgm:spPr/>
    </dgm:pt>
    <dgm:pt modelId="{38E48BDE-E368-42AE-84D0-3F4E97B917EC}" type="pres">
      <dgm:prSet presAssocID="{6A5C2FD0-4213-4E35-AD54-28132AE316EA}" presName="Name35" presStyleLbl="parChTrans1D4" presStyleIdx="3" presStyleCnt="9"/>
      <dgm:spPr/>
    </dgm:pt>
    <dgm:pt modelId="{0B85D596-A51A-4191-90AB-520FCE0E69DA}" type="pres">
      <dgm:prSet presAssocID="{7351F809-34C0-484C-80AB-B4CAC985565B}" presName="hierRoot2" presStyleCnt="0">
        <dgm:presLayoutVars>
          <dgm:hierBranch/>
        </dgm:presLayoutVars>
      </dgm:prSet>
      <dgm:spPr/>
    </dgm:pt>
    <dgm:pt modelId="{23372E0D-E65C-45AA-BED1-650EA62C9645}" type="pres">
      <dgm:prSet presAssocID="{7351F809-34C0-484C-80AB-B4CAC985565B}" presName="rootComposite" presStyleCnt="0"/>
      <dgm:spPr/>
    </dgm:pt>
    <dgm:pt modelId="{AD68A627-0E63-476C-8CED-F99CD8E72469}" type="pres">
      <dgm:prSet presAssocID="{7351F809-34C0-484C-80AB-B4CAC985565B}" presName="rootText" presStyleLbl="node4" presStyleIdx="3" presStyleCnt="9">
        <dgm:presLayoutVars>
          <dgm:chPref val="3"/>
        </dgm:presLayoutVars>
      </dgm:prSet>
      <dgm:spPr/>
    </dgm:pt>
    <dgm:pt modelId="{201A5F11-2298-4F44-833C-298C6D497661}" type="pres">
      <dgm:prSet presAssocID="{7351F809-34C0-484C-80AB-B4CAC985565B}" presName="rootConnector" presStyleLbl="node4" presStyleIdx="3" presStyleCnt="9"/>
      <dgm:spPr/>
    </dgm:pt>
    <dgm:pt modelId="{37BE98A2-259D-41CE-AE2F-0A7FD26AFC9F}" type="pres">
      <dgm:prSet presAssocID="{7351F809-34C0-484C-80AB-B4CAC985565B}" presName="hierChild4" presStyleCnt="0"/>
      <dgm:spPr/>
    </dgm:pt>
    <dgm:pt modelId="{1B3F892A-D132-4A8C-875A-6C6DBC63A271}" type="pres">
      <dgm:prSet presAssocID="{7351F809-34C0-484C-80AB-B4CAC985565B}" presName="hierChild5" presStyleCnt="0"/>
      <dgm:spPr/>
    </dgm:pt>
    <dgm:pt modelId="{99E06ABC-072E-4D57-8DA1-A6DFC25492B6}" type="pres">
      <dgm:prSet presAssocID="{3C2F677B-E75A-4598-B471-C91BD9AE8D6B}" presName="Name35" presStyleLbl="parChTrans1D4" presStyleIdx="4" presStyleCnt="9"/>
      <dgm:spPr/>
    </dgm:pt>
    <dgm:pt modelId="{C74A783C-6F5D-4F7E-AFA0-D91E255EEC00}" type="pres">
      <dgm:prSet presAssocID="{F1553890-9925-4A56-81E3-8A0FCA7EF039}" presName="hierRoot2" presStyleCnt="0">
        <dgm:presLayoutVars>
          <dgm:hierBranch val="init"/>
        </dgm:presLayoutVars>
      </dgm:prSet>
      <dgm:spPr/>
    </dgm:pt>
    <dgm:pt modelId="{C013B9B8-7379-47BD-A5B7-8806A3D5613B}" type="pres">
      <dgm:prSet presAssocID="{F1553890-9925-4A56-81E3-8A0FCA7EF039}" presName="rootComposite" presStyleCnt="0"/>
      <dgm:spPr/>
    </dgm:pt>
    <dgm:pt modelId="{D7EFF3C8-2BD7-4605-A8F1-1FF8C481A09E}" type="pres">
      <dgm:prSet presAssocID="{F1553890-9925-4A56-81E3-8A0FCA7EF039}" presName="rootText" presStyleLbl="node4" presStyleIdx="4" presStyleCnt="9">
        <dgm:presLayoutVars>
          <dgm:chPref val="3"/>
        </dgm:presLayoutVars>
      </dgm:prSet>
      <dgm:spPr/>
    </dgm:pt>
    <dgm:pt modelId="{90743670-B0C0-47D2-AD95-0424222CFBF5}" type="pres">
      <dgm:prSet presAssocID="{F1553890-9925-4A56-81E3-8A0FCA7EF039}" presName="rootConnector" presStyleLbl="node4" presStyleIdx="4" presStyleCnt="9"/>
      <dgm:spPr/>
    </dgm:pt>
    <dgm:pt modelId="{1E3AF5D9-BA28-4AB0-AB8C-7A9B682B3176}" type="pres">
      <dgm:prSet presAssocID="{F1553890-9925-4A56-81E3-8A0FCA7EF039}" presName="hierChild4" presStyleCnt="0"/>
      <dgm:spPr/>
    </dgm:pt>
    <dgm:pt modelId="{C53DBF98-5F2E-4CD0-821D-0571B0DE818C}" type="pres">
      <dgm:prSet presAssocID="{F1553890-9925-4A56-81E3-8A0FCA7EF039}" presName="hierChild5" presStyleCnt="0"/>
      <dgm:spPr/>
    </dgm:pt>
    <dgm:pt modelId="{559C123E-0D79-44AB-B0D6-BD359546271D}" type="pres">
      <dgm:prSet presAssocID="{3512A8E3-FD0C-4A6F-88DB-6E2DEA5F7950}" presName="hierChild5" presStyleCnt="0"/>
      <dgm:spPr/>
    </dgm:pt>
    <dgm:pt modelId="{8A39768F-9D53-4DEB-9422-D3EF74344096}" type="pres">
      <dgm:prSet presAssocID="{6D81D5FC-EE2B-41BB-A113-E360A1769FDC}" presName="Name37" presStyleLbl="parChTrans1D4" presStyleIdx="5" presStyleCnt="9"/>
      <dgm:spPr/>
    </dgm:pt>
    <dgm:pt modelId="{44A3664C-DE49-4C39-91C5-5E2CFE022F32}" type="pres">
      <dgm:prSet presAssocID="{2CF9E690-6906-45C4-A7A5-33B44044DF68}" presName="hierRoot2" presStyleCnt="0">
        <dgm:presLayoutVars>
          <dgm:hierBranch val="init"/>
        </dgm:presLayoutVars>
      </dgm:prSet>
      <dgm:spPr/>
    </dgm:pt>
    <dgm:pt modelId="{EE8D70A2-13FD-4FD2-A220-950F24454461}" type="pres">
      <dgm:prSet presAssocID="{2CF9E690-6906-45C4-A7A5-33B44044DF68}" presName="rootComposite" presStyleCnt="0"/>
      <dgm:spPr/>
    </dgm:pt>
    <dgm:pt modelId="{B3669BE5-3024-4A43-A4E4-2FBF7CE69358}" type="pres">
      <dgm:prSet presAssocID="{2CF9E690-6906-45C4-A7A5-33B44044DF68}" presName="rootText" presStyleLbl="node4" presStyleIdx="5" presStyleCnt="9">
        <dgm:presLayoutVars>
          <dgm:chPref val="3"/>
        </dgm:presLayoutVars>
      </dgm:prSet>
      <dgm:spPr/>
    </dgm:pt>
    <dgm:pt modelId="{E28164F6-326B-4CCF-83DA-CF01A8A79793}" type="pres">
      <dgm:prSet presAssocID="{2CF9E690-6906-45C4-A7A5-33B44044DF68}" presName="rootConnector" presStyleLbl="node4" presStyleIdx="5" presStyleCnt="9"/>
      <dgm:spPr/>
    </dgm:pt>
    <dgm:pt modelId="{4D7C56E1-2ADD-49F2-AA62-30D445058828}" type="pres">
      <dgm:prSet presAssocID="{2CF9E690-6906-45C4-A7A5-33B44044DF68}" presName="hierChild4" presStyleCnt="0"/>
      <dgm:spPr/>
    </dgm:pt>
    <dgm:pt modelId="{8DD3B145-852C-4B8B-92D8-B766B885A430}" type="pres">
      <dgm:prSet presAssocID="{2CF9E690-6906-45C4-A7A5-33B44044DF68}" presName="hierChild5" presStyleCnt="0"/>
      <dgm:spPr/>
    </dgm:pt>
    <dgm:pt modelId="{F1E989CE-2F8B-417D-9641-C4CD924B12D3}" type="pres">
      <dgm:prSet presAssocID="{AF8C83E1-93EF-48F7-9989-864BABED12CC}" presName="Name37" presStyleLbl="parChTrans1D4" presStyleIdx="6" presStyleCnt="9"/>
      <dgm:spPr/>
    </dgm:pt>
    <dgm:pt modelId="{DACB7B5F-4E7B-4CFC-BDEC-8BE0E719E0CD}" type="pres">
      <dgm:prSet presAssocID="{B5121C08-3350-48F2-9831-52728FD18A03}" presName="hierRoot2" presStyleCnt="0">
        <dgm:presLayoutVars>
          <dgm:hierBranch val="init"/>
        </dgm:presLayoutVars>
      </dgm:prSet>
      <dgm:spPr/>
    </dgm:pt>
    <dgm:pt modelId="{1933924F-39C4-415E-B78F-54C5C82043B6}" type="pres">
      <dgm:prSet presAssocID="{B5121C08-3350-48F2-9831-52728FD18A03}" presName="rootComposite" presStyleCnt="0"/>
      <dgm:spPr/>
    </dgm:pt>
    <dgm:pt modelId="{2920045F-7A60-49C4-8462-F2B56E7CEC26}" type="pres">
      <dgm:prSet presAssocID="{B5121C08-3350-48F2-9831-52728FD18A03}" presName="rootText" presStyleLbl="node4" presStyleIdx="6" presStyleCnt="9">
        <dgm:presLayoutVars>
          <dgm:chPref val="3"/>
        </dgm:presLayoutVars>
      </dgm:prSet>
      <dgm:spPr/>
    </dgm:pt>
    <dgm:pt modelId="{6DC69DFB-0756-434B-B2FE-C4714D7B03BF}" type="pres">
      <dgm:prSet presAssocID="{B5121C08-3350-48F2-9831-52728FD18A03}" presName="rootConnector" presStyleLbl="node4" presStyleIdx="6" presStyleCnt="9"/>
      <dgm:spPr/>
    </dgm:pt>
    <dgm:pt modelId="{50B01540-F5B4-4712-B528-2B0108C7C91F}" type="pres">
      <dgm:prSet presAssocID="{B5121C08-3350-48F2-9831-52728FD18A03}" presName="hierChild4" presStyleCnt="0"/>
      <dgm:spPr/>
    </dgm:pt>
    <dgm:pt modelId="{F7BFBE04-54D8-4477-9635-A1A9A53A219C}" type="pres">
      <dgm:prSet presAssocID="{B5121C08-3350-48F2-9831-52728FD18A03}" presName="hierChild5" presStyleCnt="0"/>
      <dgm:spPr/>
    </dgm:pt>
    <dgm:pt modelId="{7755E071-68F8-4055-839B-3A32EAA499FB}" type="pres">
      <dgm:prSet presAssocID="{E72231B1-57D7-40D1-B206-ABC25DDF91F6}" presName="Name37" presStyleLbl="parChTrans1D4" presStyleIdx="7" presStyleCnt="9"/>
      <dgm:spPr/>
    </dgm:pt>
    <dgm:pt modelId="{15EB9B6D-02BF-44D4-BFFB-05528BF96EBA}" type="pres">
      <dgm:prSet presAssocID="{387781E0-7021-4994-B403-0ACC4CDF9414}" presName="hierRoot2" presStyleCnt="0">
        <dgm:presLayoutVars>
          <dgm:hierBranch val="init"/>
        </dgm:presLayoutVars>
      </dgm:prSet>
      <dgm:spPr/>
    </dgm:pt>
    <dgm:pt modelId="{AFD359E3-F21F-49DA-875F-A3A87165B140}" type="pres">
      <dgm:prSet presAssocID="{387781E0-7021-4994-B403-0ACC4CDF9414}" presName="rootComposite" presStyleCnt="0"/>
      <dgm:spPr/>
    </dgm:pt>
    <dgm:pt modelId="{514ABB18-D782-40C7-9685-7270013D493A}" type="pres">
      <dgm:prSet presAssocID="{387781E0-7021-4994-B403-0ACC4CDF9414}" presName="rootText" presStyleLbl="node4" presStyleIdx="7" presStyleCnt="9">
        <dgm:presLayoutVars>
          <dgm:chPref val="3"/>
        </dgm:presLayoutVars>
      </dgm:prSet>
      <dgm:spPr/>
    </dgm:pt>
    <dgm:pt modelId="{02C32FD4-F38C-465F-8BF5-4BBB3D291857}" type="pres">
      <dgm:prSet presAssocID="{387781E0-7021-4994-B403-0ACC4CDF9414}" presName="rootConnector" presStyleLbl="node4" presStyleIdx="7" presStyleCnt="9"/>
      <dgm:spPr/>
    </dgm:pt>
    <dgm:pt modelId="{7E88E417-05D6-446F-B508-D71DB2D7A1B5}" type="pres">
      <dgm:prSet presAssocID="{387781E0-7021-4994-B403-0ACC4CDF9414}" presName="hierChild4" presStyleCnt="0"/>
      <dgm:spPr/>
    </dgm:pt>
    <dgm:pt modelId="{CC2C91C0-628E-48CD-B734-03ED037736FF}" type="pres">
      <dgm:prSet presAssocID="{387781E0-7021-4994-B403-0ACC4CDF9414}" presName="hierChild5" presStyleCnt="0"/>
      <dgm:spPr/>
    </dgm:pt>
    <dgm:pt modelId="{6FED1092-2431-4A02-AE83-43CC9AC44539}" type="pres">
      <dgm:prSet presAssocID="{7B6A2A14-C9FD-4B77-A035-45033F47BDCA}" presName="Name37" presStyleLbl="parChTrans1D4" presStyleIdx="8" presStyleCnt="9"/>
      <dgm:spPr/>
    </dgm:pt>
    <dgm:pt modelId="{973D47C3-42EB-4D47-8059-4E6B81C4D5B2}" type="pres">
      <dgm:prSet presAssocID="{4160E5D1-0F8C-4ACF-AD64-774DF384FC91}" presName="hierRoot2" presStyleCnt="0">
        <dgm:presLayoutVars>
          <dgm:hierBranch val="init"/>
        </dgm:presLayoutVars>
      </dgm:prSet>
      <dgm:spPr/>
    </dgm:pt>
    <dgm:pt modelId="{E40AC4E5-BC51-418B-AE75-7AD882323337}" type="pres">
      <dgm:prSet presAssocID="{4160E5D1-0F8C-4ACF-AD64-774DF384FC91}" presName="rootComposite" presStyleCnt="0"/>
      <dgm:spPr/>
    </dgm:pt>
    <dgm:pt modelId="{EA91F464-7E8E-4AAA-BFCE-93E7C96B6C65}" type="pres">
      <dgm:prSet presAssocID="{4160E5D1-0F8C-4ACF-AD64-774DF384FC91}" presName="rootText" presStyleLbl="node4" presStyleIdx="8" presStyleCnt="9">
        <dgm:presLayoutVars>
          <dgm:chPref val="3"/>
        </dgm:presLayoutVars>
      </dgm:prSet>
      <dgm:spPr/>
    </dgm:pt>
    <dgm:pt modelId="{7B85A15F-3CDD-4FB3-BD3F-8056EFE513EC}" type="pres">
      <dgm:prSet presAssocID="{4160E5D1-0F8C-4ACF-AD64-774DF384FC91}" presName="rootConnector" presStyleLbl="node4" presStyleIdx="8" presStyleCnt="9"/>
      <dgm:spPr/>
    </dgm:pt>
    <dgm:pt modelId="{C5D9A628-4DDB-4C34-9A83-141E684E8371}" type="pres">
      <dgm:prSet presAssocID="{4160E5D1-0F8C-4ACF-AD64-774DF384FC91}" presName="hierChild4" presStyleCnt="0"/>
      <dgm:spPr/>
    </dgm:pt>
    <dgm:pt modelId="{80549A36-4FA6-4F7A-93F2-CA28CE4DAA32}" type="pres">
      <dgm:prSet presAssocID="{4160E5D1-0F8C-4ACF-AD64-774DF384FC91}" presName="hierChild5" presStyleCnt="0"/>
      <dgm:spPr/>
    </dgm:pt>
    <dgm:pt modelId="{E869088F-AEEF-40CF-8696-7739C419C3D3}" type="pres">
      <dgm:prSet presAssocID="{7D599144-4CDF-479C-9D11-F261328B27E4}" presName="hierChild5" presStyleCnt="0"/>
      <dgm:spPr/>
    </dgm:pt>
    <dgm:pt modelId="{420585A8-4C65-4AEA-BCE3-67E0E74FE7D9}" type="pres">
      <dgm:prSet presAssocID="{69968DD8-4916-4239-95A0-F15612595867}" presName="hierChild5" presStyleCnt="0"/>
      <dgm:spPr/>
    </dgm:pt>
    <dgm:pt modelId="{6FA3E7E4-F7E0-42E5-899C-2B0BC3437F1A}" type="pres">
      <dgm:prSet presAssocID="{21E37F84-2117-4224-9EEA-87D984EFE8FB}" presName="hierChild5" presStyleCnt="0"/>
      <dgm:spPr/>
    </dgm:pt>
    <dgm:pt modelId="{3EA8B90F-D55F-4247-A8A7-832903E0F750}" type="pres">
      <dgm:prSet presAssocID="{76EBBB97-6D9D-4892-8443-4E5D7C5E9BB1}" presName="hierChild3" presStyleCnt="0"/>
      <dgm:spPr/>
    </dgm:pt>
  </dgm:ptLst>
  <dgm:cxnLst>
    <dgm:cxn modelId="{19D3F104-377E-48C7-82B5-0003A9221669}" type="presOf" srcId="{387781E0-7021-4994-B403-0ACC4CDF9414}" destId="{02C32FD4-F38C-465F-8BF5-4BBB3D291857}" srcOrd="1" destOrd="0" presId="urn:microsoft.com/office/officeart/2005/8/layout/orgChart1"/>
    <dgm:cxn modelId="{1F74990F-7A95-42E4-8388-7AE74384D58E}" type="presOf" srcId="{4160E5D1-0F8C-4ACF-AD64-774DF384FC91}" destId="{EA91F464-7E8E-4AAA-BFCE-93E7C96B6C65}" srcOrd="0" destOrd="0" presId="urn:microsoft.com/office/officeart/2005/8/layout/orgChart1"/>
    <dgm:cxn modelId="{FD284015-4F81-4845-878B-7AF3C7E398EC}" type="presOf" srcId="{4160E5D1-0F8C-4ACF-AD64-774DF384FC91}" destId="{7B85A15F-3CDD-4FB3-BD3F-8056EFE513EC}" srcOrd="1" destOrd="0" presId="urn:microsoft.com/office/officeart/2005/8/layout/orgChart1"/>
    <dgm:cxn modelId="{A61D421E-0478-458E-A708-5C517E1AD7D0}" type="presOf" srcId="{6A5C2FD0-4213-4E35-AD54-28132AE316EA}" destId="{38E48BDE-E368-42AE-84D0-3F4E97B917EC}" srcOrd="0" destOrd="0" presId="urn:microsoft.com/office/officeart/2005/8/layout/orgChart1"/>
    <dgm:cxn modelId="{C363AD21-54B8-4666-90CF-99AED19187A3}" type="presOf" srcId="{DEE8CBE5-BB09-44C6-858E-7B820228D153}" destId="{2B5A3B15-7DE4-4A6B-9972-63969EAC2036}" srcOrd="1" destOrd="0" presId="urn:microsoft.com/office/officeart/2005/8/layout/orgChart1"/>
    <dgm:cxn modelId="{16983425-C9FC-4D35-92AA-976D8DAB8949}" srcId="{3512A8E3-FD0C-4A6F-88DB-6E2DEA5F7950}" destId="{F1553890-9925-4A56-81E3-8A0FCA7EF039}" srcOrd="1" destOrd="0" parTransId="{3C2F677B-E75A-4598-B471-C91BD9AE8D6B}" sibTransId="{E397FD4C-D59C-42E8-90BE-47A9A2309AEB}"/>
    <dgm:cxn modelId="{B7910B26-96D1-4483-8CC1-47F9CFD06C85}" srcId="{21E37F84-2117-4224-9EEA-87D984EFE8FB}" destId="{69968DD8-4916-4239-95A0-F15612595867}" srcOrd="0" destOrd="0" parTransId="{EEF91937-9D64-478A-A76A-8AC455680E8A}" sibTransId="{CF1085AF-BE5B-49FD-B5DD-422B93A20879}"/>
    <dgm:cxn modelId="{E61DC63D-F19A-4C1D-A188-83F62AA08EB4}" type="presOf" srcId="{7351F809-34C0-484C-80AB-B4CAC985565B}" destId="{AD68A627-0E63-476C-8CED-F99CD8E72469}" srcOrd="0" destOrd="0" presId="urn:microsoft.com/office/officeart/2005/8/layout/orgChart1"/>
    <dgm:cxn modelId="{7FE5843E-87F3-4F9B-BD2B-79F0BD0C4267}" srcId="{3512A8E3-FD0C-4A6F-88DB-6E2DEA5F7950}" destId="{7351F809-34C0-484C-80AB-B4CAC985565B}" srcOrd="0" destOrd="0" parTransId="{6A5C2FD0-4213-4E35-AD54-28132AE316EA}" sibTransId="{04E90DB9-2F4D-4D88-8B6C-04AE2423AB92}"/>
    <dgm:cxn modelId="{0BE1CE3E-9ABE-4C49-A31C-09C0D423C028}" type="presOf" srcId="{B5121C08-3350-48F2-9831-52728FD18A03}" destId="{6DC69DFB-0756-434B-B2FE-C4714D7B03BF}" srcOrd="1" destOrd="0" presId="urn:microsoft.com/office/officeart/2005/8/layout/orgChart1"/>
    <dgm:cxn modelId="{712BF760-ACE3-4E0E-8B63-058FB794986C}" srcId="{7D599144-4CDF-479C-9D11-F261328B27E4}" destId="{4160E5D1-0F8C-4ACF-AD64-774DF384FC91}" srcOrd="5" destOrd="0" parTransId="{7B6A2A14-C9FD-4B77-A035-45033F47BDCA}" sibTransId="{9C13DCC0-B3F0-4BD2-9CEF-64BA2CF998EE}"/>
    <dgm:cxn modelId="{CB777841-A58E-45DE-93FC-BB52D67C7E75}" type="presOf" srcId="{2CF9E690-6906-45C4-A7A5-33B44044DF68}" destId="{E28164F6-326B-4CCF-83DA-CF01A8A79793}" srcOrd="1" destOrd="0" presId="urn:microsoft.com/office/officeart/2005/8/layout/orgChart1"/>
    <dgm:cxn modelId="{7A170F43-A93D-4FBF-9915-E0E2DD087DCA}" srcId="{7D599144-4CDF-479C-9D11-F261328B27E4}" destId="{3512A8E3-FD0C-4A6F-88DB-6E2DEA5F7950}" srcOrd="1" destOrd="0" parTransId="{1B44CDDA-8EF3-4CD0-9F82-E41BE7686A77}" sibTransId="{D72FC3C8-A6DE-45BF-8344-51DB2722B3D9}"/>
    <dgm:cxn modelId="{BFDEA947-54F7-4F11-B845-C49ABCE575A8}" type="presOf" srcId="{AF8674C3-B556-47F8-9E32-B6D0026E4366}" destId="{2A8D5C82-D57A-4F9C-9CF1-9CB85D3F55F6}" srcOrd="0" destOrd="0" presId="urn:microsoft.com/office/officeart/2005/8/layout/orgChart1"/>
    <dgm:cxn modelId="{80AE1468-3130-4260-BA87-44A244BC6146}" srcId="{04088DFD-5521-854C-AC7F-9C3277932759}" destId="{76EBBB97-6D9D-4892-8443-4E5D7C5E9BB1}" srcOrd="0" destOrd="0" parTransId="{588521EA-BDE3-4330-8740-3079E2581BB0}" sibTransId="{20259C5E-1C22-4C89-940D-64AEA86A1DAD}"/>
    <dgm:cxn modelId="{9D7B6848-A08A-4BF1-9B4C-9F07D5EA708B}" type="presOf" srcId="{B5121C08-3350-48F2-9831-52728FD18A03}" destId="{2920045F-7A60-49C4-8462-F2B56E7CEC26}" srcOrd="0" destOrd="0" presId="urn:microsoft.com/office/officeart/2005/8/layout/orgChart1"/>
    <dgm:cxn modelId="{5CCEFC4A-EAFC-465F-A00A-5CEFF97F7B5C}" type="presOf" srcId="{7D599144-4CDF-479C-9D11-F261328B27E4}" destId="{B1F7323F-48F5-42D2-9492-FF76DE074019}" srcOrd="1" destOrd="0" presId="urn:microsoft.com/office/officeart/2005/8/layout/orgChart1"/>
    <dgm:cxn modelId="{44488A4B-CC65-4DBA-A056-CF1E2562CAB2}" type="presOf" srcId="{AF8C83E1-93EF-48F7-9989-864BABED12CC}" destId="{F1E989CE-2F8B-417D-9641-C4CD924B12D3}" srcOrd="0" destOrd="0" presId="urn:microsoft.com/office/officeart/2005/8/layout/orgChart1"/>
    <dgm:cxn modelId="{EA034D4F-CDB5-4F77-914B-48BD911E8FBA}" type="presOf" srcId="{F1553890-9925-4A56-81E3-8A0FCA7EF039}" destId="{D7EFF3C8-2BD7-4605-A8F1-1FF8C481A09E}" srcOrd="0" destOrd="0" presId="urn:microsoft.com/office/officeart/2005/8/layout/orgChart1"/>
    <dgm:cxn modelId="{F8386350-8CD5-40BD-989E-F1DFC28EADC4}" type="presOf" srcId="{3512A8E3-FD0C-4A6F-88DB-6E2DEA5F7950}" destId="{0FD8D10D-70C6-4DF9-81E0-D3ACB518041F}" srcOrd="0" destOrd="0" presId="urn:microsoft.com/office/officeart/2005/8/layout/orgChart1"/>
    <dgm:cxn modelId="{CB194A50-77A2-4620-BA27-25A769D3D80A}" type="presOf" srcId="{6D81D5FC-EE2B-41BB-A113-E360A1769FDC}" destId="{8A39768F-9D53-4DEB-9422-D3EF74344096}" srcOrd="0" destOrd="0" presId="urn:microsoft.com/office/officeart/2005/8/layout/orgChart1"/>
    <dgm:cxn modelId="{00C55554-9678-449E-A1CD-DC6CD310EED2}" type="presOf" srcId="{3512A8E3-FD0C-4A6F-88DB-6E2DEA5F7950}" destId="{68799F0A-1804-4FAA-AC05-96C75DFFB368}" srcOrd="1" destOrd="0" presId="urn:microsoft.com/office/officeart/2005/8/layout/orgChart1"/>
    <dgm:cxn modelId="{5FE0DC56-CC65-4964-8DA1-4052D23A6D41}" type="presOf" srcId="{3C2F677B-E75A-4598-B471-C91BD9AE8D6B}" destId="{99E06ABC-072E-4D57-8DA1-A6DFC25492B6}" srcOrd="0" destOrd="0" presId="urn:microsoft.com/office/officeart/2005/8/layout/orgChart1"/>
    <dgm:cxn modelId="{268A1679-9C7D-45F7-A705-069D5D7C6ED8}" type="presOf" srcId="{F1553890-9925-4A56-81E3-8A0FCA7EF039}" destId="{90743670-B0C0-47D2-AD95-0424222CFBF5}" srcOrd="1" destOrd="0" presId="urn:microsoft.com/office/officeart/2005/8/layout/orgChart1"/>
    <dgm:cxn modelId="{998A6F83-0842-45D7-B95D-25A9C5B25052}" type="presOf" srcId="{EEF91937-9D64-478A-A76A-8AC455680E8A}" destId="{D6150408-EBA8-481C-A3A3-4D288553D353}" srcOrd="0" destOrd="0" presId="urn:microsoft.com/office/officeart/2005/8/layout/orgChart1"/>
    <dgm:cxn modelId="{C69F5C98-07AB-4651-A75E-9211A516C665}" srcId="{69968DD8-4916-4239-95A0-F15612595867}" destId="{7D599144-4CDF-479C-9D11-F261328B27E4}" srcOrd="0" destOrd="0" parTransId="{AF8674C3-B556-47F8-9E32-B6D0026E4366}" sibTransId="{3A7AF09A-6FD9-445E-B843-87D09E0B09B0}"/>
    <dgm:cxn modelId="{3D59369B-BF04-4C4F-8E2E-69DA67AB693E}" srcId="{76EBBB97-6D9D-4892-8443-4E5D7C5E9BB1}" destId="{21E37F84-2117-4224-9EEA-87D984EFE8FB}" srcOrd="0" destOrd="0" parTransId="{48E85842-BFE9-473E-A55F-4E91531641B5}" sibTransId="{CDA0E861-8072-4B2B-9CD8-5DBAD7463D7E}"/>
    <dgm:cxn modelId="{9B76A89B-CC8C-4ADC-8501-FC3B7F8233D0}" type="presOf" srcId="{1B44CDDA-8EF3-4CD0-9F82-E41BE7686A77}" destId="{CF767022-4D74-4B7E-AB8D-2CD5C7664012}" srcOrd="0" destOrd="0" presId="urn:microsoft.com/office/officeart/2005/8/layout/orgChart1"/>
    <dgm:cxn modelId="{FD67B29F-2434-4F97-8880-574673467F71}" type="presOf" srcId="{76EBBB97-6D9D-4892-8443-4E5D7C5E9BB1}" destId="{3ABDBC14-2A04-499C-9C91-B11114C95FBF}" srcOrd="1" destOrd="0" presId="urn:microsoft.com/office/officeart/2005/8/layout/orgChart1"/>
    <dgm:cxn modelId="{38DE78A0-94D3-4E44-917B-546EC3687D7F}" type="presOf" srcId="{48E85842-BFE9-473E-A55F-4E91531641B5}" destId="{7A4A5AB6-61DB-48E5-BCD4-5CB23EFC306C}" srcOrd="0" destOrd="0" presId="urn:microsoft.com/office/officeart/2005/8/layout/orgChart1"/>
    <dgm:cxn modelId="{D8D17CA9-9043-4B38-B087-FC668CD48713}" type="presOf" srcId="{76EBBB97-6D9D-4892-8443-4E5D7C5E9BB1}" destId="{C44C3A6B-1E80-44CF-8B09-4066187A1419}" srcOrd="0" destOrd="0" presId="urn:microsoft.com/office/officeart/2005/8/layout/orgChart1"/>
    <dgm:cxn modelId="{986C33BD-3064-453C-8686-5C6029803C56}" type="presOf" srcId="{7C521D8C-168E-4D53-9841-CEDC46D0FD25}" destId="{81343013-4BC4-4F6D-884B-33925BE19CBD}" srcOrd="0" destOrd="0" presId="urn:microsoft.com/office/officeart/2005/8/layout/orgChart1"/>
    <dgm:cxn modelId="{1AB2E7C3-1206-402D-B8AC-34E42C416082}" type="presOf" srcId="{387781E0-7021-4994-B403-0ACC4CDF9414}" destId="{514ABB18-D782-40C7-9685-7270013D493A}" srcOrd="0" destOrd="0" presId="urn:microsoft.com/office/officeart/2005/8/layout/orgChart1"/>
    <dgm:cxn modelId="{DD4471C5-F84C-4039-9E8D-73D38AF6DD3A}" srcId="{7D599144-4CDF-479C-9D11-F261328B27E4}" destId="{387781E0-7021-4994-B403-0ACC4CDF9414}" srcOrd="4" destOrd="0" parTransId="{E72231B1-57D7-40D1-B206-ABC25DDF91F6}" sibTransId="{9B979123-750F-42D3-B61F-80CA9AF5917F}"/>
    <dgm:cxn modelId="{264C35D2-27D9-42EE-8DEF-24C5BBDAFA28}" type="presOf" srcId="{7B6A2A14-C9FD-4B77-A035-45033F47BDCA}" destId="{6FED1092-2431-4A02-AE83-43CC9AC44539}" srcOrd="0" destOrd="0" presId="urn:microsoft.com/office/officeart/2005/8/layout/orgChart1"/>
    <dgm:cxn modelId="{010A1AD4-6F4D-41D3-9B9D-B871FC59EE88}" type="presOf" srcId="{04088DFD-5521-854C-AC7F-9C3277932759}" destId="{7E6E7055-494D-A247-9B14-DDC2215F3428}" srcOrd="0" destOrd="0" presId="urn:microsoft.com/office/officeart/2005/8/layout/orgChart1"/>
    <dgm:cxn modelId="{C66727D8-6FDB-4BED-9A8A-174112062FD4}" type="presOf" srcId="{DEE8CBE5-BB09-44C6-858E-7B820228D153}" destId="{7B9DB256-9C7F-410E-B345-EC35B7515E24}" srcOrd="0" destOrd="0" presId="urn:microsoft.com/office/officeart/2005/8/layout/orgChart1"/>
    <dgm:cxn modelId="{3B036CD8-5165-47DC-BF79-911FDC59CCB1}" type="presOf" srcId="{21E37F84-2117-4224-9EEA-87D984EFE8FB}" destId="{54B6983C-9E8B-4D4B-884F-099828A04229}" srcOrd="0" destOrd="0" presId="urn:microsoft.com/office/officeart/2005/8/layout/orgChart1"/>
    <dgm:cxn modelId="{3509F5D8-ECA9-4D26-A708-F56BC4E73879}" type="presOf" srcId="{69968DD8-4916-4239-95A0-F15612595867}" destId="{5197E310-2E11-47AA-83CE-8DF7EBCF1816}" srcOrd="0" destOrd="0" presId="urn:microsoft.com/office/officeart/2005/8/layout/orgChart1"/>
    <dgm:cxn modelId="{482439D9-0CD2-4209-9E40-93389F711E6F}" srcId="{7D599144-4CDF-479C-9D11-F261328B27E4}" destId="{B5121C08-3350-48F2-9831-52728FD18A03}" srcOrd="3" destOrd="0" parTransId="{AF8C83E1-93EF-48F7-9989-864BABED12CC}" sibTransId="{7ADD4F87-CE2D-4509-A1CA-A7DF906BC2E1}"/>
    <dgm:cxn modelId="{432296E0-553E-4FA6-94C7-E6C4D6665375}" type="presOf" srcId="{21E37F84-2117-4224-9EEA-87D984EFE8FB}" destId="{6F68BD20-9E72-4C93-B343-7371817523FC}" srcOrd="1" destOrd="0" presId="urn:microsoft.com/office/officeart/2005/8/layout/orgChart1"/>
    <dgm:cxn modelId="{A12615ED-3288-4870-8F6F-9C4F133FA6EC}" type="presOf" srcId="{7351F809-34C0-484C-80AB-B4CAC985565B}" destId="{201A5F11-2298-4F44-833C-298C6D497661}" srcOrd="1" destOrd="0" presId="urn:microsoft.com/office/officeart/2005/8/layout/orgChart1"/>
    <dgm:cxn modelId="{CA4A5AF3-873B-4E95-B231-F334975B9315}" type="presOf" srcId="{E72231B1-57D7-40D1-B206-ABC25DDF91F6}" destId="{7755E071-68F8-4055-839B-3A32EAA499FB}" srcOrd="0" destOrd="0" presId="urn:microsoft.com/office/officeart/2005/8/layout/orgChart1"/>
    <dgm:cxn modelId="{A3E3DDFB-D594-47DD-A876-C928BC99B6E9}" type="presOf" srcId="{7D599144-4CDF-479C-9D11-F261328B27E4}" destId="{8482A6E5-9B1B-4B8F-B344-06D2ECBFC801}" srcOrd="0" destOrd="0" presId="urn:microsoft.com/office/officeart/2005/8/layout/orgChart1"/>
    <dgm:cxn modelId="{61BA51FC-610E-4F18-985F-4C956482639E}" type="presOf" srcId="{2CF9E690-6906-45C4-A7A5-33B44044DF68}" destId="{B3669BE5-3024-4A43-A4E4-2FBF7CE69358}" srcOrd="0" destOrd="0" presId="urn:microsoft.com/office/officeart/2005/8/layout/orgChart1"/>
    <dgm:cxn modelId="{A8A71DFD-4486-4537-98C1-72CC3B735E20}" srcId="{7D599144-4CDF-479C-9D11-F261328B27E4}" destId="{2CF9E690-6906-45C4-A7A5-33B44044DF68}" srcOrd="2" destOrd="0" parTransId="{6D81D5FC-EE2B-41BB-A113-E360A1769FDC}" sibTransId="{A18F9252-CB9C-429C-A76F-B7BCA5B18D21}"/>
    <dgm:cxn modelId="{F06770FE-3BF0-40F0-B785-CFED2B9441FF}" type="presOf" srcId="{69968DD8-4916-4239-95A0-F15612595867}" destId="{71F4E4F9-C0E0-4190-BCAB-491993792BE6}" srcOrd="1" destOrd="0" presId="urn:microsoft.com/office/officeart/2005/8/layout/orgChart1"/>
    <dgm:cxn modelId="{2BF273FE-0F8E-4C32-8987-752FA8DEA74D}" srcId="{7D599144-4CDF-479C-9D11-F261328B27E4}" destId="{DEE8CBE5-BB09-44C6-858E-7B820228D153}" srcOrd="0" destOrd="0" parTransId="{7C521D8C-168E-4D53-9841-CEDC46D0FD25}" sibTransId="{A315901C-70BD-4142-96C4-E5F34045D461}"/>
    <dgm:cxn modelId="{043BF98E-7FD9-4843-AF1C-9EF4EF6D4921}" type="presParOf" srcId="{7E6E7055-494D-A247-9B14-DDC2215F3428}" destId="{34EAEAE2-48C4-4B97-B49D-78844A721C21}" srcOrd="0" destOrd="0" presId="urn:microsoft.com/office/officeart/2005/8/layout/orgChart1"/>
    <dgm:cxn modelId="{C1F7AA27-EED8-4854-859B-6183EE9AA23D}" type="presParOf" srcId="{34EAEAE2-48C4-4B97-B49D-78844A721C21}" destId="{E21CFD43-8B65-4474-907A-A1656A75ABDA}" srcOrd="0" destOrd="0" presId="urn:microsoft.com/office/officeart/2005/8/layout/orgChart1"/>
    <dgm:cxn modelId="{CD529377-6EFF-4497-87D7-51D4EE9785CE}" type="presParOf" srcId="{E21CFD43-8B65-4474-907A-A1656A75ABDA}" destId="{C44C3A6B-1E80-44CF-8B09-4066187A1419}" srcOrd="0" destOrd="0" presId="urn:microsoft.com/office/officeart/2005/8/layout/orgChart1"/>
    <dgm:cxn modelId="{CA3428A7-1F58-41A1-94B0-AD047C029495}" type="presParOf" srcId="{E21CFD43-8B65-4474-907A-A1656A75ABDA}" destId="{3ABDBC14-2A04-499C-9C91-B11114C95FBF}" srcOrd="1" destOrd="0" presId="urn:microsoft.com/office/officeart/2005/8/layout/orgChart1"/>
    <dgm:cxn modelId="{F77CC2AC-7844-466D-B9A7-EA123571B02C}" type="presParOf" srcId="{34EAEAE2-48C4-4B97-B49D-78844A721C21}" destId="{1D00B270-250F-4437-B42C-4FA1931EB07F}" srcOrd="1" destOrd="0" presId="urn:microsoft.com/office/officeart/2005/8/layout/orgChart1"/>
    <dgm:cxn modelId="{660F1AF0-0B5B-4D33-9F93-0A27A984D018}" type="presParOf" srcId="{1D00B270-250F-4437-B42C-4FA1931EB07F}" destId="{7A4A5AB6-61DB-48E5-BCD4-5CB23EFC306C}" srcOrd="0" destOrd="0" presId="urn:microsoft.com/office/officeart/2005/8/layout/orgChart1"/>
    <dgm:cxn modelId="{E640A286-8E29-45B5-8B9B-C82E52D81F64}" type="presParOf" srcId="{1D00B270-250F-4437-B42C-4FA1931EB07F}" destId="{D7565DA9-C8DB-40BD-B217-0A9D21F8B7B4}" srcOrd="1" destOrd="0" presId="urn:microsoft.com/office/officeart/2005/8/layout/orgChart1"/>
    <dgm:cxn modelId="{C29CAEF7-3214-4520-A166-7F429C21B242}" type="presParOf" srcId="{D7565DA9-C8DB-40BD-B217-0A9D21F8B7B4}" destId="{223B3C5C-CD87-43C3-9403-35F1281818CB}" srcOrd="0" destOrd="0" presId="urn:microsoft.com/office/officeart/2005/8/layout/orgChart1"/>
    <dgm:cxn modelId="{A835C1E7-E4CC-4904-9E42-9C5260B3F7FA}" type="presParOf" srcId="{223B3C5C-CD87-43C3-9403-35F1281818CB}" destId="{54B6983C-9E8B-4D4B-884F-099828A04229}" srcOrd="0" destOrd="0" presId="urn:microsoft.com/office/officeart/2005/8/layout/orgChart1"/>
    <dgm:cxn modelId="{A9EEE0FC-DA42-4CFD-A0FD-A4375B92906C}" type="presParOf" srcId="{223B3C5C-CD87-43C3-9403-35F1281818CB}" destId="{6F68BD20-9E72-4C93-B343-7371817523FC}" srcOrd="1" destOrd="0" presId="urn:microsoft.com/office/officeart/2005/8/layout/orgChart1"/>
    <dgm:cxn modelId="{592929D6-BE06-4A88-B07C-7A6E62C6BCFB}" type="presParOf" srcId="{D7565DA9-C8DB-40BD-B217-0A9D21F8B7B4}" destId="{83D44650-17BA-4D11-A92D-F3054AF9F6F2}" srcOrd="1" destOrd="0" presId="urn:microsoft.com/office/officeart/2005/8/layout/orgChart1"/>
    <dgm:cxn modelId="{10F650F8-E647-4FE3-A182-CFC4CA59ADD7}" type="presParOf" srcId="{83D44650-17BA-4D11-A92D-F3054AF9F6F2}" destId="{D6150408-EBA8-481C-A3A3-4D288553D353}" srcOrd="0" destOrd="0" presId="urn:microsoft.com/office/officeart/2005/8/layout/orgChart1"/>
    <dgm:cxn modelId="{2B034B47-1F4E-41CA-B7D8-FD94779C593D}" type="presParOf" srcId="{83D44650-17BA-4D11-A92D-F3054AF9F6F2}" destId="{3B1E609E-CEA8-4C5F-BBFD-019E107340E8}" srcOrd="1" destOrd="0" presId="urn:microsoft.com/office/officeart/2005/8/layout/orgChart1"/>
    <dgm:cxn modelId="{F4E5766B-34F0-4FDC-8CDF-A3BFC505DEF3}" type="presParOf" srcId="{3B1E609E-CEA8-4C5F-BBFD-019E107340E8}" destId="{2A31D893-DF78-48AF-B0B7-AE2946D2C040}" srcOrd="0" destOrd="0" presId="urn:microsoft.com/office/officeart/2005/8/layout/orgChart1"/>
    <dgm:cxn modelId="{ACA9864D-9D2F-4F50-BC56-08A810D77AC8}" type="presParOf" srcId="{2A31D893-DF78-48AF-B0B7-AE2946D2C040}" destId="{5197E310-2E11-47AA-83CE-8DF7EBCF1816}" srcOrd="0" destOrd="0" presId="urn:microsoft.com/office/officeart/2005/8/layout/orgChart1"/>
    <dgm:cxn modelId="{B8960C50-F8A4-43E1-8AE7-6C500146F139}" type="presParOf" srcId="{2A31D893-DF78-48AF-B0B7-AE2946D2C040}" destId="{71F4E4F9-C0E0-4190-BCAB-491993792BE6}" srcOrd="1" destOrd="0" presId="urn:microsoft.com/office/officeart/2005/8/layout/orgChart1"/>
    <dgm:cxn modelId="{08FE8E65-7F0E-4AD3-9562-08437E269398}" type="presParOf" srcId="{3B1E609E-CEA8-4C5F-BBFD-019E107340E8}" destId="{12CCC6CE-B1AD-4887-8779-70A2A388D024}" srcOrd="1" destOrd="0" presId="urn:microsoft.com/office/officeart/2005/8/layout/orgChart1"/>
    <dgm:cxn modelId="{597E7B61-CD59-4DC8-9EFF-B11A823C78B8}" type="presParOf" srcId="{12CCC6CE-B1AD-4887-8779-70A2A388D024}" destId="{2A8D5C82-D57A-4F9C-9CF1-9CB85D3F55F6}" srcOrd="0" destOrd="0" presId="urn:microsoft.com/office/officeart/2005/8/layout/orgChart1"/>
    <dgm:cxn modelId="{D1E2CA51-A0FA-4EA7-AEF4-2948A7457FD9}" type="presParOf" srcId="{12CCC6CE-B1AD-4887-8779-70A2A388D024}" destId="{B4555D48-DE39-4948-9FB9-2BF7B87381D9}" srcOrd="1" destOrd="0" presId="urn:microsoft.com/office/officeart/2005/8/layout/orgChart1"/>
    <dgm:cxn modelId="{B9FADBA5-39CC-48DB-8314-8F852ACF1AA9}" type="presParOf" srcId="{B4555D48-DE39-4948-9FB9-2BF7B87381D9}" destId="{6C188EC8-40C0-4784-80D6-96BD42184386}" srcOrd="0" destOrd="0" presId="urn:microsoft.com/office/officeart/2005/8/layout/orgChart1"/>
    <dgm:cxn modelId="{E58C6D76-3861-4ED3-9E6B-EB137121DD59}" type="presParOf" srcId="{6C188EC8-40C0-4784-80D6-96BD42184386}" destId="{8482A6E5-9B1B-4B8F-B344-06D2ECBFC801}" srcOrd="0" destOrd="0" presId="urn:microsoft.com/office/officeart/2005/8/layout/orgChart1"/>
    <dgm:cxn modelId="{995127DB-F80D-4FD5-9D5A-28064703302E}" type="presParOf" srcId="{6C188EC8-40C0-4784-80D6-96BD42184386}" destId="{B1F7323F-48F5-42D2-9492-FF76DE074019}" srcOrd="1" destOrd="0" presId="urn:microsoft.com/office/officeart/2005/8/layout/orgChart1"/>
    <dgm:cxn modelId="{B5D57230-82EF-48CD-9420-0C3F72B29ABE}" type="presParOf" srcId="{B4555D48-DE39-4948-9FB9-2BF7B87381D9}" destId="{9A65152E-53DB-4967-9E33-31DEF3E8EA5E}" srcOrd="1" destOrd="0" presId="urn:microsoft.com/office/officeart/2005/8/layout/orgChart1"/>
    <dgm:cxn modelId="{05F1064B-2570-4E6B-9D49-9F5B6B661A17}" type="presParOf" srcId="{9A65152E-53DB-4967-9E33-31DEF3E8EA5E}" destId="{81343013-4BC4-4F6D-884B-33925BE19CBD}" srcOrd="0" destOrd="0" presId="urn:microsoft.com/office/officeart/2005/8/layout/orgChart1"/>
    <dgm:cxn modelId="{4EC83483-7528-44B0-AD75-B8F68FE32AD9}" type="presParOf" srcId="{9A65152E-53DB-4967-9E33-31DEF3E8EA5E}" destId="{89C472A6-66B1-452E-9988-5D057862A335}" srcOrd="1" destOrd="0" presId="urn:microsoft.com/office/officeart/2005/8/layout/orgChart1"/>
    <dgm:cxn modelId="{7CDED599-CC50-48A3-95AC-88B526C6760A}" type="presParOf" srcId="{89C472A6-66B1-452E-9988-5D057862A335}" destId="{5FDF9386-05E6-4D91-AFBF-44CF0C48F12D}" srcOrd="0" destOrd="0" presId="urn:microsoft.com/office/officeart/2005/8/layout/orgChart1"/>
    <dgm:cxn modelId="{682FDBFD-1D99-4625-A554-F6E6369A974B}" type="presParOf" srcId="{5FDF9386-05E6-4D91-AFBF-44CF0C48F12D}" destId="{7B9DB256-9C7F-410E-B345-EC35B7515E24}" srcOrd="0" destOrd="0" presId="urn:microsoft.com/office/officeart/2005/8/layout/orgChart1"/>
    <dgm:cxn modelId="{AA549F80-C47F-4054-A21C-FA80B128CC97}" type="presParOf" srcId="{5FDF9386-05E6-4D91-AFBF-44CF0C48F12D}" destId="{2B5A3B15-7DE4-4A6B-9972-63969EAC2036}" srcOrd="1" destOrd="0" presId="urn:microsoft.com/office/officeart/2005/8/layout/orgChart1"/>
    <dgm:cxn modelId="{9D6D327C-0CAE-4EC7-B5FD-A3286A82081F}" type="presParOf" srcId="{89C472A6-66B1-452E-9988-5D057862A335}" destId="{980B7A9E-C46F-461D-83D2-BD7F2DC23B97}" srcOrd="1" destOrd="0" presId="urn:microsoft.com/office/officeart/2005/8/layout/orgChart1"/>
    <dgm:cxn modelId="{55C1AACD-5C0D-4557-8B4D-6BF70E35DE1E}" type="presParOf" srcId="{89C472A6-66B1-452E-9988-5D057862A335}" destId="{77E8A49F-91DE-474B-9B52-838BA989196B}" srcOrd="2" destOrd="0" presId="urn:microsoft.com/office/officeart/2005/8/layout/orgChart1"/>
    <dgm:cxn modelId="{68B879D1-C34D-4C11-B3E1-983387AC7A9B}" type="presParOf" srcId="{9A65152E-53DB-4967-9E33-31DEF3E8EA5E}" destId="{CF767022-4D74-4B7E-AB8D-2CD5C7664012}" srcOrd="2" destOrd="0" presId="urn:microsoft.com/office/officeart/2005/8/layout/orgChart1"/>
    <dgm:cxn modelId="{75873E1D-7D13-454A-83EE-3DD8E5A2715D}" type="presParOf" srcId="{9A65152E-53DB-4967-9E33-31DEF3E8EA5E}" destId="{0F32D2B8-9533-4D89-9476-846B430438B6}" srcOrd="3" destOrd="0" presId="urn:microsoft.com/office/officeart/2005/8/layout/orgChart1"/>
    <dgm:cxn modelId="{BEF9651F-3456-4887-84AB-4BA4627E0004}" type="presParOf" srcId="{0F32D2B8-9533-4D89-9476-846B430438B6}" destId="{7266ED83-E2CF-47C7-BF3E-78F6BAD22E08}" srcOrd="0" destOrd="0" presId="urn:microsoft.com/office/officeart/2005/8/layout/orgChart1"/>
    <dgm:cxn modelId="{2938CFA3-D21C-411C-B9D4-D35C78134521}" type="presParOf" srcId="{7266ED83-E2CF-47C7-BF3E-78F6BAD22E08}" destId="{0FD8D10D-70C6-4DF9-81E0-D3ACB518041F}" srcOrd="0" destOrd="0" presId="urn:microsoft.com/office/officeart/2005/8/layout/orgChart1"/>
    <dgm:cxn modelId="{707A3A39-B7CE-4FF5-B60D-E82BA6328E49}" type="presParOf" srcId="{7266ED83-E2CF-47C7-BF3E-78F6BAD22E08}" destId="{68799F0A-1804-4FAA-AC05-96C75DFFB368}" srcOrd="1" destOrd="0" presId="urn:microsoft.com/office/officeart/2005/8/layout/orgChart1"/>
    <dgm:cxn modelId="{707B6ED5-BE2D-4A4B-94EA-CAC89E6A4B87}" type="presParOf" srcId="{0F32D2B8-9533-4D89-9476-846B430438B6}" destId="{E7AB39DE-B808-438D-980D-A58DA59B138D}" srcOrd="1" destOrd="0" presId="urn:microsoft.com/office/officeart/2005/8/layout/orgChart1"/>
    <dgm:cxn modelId="{D226941C-126E-43AF-B95B-C9F0C352D6C7}" type="presParOf" srcId="{E7AB39DE-B808-438D-980D-A58DA59B138D}" destId="{38E48BDE-E368-42AE-84D0-3F4E97B917EC}" srcOrd="0" destOrd="0" presId="urn:microsoft.com/office/officeart/2005/8/layout/orgChart1"/>
    <dgm:cxn modelId="{C3F47211-A7C1-4EA8-9385-144AB8C1B2F4}" type="presParOf" srcId="{E7AB39DE-B808-438D-980D-A58DA59B138D}" destId="{0B85D596-A51A-4191-90AB-520FCE0E69DA}" srcOrd="1" destOrd="0" presId="urn:microsoft.com/office/officeart/2005/8/layout/orgChart1"/>
    <dgm:cxn modelId="{946875EC-93D2-4E50-99DB-76D5989F7097}" type="presParOf" srcId="{0B85D596-A51A-4191-90AB-520FCE0E69DA}" destId="{23372E0D-E65C-45AA-BED1-650EA62C9645}" srcOrd="0" destOrd="0" presId="urn:microsoft.com/office/officeart/2005/8/layout/orgChart1"/>
    <dgm:cxn modelId="{20F49601-1EA9-44A9-9F5E-1D909A368CCF}" type="presParOf" srcId="{23372E0D-E65C-45AA-BED1-650EA62C9645}" destId="{AD68A627-0E63-476C-8CED-F99CD8E72469}" srcOrd="0" destOrd="0" presId="urn:microsoft.com/office/officeart/2005/8/layout/orgChart1"/>
    <dgm:cxn modelId="{7E8B75B5-99EE-41C9-9F06-B100D3B6404A}" type="presParOf" srcId="{23372E0D-E65C-45AA-BED1-650EA62C9645}" destId="{201A5F11-2298-4F44-833C-298C6D497661}" srcOrd="1" destOrd="0" presId="urn:microsoft.com/office/officeart/2005/8/layout/orgChart1"/>
    <dgm:cxn modelId="{C09CD788-51BB-4D4B-87CD-81725B1B5104}" type="presParOf" srcId="{0B85D596-A51A-4191-90AB-520FCE0E69DA}" destId="{37BE98A2-259D-41CE-AE2F-0A7FD26AFC9F}" srcOrd="1" destOrd="0" presId="urn:microsoft.com/office/officeart/2005/8/layout/orgChart1"/>
    <dgm:cxn modelId="{770336B5-0BCD-4E38-B166-9987D19ED64E}" type="presParOf" srcId="{0B85D596-A51A-4191-90AB-520FCE0E69DA}" destId="{1B3F892A-D132-4A8C-875A-6C6DBC63A271}" srcOrd="2" destOrd="0" presId="urn:microsoft.com/office/officeart/2005/8/layout/orgChart1"/>
    <dgm:cxn modelId="{727DA496-6B25-48DF-BCBC-DE75A4DE2B76}" type="presParOf" srcId="{E7AB39DE-B808-438D-980D-A58DA59B138D}" destId="{99E06ABC-072E-4D57-8DA1-A6DFC25492B6}" srcOrd="2" destOrd="0" presId="urn:microsoft.com/office/officeart/2005/8/layout/orgChart1"/>
    <dgm:cxn modelId="{D650F591-75D6-47DD-A36C-2E4CFD243269}" type="presParOf" srcId="{E7AB39DE-B808-438D-980D-A58DA59B138D}" destId="{C74A783C-6F5D-4F7E-AFA0-D91E255EEC00}" srcOrd="3" destOrd="0" presId="urn:microsoft.com/office/officeart/2005/8/layout/orgChart1"/>
    <dgm:cxn modelId="{DFAA6D44-4AE5-49BF-B074-11D6C01A11B6}" type="presParOf" srcId="{C74A783C-6F5D-4F7E-AFA0-D91E255EEC00}" destId="{C013B9B8-7379-47BD-A5B7-8806A3D5613B}" srcOrd="0" destOrd="0" presId="urn:microsoft.com/office/officeart/2005/8/layout/orgChart1"/>
    <dgm:cxn modelId="{12DA954C-E82B-4603-BAF7-1F144D61EF0E}" type="presParOf" srcId="{C013B9B8-7379-47BD-A5B7-8806A3D5613B}" destId="{D7EFF3C8-2BD7-4605-A8F1-1FF8C481A09E}" srcOrd="0" destOrd="0" presId="urn:microsoft.com/office/officeart/2005/8/layout/orgChart1"/>
    <dgm:cxn modelId="{98F200DF-49B6-4BC1-8F94-D4C828D59BE6}" type="presParOf" srcId="{C013B9B8-7379-47BD-A5B7-8806A3D5613B}" destId="{90743670-B0C0-47D2-AD95-0424222CFBF5}" srcOrd="1" destOrd="0" presId="urn:microsoft.com/office/officeart/2005/8/layout/orgChart1"/>
    <dgm:cxn modelId="{7CC040DA-A640-4801-9D04-BFEFD1FC8C87}" type="presParOf" srcId="{C74A783C-6F5D-4F7E-AFA0-D91E255EEC00}" destId="{1E3AF5D9-BA28-4AB0-AB8C-7A9B682B3176}" srcOrd="1" destOrd="0" presId="urn:microsoft.com/office/officeart/2005/8/layout/orgChart1"/>
    <dgm:cxn modelId="{61313B88-CF41-4784-8EA8-076B164F8767}" type="presParOf" srcId="{C74A783C-6F5D-4F7E-AFA0-D91E255EEC00}" destId="{C53DBF98-5F2E-4CD0-821D-0571B0DE818C}" srcOrd="2" destOrd="0" presId="urn:microsoft.com/office/officeart/2005/8/layout/orgChart1"/>
    <dgm:cxn modelId="{C8F959A8-7591-4A19-9999-EFEF551C905C}" type="presParOf" srcId="{0F32D2B8-9533-4D89-9476-846B430438B6}" destId="{559C123E-0D79-44AB-B0D6-BD359546271D}" srcOrd="2" destOrd="0" presId="urn:microsoft.com/office/officeart/2005/8/layout/orgChart1"/>
    <dgm:cxn modelId="{3E481AD3-C84F-4DCF-9675-5BDABDA23956}" type="presParOf" srcId="{9A65152E-53DB-4967-9E33-31DEF3E8EA5E}" destId="{8A39768F-9D53-4DEB-9422-D3EF74344096}" srcOrd="4" destOrd="0" presId="urn:microsoft.com/office/officeart/2005/8/layout/orgChart1"/>
    <dgm:cxn modelId="{3E5C732D-0517-4EE2-8329-4E9903A1C345}" type="presParOf" srcId="{9A65152E-53DB-4967-9E33-31DEF3E8EA5E}" destId="{44A3664C-DE49-4C39-91C5-5E2CFE022F32}" srcOrd="5" destOrd="0" presId="urn:microsoft.com/office/officeart/2005/8/layout/orgChart1"/>
    <dgm:cxn modelId="{0125220F-8E9E-4B72-A107-FF9487097E66}" type="presParOf" srcId="{44A3664C-DE49-4C39-91C5-5E2CFE022F32}" destId="{EE8D70A2-13FD-4FD2-A220-950F24454461}" srcOrd="0" destOrd="0" presId="urn:microsoft.com/office/officeart/2005/8/layout/orgChart1"/>
    <dgm:cxn modelId="{9D14C666-855D-427E-B57F-941C1F5E586B}" type="presParOf" srcId="{EE8D70A2-13FD-4FD2-A220-950F24454461}" destId="{B3669BE5-3024-4A43-A4E4-2FBF7CE69358}" srcOrd="0" destOrd="0" presId="urn:microsoft.com/office/officeart/2005/8/layout/orgChart1"/>
    <dgm:cxn modelId="{BBFFC9C5-2149-41B6-92EA-A66B1E668F36}" type="presParOf" srcId="{EE8D70A2-13FD-4FD2-A220-950F24454461}" destId="{E28164F6-326B-4CCF-83DA-CF01A8A79793}" srcOrd="1" destOrd="0" presId="urn:microsoft.com/office/officeart/2005/8/layout/orgChart1"/>
    <dgm:cxn modelId="{F879BBE9-FC95-4301-92DC-567E5116C5E6}" type="presParOf" srcId="{44A3664C-DE49-4C39-91C5-5E2CFE022F32}" destId="{4D7C56E1-2ADD-49F2-AA62-30D445058828}" srcOrd="1" destOrd="0" presId="urn:microsoft.com/office/officeart/2005/8/layout/orgChart1"/>
    <dgm:cxn modelId="{7652E583-535F-49D8-A62F-16F5057A35A9}" type="presParOf" srcId="{44A3664C-DE49-4C39-91C5-5E2CFE022F32}" destId="{8DD3B145-852C-4B8B-92D8-B766B885A430}" srcOrd="2" destOrd="0" presId="urn:microsoft.com/office/officeart/2005/8/layout/orgChart1"/>
    <dgm:cxn modelId="{9A47D574-9111-4ADB-8131-86D24D2A71AB}" type="presParOf" srcId="{9A65152E-53DB-4967-9E33-31DEF3E8EA5E}" destId="{F1E989CE-2F8B-417D-9641-C4CD924B12D3}" srcOrd="6" destOrd="0" presId="urn:microsoft.com/office/officeart/2005/8/layout/orgChart1"/>
    <dgm:cxn modelId="{A1CFE170-EEBC-4992-BE81-E74D4662DA88}" type="presParOf" srcId="{9A65152E-53DB-4967-9E33-31DEF3E8EA5E}" destId="{DACB7B5F-4E7B-4CFC-BDEC-8BE0E719E0CD}" srcOrd="7" destOrd="0" presId="urn:microsoft.com/office/officeart/2005/8/layout/orgChart1"/>
    <dgm:cxn modelId="{DD945933-00F3-44AF-B6A2-8119D536D312}" type="presParOf" srcId="{DACB7B5F-4E7B-4CFC-BDEC-8BE0E719E0CD}" destId="{1933924F-39C4-415E-B78F-54C5C82043B6}" srcOrd="0" destOrd="0" presId="urn:microsoft.com/office/officeart/2005/8/layout/orgChart1"/>
    <dgm:cxn modelId="{E39A6CD5-AF97-4879-B8A7-4780D6736990}" type="presParOf" srcId="{1933924F-39C4-415E-B78F-54C5C82043B6}" destId="{2920045F-7A60-49C4-8462-F2B56E7CEC26}" srcOrd="0" destOrd="0" presId="urn:microsoft.com/office/officeart/2005/8/layout/orgChart1"/>
    <dgm:cxn modelId="{0C1D5FAD-0C2B-45DC-AFDD-30636D8BA279}" type="presParOf" srcId="{1933924F-39C4-415E-B78F-54C5C82043B6}" destId="{6DC69DFB-0756-434B-B2FE-C4714D7B03BF}" srcOrd="1" destOrd="0" presId="urn:microsoft.com/office/officeart/2005/8/layout/orgChart1"/>
    <dgm:cxn modelId="{AE6A3CA4-A3A9-49B4-810B-77699F969334}" type="presParOf" srcId="{DACB7B5F-4E7B-4CFC-BDEC-8BE0E719E0CD}" destId="{50B01540-F5B4-4712-B528-2B0108C7C91F}" srcOrd="1" destOrd="0" presId="urn:microsoft.com/office/officeart/2005/8/layout/orgChart1"/>
    <dgm:cxn modelId="{D0227F9D-4D57-4010-AD61-0E284512E2EB}" type="presParOf" srcId="{DACB7B5F-4E7B-4CFC-BDEC-8BE0E719E0CD}" destId="{F7BFBE04-54D8-4477-9635-A1A9A53A219C}" srcOrd="2" destOrd="0" presId="urn:microsoft.com/office/officeart/2005/8/layout/orgChart1"/>
    <dgm:cxn modelId="{C04BD95B-FACE-4B0C-AD15-C35DC1ADA3FD}" type="presParOf" srcId="{9A65152E-53DB-4967-9E33-31DEF3E8EA5E}" destId="{7755E071-68F8-4055-839B-3A32EAA499FB}" srcOrd="8" destOrd="0" presId="urn:microsoft.com/office/officeart/2005/8/layout/orgChart1"/>
    <dgm:cxn modelId="{9EFEC0D7-B310-420F-96E0-631B9A0DAFF7}" type="presParOf" srcId="{9A65152E-53DB-4967-9E33-31DEF3E8EA5E}" destId="{15EB9B6D-02BF-44D4-BFFB-05528BF96EBA}" srcOrd="9" destOrd="0" presId="urn:microsoft.com/office/officeart/2005/8/layout/orgChart1"/>
    <dgm:cxn modelId="{34329331-49B7-4F09-B48B-804C72DEC4EB}" type="presParOf" srcId="{15EB9B6D-02BF-44D4-BFFB-05528BF96EBA}" destId="{AFD359E3-F21F-49DA-875F-A3A87165B140}" srcOrd="0" destOrd="0" presId="urn:microsoft.com/office/officeart/2005/8/layout/orgChart1"/>
    <dgm:cxn modelId="{11843539-5672-4BB7-8449-DD35CF880050}" type="presParOf" srcId="{AFD359E3-F21F-49DA-875F-A3A87165B140}" destId="{514ABB18-D782-40C7-9685-7270013D493A}" srcOrd="0" destOrd="0" presId="urn:microsoft.com/office/officeart/2005/8/layout/orgChart1"/>
    <dgm:cxn modelId="{30BA8BB0-E1B1-4610-BA80-7EEFD8F60527}" type="presParOf" srcId="{AFD359E3-F21F-49DA-875F-A3A87165B140}" destId="{02C32FD4-F38C-465F-8BF5-4BBB3D291857}" srcOrd="1" destOrd="0" presId="urn:microsoft.com/office/officeart/2005/8/layout/orgChart1"/>
    <dgm:cxn modelId="{6621F63D-325B-4C50-B7A7-6C1ABB9C6F03}" type="presParOf" srcId="{15EB9B6D-02BF-44D4-BFFB-05528BF96EBA}" destId="{7E88E417-05D6-446F-B508-D71DB2D7A1B5}" srcOrd="1" destOrd="0" presId="urn:microsoft.com/office/officeart/2005/8/layout/orgChart1"/>
    <dgm:cxn modelId="{020D720F-BDF4-4994-AE9E-54B0EB593A57}" type="presParOf" srcId="{15EB9B6D-02BF-44D4-BFFB-05528BF96EBA}" destId="{CC2C91C0-628E-48CD-B734-03ED037736FF}" srcOrd="2" destOrd="0" presId="urn:microsoft.com/office/officeart/2005/8/layout/orgChart1"/>
    <dgm:cxn modelId="{B7A18AD6-C29D-4B74-BB06-A65394B55FE6}" type="presParOf" srcId="{9A65152E-53DB-4967-9E33-31DEF3E8EA5E}" destId="{6FED1092-2431-4A02-AE83-43CC9AC44539}" srcOrd="10" destOrd="0" presId="urn:microsoft.com/office/officeart/2005/8/layout/orgChart1"/>
    <dgm:cxn modelId="{CA5AA5D1-AD82-4C98-92CF-1FED0BB39250}" type="presParOf" srcId="{9A65152E-53DB-4967-9E33-31DEF3E8EA5E}" destId="{973D47C3-42EB-4D47-8059-4E6B81C4D5B2}" srcOrd="11" destOrd="0" presId="urn:microsoft.com/office/officeart/2005/8/layout/orgChart1"/>
    <dgm:cxn modelId="{303FA0CD-7610-41A8-BEBF-E27A0A43199D}" type="presParOf" srcId="{973D47C3-42EB-4D47-8059-4E6B81C4D5B2}" destId="{E40AC4E5-BC51-418B-AE75-7AD882323337}" srcOrd="0" destOrd="0" presId="urn:microsoft.com/office/officeart/2005/8/layout/orgChart1"/>
    <dgm:cxn modelId="{16A2802C-1FAA-4C05-AEE0-21A5EBF24023}" type="presParOf" srcId="{E40AC4E5-BC51-418B-AE75-7AD882323337}" destId="{EA91F464-7E8E-4AAA-BFCE-93E7C96B6C65}" srcOrd="0" destOrd="0" presId="urn:microsoft.com/office/officeart/2005/8/layout/orgChart1"/>
    <dgm:cxn modelId="{48D3EC10-8445-4093-8C87-C6FC5290EAB9}" type="presParOf" srcId="{E40AC4E5-BC51-418B-AE75-7AD882323337}" destId="{7B85A15F-3CDD-4FB3-BD3F-8056EFE513EC}" srcOrd="1" destOrd="0" presId="urn:microsoft.com/office/officeart/2005/8/layout/orgChart1"/>
    <dgm:cxn modelId="{9FD23B93-5F5B-46AD-AF32-CF77A5C52532}" type="presParOf" srcId="{973D47C3-42EB-4D47-8059-4E6B81C4D5B2}" destId="{C5D9A628-4DDB-4C34-9A83-141E684E8371}" srcOrd="1" destOrd="0" presId="urn:microsoft.com/office/officeart/2005/8/layout/orgChart1"/>
    <dgm:cxn modelId="{E5470169-5A48-4DFE-8AD6-093662670B3F}" type="presParOf" srcId="{973D47C3-42EB-4D47-8059-4E6B81C4D5B2}" destId="{80549A36-4FA6-4F7A-93F2-CA28CE4DAA32}" srcOrd="2" destOrd="0" presId="urn:microsoft.com/office/officeart/2005/8/layout/orgChart1"/>
    <dgm:cxn modelId="{8B76897C-7759-4C9A-B9BC-666698ED30BE}" type="presParOf" srcId="{B4555D48-DE39-4948-9FB9-2BF7B87381D9}" destId="{E869088F-AEEF-40CF-8696-7739C419C3D3}" srcOrd="2" destOrd="0" presId="urn:microsoft.com/office/officeart/2005/8/layout/orgChart1"/>
    <dgm:cxn modelId="{566281DB-27EA-46DB-82CA-701C5C84C70C}" type="presParOf" srcId="{3B1E609E-CEA8-4C5F-BBFD-019E107340E8}" destId="{420585A8-4C65-4AEA-BCE3-67E0E74FE7D9}" srcOrd="2" destOrd="0" presId="urn:microsoft.com/office/officeart/2005/8/layout/orgChart1"/>
    <dgm:cxn modelId="{F327398A-F5DB-4A6C-B95A-4766711D5918}" type="presParOf" srcId="{D7565DA9-C8DB-40BD-B217-0A9D21F8B7B4}" destId="{6FA3E7E4-F7E0-42E5-899C-2B0BC3437F1A}" srcOrd="2" destOrd="0" presId="urn:microsoft.com/office/officeart/2005/8/layout/orgChart1"/>
    <dgm:cxn modelId="{64DDEFB7-F6D1-4211-98C7-247A601FDC22}" type="presParOf" srcId="{34EAEAE2-48C4-4B97-B49D-78844A721C21}" destId="{3EA8B90F-D55F-4247-A8A7-832903E0F750}" srcOrd="2" destOrd="0" presId="urn:microsoft.com/office/officeart/2005/8/layout/orgChart1"/>
  </dgm:cxnLst>
  <dgm:bg/>
  <dgm:whole/>
  <dgm:extLst>
    <a:ext uri="http://schemas.microsoft.com/office/drawing/2008/diagram">
      <dsp:dataModelExt xmlns:dsp="http://schemas.microsoft.com/office/drawing/2008/diagram" relId="rId28"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FED1092-2431-4A02-AE83-43CC9AC44539}">
      <dsp:nvSpPr>
        <dsp:cNvPr id="0" name=""/>
        <dsp:cNvSpPr/>
      </dsp:nvSpPr>
      <dsp:spPr>
        <a:xfrm>
          <a:off x="707177" y="2170489"/>
          <a:ext cx="2494810" cy="173193"/>
        </a:xfrm>
        <a:custGeom>
          <a:avLst/>
          <a:gdLst/>
          <a:ahLst/>
          <a:cxnLst/>
          <a:rect l="0" t="0" r="0" b="0"/>
          <a:pathLst>
            <a:path>
              <a:moveTo>
                <a:pt x="2494810" y="0"/>
              </a:moveTo>
              <a:lnTo>
                <a:pt x="2494810" y="86596"/>
              </a:lnTo>
              <a:lnTo>
                <a:pt x="0" y="86596"/>
              </a:lnTo>
              <a:lnTo>
                <a:pt x="0" y="17319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755E071-68F8-4055-839B-3A32EAA499FB}">
      <dsp:nvSpPr>
        <dsp:cNvPr id="0" name=""/>
        <dsp:cNvSpPr/>
      </dsp:nvSpPr>
      <dsp:spPr>
        <a:xfrm>
          <a:off x="1705101" y="2170489"/>
          <a:ext cx="1496886" cy="173193"/>
        </a:xfrm>
        <a:custGeom>
          <a:avLst/>
          <a:gdLst/>
          <a:ahLst/>
          <a:cxnLst/>
          <a:rect l="0" t="0" r="0" b="0"/>
          <a:pathLst>
            <a:path>
              <a:moveTo>
                <a:pt x="1496886" y="0"/>
              </a:moveTo>
              <a:lnTo>
                <a:pt x="1496886" y="86596"/>
              </a:lnTo>
              <a:lnTo>
                <a:pt x="0" y="86596"/>
              </a:lnTo>
              <a:lnTo>
                <a:pt x="0" y="17319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1E989CE-2F8B-417D-9641-C4CD924B12D3}">
      <dsp:nvSpPr>
        <dsp:cNvPr id="0" name=""/>
        <dsp:cNvSpPr/>
      </dsp:nvSpPr>
      <dsp:spPr>
        <a:xfrm>
          <a:off x="2703025" y="2170489"/>
          <a:ext cx="498962" cy="173193"/>
        </a:xfrm>
        <a:custGeom>
          <a:avLst/>
          <a:gdLst/>
          <a:ahLst/>
          <a:cxnLst/>
          <a:rect l="0" t="0" r="0" b="0"/>
          <a:pathLst>
            <a:path>
              <a:moveTo>
                <a:pt x="498962" y="0"/>
              </a:moveTo>
              <a:lnTo>
                <a:pt x="498962" y="86596"/>
              </a:lnTo>
              <a:lnTo>
                <a:pt x="0" y="86596"/>
              </a:lnTo>
              <a:lnTo>
                <a:pt x="0" y="17319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A39768F-9D53-4DEB-9422-D3EF74344096}">
      <dsp:nvSpPr>
        <dsp:cNvPr id="0" name=""/>
        <dsp:cNvSpPr/>
      </dsp:nvSpPr>
      <dsp:spPr>
        <a:xfrm>
          <a:off x="3201987" y="2170489"/>
          <a:ext cx="498962" cy="173193"/>
        </a:xfrm>
        <a:custGeom>
          <a:avLst/>
          <a:gdLst/>
          <a:ahLst/>
          <a:cxnLst/>
          <a:rect l="0" t="0" r="0" b="0"/>
          <a:pathLst>
            <a:path>
              <a:moveTo>
                <a:pt x="0" y="0"/>
              </a:moveTo>
              <a:lnTo>
                <a:pt x="0" y="86596"/>
              </a:lnTo>
              <a:lnTo>
                <a:pt x="498962" y="86596"/>
              </a:lnTo>
              <a:lnTo>
                <a:pt x="498962" y="17319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9E06ABC-072E-4D57-8DA1-A6DFC25492B6}">
      <dsp:nvSpPr>
        <dsp:cNvPr id="0" name=""/>
        <dsp:cNvSpPr/>
      </dsp:nvSpPr>
      <dsp:spPr>
        <a:xfrm>
          <a:off x="4199911" y="2756047"/>
          <a:ext cx="498962" cy="173193"/>
        </a:xfrm>
        <a:custGeom>
          <a:avLst/>
          <a:gdLst/>
          <a:ahLst/>
          <a:cxnLst/>
          <a:rect l="0" t="0" r="0" b="0"/>
          <a:pathLst>
            <a:path>
              <a:moveTo>
                <a:pt x="498962" y="0"/>
              </a:moveTo>
              <a:lnTo>
                <a:pt x="498962" y="86596"/>
              </a:lnTo>
              <a:lnTo>
                <a:pt x="0" y="86596"/>
              </a:lnTo>
              <a:lnTo>
                <a:pt x="0" y="173193"/>
              </a:lnTo>
            </a:path>
          </a:pathLst>
        </a:custGeom>
        <a:noFill/>
        <a:ln w="25400" cap="flat" cmpd="sng" algn="ctr">
          <a:solidFill>
            <a:srgbClr val="1CADE4"/>
          </a:solidFill>
          <a:prstDash val="solid"/>
        </a:ln>
        <a:effectLst/>
      </dsp:spPr>
      <dsp:style>
        <a:lnRef idx="2">
          <a:scrgbClr r="0" g="0" b="0"/>
        </a:lnRef>
        <a:fillRef idx="0">
          <a:scrgbClr r="0" g="0" b="0"/>
        </a:fillRef>
        <a:effectRef idx="0">
          <a:scrgbClr r="0" g="0" b="0"/>
        </a:effectRef>
        <a:fontRef idx="minor"/>
      </dsp:style>
    </dsp:sp>
    <dsp:sp modelId="{38E48BDE-E368-42AE-84D0-3F4E97B917EC}">
      <dsp:nvSpPr>
        <dsp:cNvPr id="0" name=""/>
        <dsp:cNvSpPr/>
      </dsp:nvSpPr>
      <dsp:spPr>
        <a:xfrm>
          <a:off x="4698873" y="2756047"/>
          <a:ext cx="498962" cy="173193"/>
        </a:xfrm>
        <a:custGeom>
          <a:avLst/>
          <a:gdLst/>
          <a:ahLst/>
          <a:cxnLst/>
          <a:rect l="0" t="0" r="0" b="0"/>
          <a:pathLst>
            <a:path>
              <a:moveTo>
                <a:pt x="0" y="0"/>
              </a:moveTo>
              <a:lnTo>
                <a:pt x="0" y="86596"/>
              </a:lnTo>
              <a:lnTo>
                <a:pt x="498962" y="86596"/>
              </a:lnTo>
              <a:lnTo>
                <a:pt x="498962" y="173193"/>
              </a:lnTo>
            </a:path>
          </a:pathLst>
        </a:custGeom>
        <a:noFill/>
        <a:ln w="25400" cap="flat" cmpd="sng" algn="ctr">
          <a:solidFill>
            <a:srgbClr val="1CADE4"/>
          </a:solidFill>
          <a:prstDash val="solid"/>
        </a:ln>
        <a:effectLst/>
      </dsp:spPr>
      <dsp:style>
        <a:lnRef idx="2">
          <a:scrgbClr r="0" g="0" b="0"/>
        </a:lnRef>
        <a:fillRef idx="0">
          <a:scrgbClr r="0" g="0" b="0"/>
        </a:fillRef>
        <a:effectRef idx="0">
          <a:scrgbClr r="0" g="0" b="0"/>
        </a:effectRef>
        <a:fontRef idx="minor"/>
      </dsp:style>
    </dsp:sp>
    <dsp:sp modelId="{CF767022-4D74-4B7E-AB8D-2CD5C7664012}">
      <dsp:nvSpPr>
        <dsp:cNvPr id="0" name=""/>
        <dsp:cNvSpPr/>
      </dsp:nvSpPr>
      <dsp:spPr>
        <a:xfrm>
          <a:off x="3201987" y="2170489"/>
          <a:ext cx="1496886" cy="173193"/>
        </a:xfrm>
        <a:custGeom>
          <a:avLst/>
          <a:gdLst/>
          <a:ahLst/>
          <a:cxnLst/>
          <a:rect l="0" t="0" r="0" b="0"/>
          <a:pathLst>
            <a:path>
              <a:moveTo>
                <a:pt x="0" y="0"/>
              </a:moveTo>
              <a:lnTo>
                <a:pt x="0" y="86596"/>
              </a:lnTo>
              <a:lnTo>
                <a:pt x="1496886" y="86596"/>
              </a:lnTo>
              <a:lnTo>
                <a:pt x="1496886" y="173193"/>
              </a:lnTo>
            </a:path>
          </a:pathLst>
        </a:custGeom>
        <a:noFill/>
        <a:ln w="25400" cap="flat" cmpd="sng" algn="ctr">
          <a:solidFill>
            <a:srgbClr val="1CADE4"/>
          </a:solidFill>
          <a:prstDash val="solid"/>
        </a:ln>
        <a:effectLst/>
      </dsp:spPr>
      <dsp:style>
        <a:lnRef idx="2">
          <a:scrgbClr r="0" g="0" b="0"/>
        </a:lnRef>
        <a:fillRef idx="0">
          <a:scrgbClr r="0" g="0" b="0"/>
        </a:fillRef>
        <a:effectRef idx="0">
          <a:scrgbClr r="0" g="0" b="0"/>
        </a:effectRef>
        <a:fontRef idx="minor"/>
      </dsp:style>
    </dsp:sp>
    <dsp:sp modelId="{81343013-4BC4-4F6D-884B-33925BE19CBD}">
      <dsp:nvSpPr>
        <dsp:cNvPr id="0" name=""/>
        <dsp:cNvSpPr/>
      </dsp:nvSpPr>
      <dsp:spPr>
        <a:xfrm>
          <a:off x="3201987" y="2170489"/>
          <a:ext cx="2494810" cy="173193"/>
        </a:xfrm>
        <a:custGeom>
          <a:avLst/>
          <a:gdLst/>
          <a:ahLst/>
          <a:cxnLst/>
          <a:rect l="0" t="0" r="0" b="0"/>
          <a:pathLst>
            <a:path>
              <a:moveTo>
                <a:pt x="0" y="0"/>
              </a:moveTo>
              <a:lnTo>
                <a:pt x="0" y="86596"/>
              </a:lnTo>
              <a:lnTo>
                <a:pt x="2494810" y="86596"/>
              </a:lnTo>
              <a:lnTo>
                <a:pt x="2494810" y="173193"/>
              </a:lnTo>
            </a:path>
          </a:pathLst>
        </a:custGeom>
        <a:noFill/>
        <a:ln w="25400" cap="flat" cmpd="sng" algn="ctr">
          <a:solidFill>
            <a:srgbClr val="1CADE4"/>
          </a:solidFill>
          <a:prstDash val="solid"/>
        </a:ln>
        <a:effectLst/>
      </dsp:spPr>
      <dsp:style>
        <a:lnRef idx="2">
          <a:scrgbClr r="0" g="0" b="0"/>
        </a:lnRef>
        <a:fillRef idx="0">
          <a:scrgbClr r="0" g="0" b="0"/>
        </a:fillRef>
        <a:effectRef idx="0">
          <a:scrgbClr r="0" g="0" b="0"/>
        </a:effectRef>
        <a:fontRef idx="minor"/>
      </dsp:style>
    </dsp:sp>
    <dsp:sp modelId="{2A8D5C82-D57A-4F9C-9CF1-9CB85D3F55F6}">
      <dsp:nvSpPr>
        <dsp:cNvPr id="0" name=""/>
        <dsp:cNvSpPr/>
      </dsp:nvSpPr>
      <dsp:spPr>
        <a:xfrm>
          <a:off x="3156267" y="1576237"/>
          <a:ext cx="91440" cy="181886"/>
        </a:xfrm>
        <a:custGeom>
          <a:avLst/>
          <a:gdLst/>
          <a:ahLst/>
          <a:cxnLst/>
          <a:rect l="0" t="0" r="0" b="0"/>
          <a:pathLst>
            <a:path>
              <a:moveTo>
                <a:pt x="54412" y="0"/>
              </a:moveTo>
              <a:lnTo>
                <a:pt x="54412" y="95289"/>
              </a:lnTo>
              <a:lnTo>
                <a:pt x="45720" y="95289"/>
              </a:lnTo>
              <a:lnTo>
                <a:pt x="45720" y="181886"/>
              </a:lnTo>
            </a:path>
          </a:pathLst>
        </a:custGeom>
        <a:noFill/>
        <a:ln w="25400" cap="flat" cmpd="sng" algn="ctr">
          <a:solidFill>
            <a:srgbClr val="1CADE4"/>
          </a:solidFill>
          <a:prstDash val="solid"/>
        </a:ln>
        <a:effectLst/>
      </dsp:spPr>
      <dsp:style>
        <a:lnRef idx="2">
          <a:scrgbClr r="0" g="0" b="0"/>
        </a:lnRef>
        <a:fillRef idx="0">
          <a:scrgbClr r="0" g="0" b="0"/>
        </a:fillRef>
        <a:effectRef idx="0">
          <a:scrgbClr r="0" g="0" b="0"/>
        </a:effectRef>
        <a:fontRef idx="minor"/>
      </dsp:style>
    </dsp:sp>
    <dsp:sp modelId="{D6150408-EBA8-481C-A3A3-4D288553D353}">
      <dsp:nvSpPr>
        <dsp:cNvPr id="0" name=""/>
        <dsp:cNvSpPr/>
      </dsp:nvSpPr>
      <dsp:spPr>
        <a:xfrm>
          <a:off x="3156267" y="999371"/>
          <a:ext cx="91440" cy="164500"/>
        </a:xfrm>
        <a:custGeom>
          <a:avLst/>
          <a:gdLst/>
          <a:ahLst/>
          <a:cxnLst/>
          <a:rect l="0" t="0" r="0" b="0"/>
          <a:pathLst>
            <a:path>
              <a:moveTo>
                <a:pt x="45720" y="0"/>
              </a:moveTo>
              <a:lnTo>
                <a:pt x="45720" y="77904"/>
              </a:lnTo>
              <a:lnTo>
                <a:pt x="54412" y="77904"/>
              </a:lnTo>
              <a:lnTo>
                <a:pt x="54412" y="164500"/>
              </a:lnTo>
            </a:path>
          </a:pathLst>
        </a:custGeom>
        <a:noFill/>
        <a:ln w="25400" cap="flat" cmpd="sng" algn="ctr">
          <a:solidFill>
            <a:srgbClr val="1CADE4"/>
          </a:solidFill>
          <a:prstDash val="solid"/>
        </a:ln>
        <a:effectLst/>
      </dsp:spPr>
      <dsp:style>
        <a:lnRef idx="2">
          <a:scrgbClr r="0" g="0" b="0"/>
        </a:lnRef>
        <a:fillRef idx="0">
          <a:scrgbClr r="0" g="0" b="0"/>
        </a:fillRef>
        <a:effectRef idx="0">
          <a:scrgbClr r="0" g="0" b="0"/>
        </a:effectRef>
        <a:fontRef idx="minor"/>
      </dsp:style>
    </dsp:sp>
    <dsp:sp modelId="{7A4A5AB6-61DB-48E5-BCD4-5CB23EFC306C}">
      <dsp:nvSpPr>
        <dsp:cNvPr id="0" name=""/>
        <dsp:cNvSpPr/>
      </dsp:nvSpPr>
      <dsp:spPr>
        <a:xfrm>
          <a:off x="3156267" y="413812"/>
          <a:ext cx="91440" cy="173193"/>
        </a:xfrm>
        <a:custGeom>
          <a:avLst/>
          <a:gdLst/>
          <a:ahLst/>
          <a:cxnLst/>
          <a:rect l="0" t="0" r="0" b="0"/>
          <a:pathLst>
            <a:path>
              <a:moveTo>
                <a:pt x="45720" y="0"/>
              </a:moveTo>
              <a:lnTo>
                <a:pt x="45720" y="173193"/>
              </a:lnTo>
            </a:path>
          </a:pathLst>
        </a:custGeom>
        <a:noFill/>
        <a:ln w="25400" cap="flat" cmpd="sng" algn="ctr">
          <a:solidFill>
            <a:srgbClr val="1CADE4"/>
          </a:solidFill>
          <a:prstDash val="solid"/>
        </a:ln>
        <a:effectLst/>
      </dsp:spPr>
      <dsp:style>
        <a:lnRef idx="2">
          <a:scrgbClr r="0" g="0" b="0"/>
        </a:lnRef>
        <a:fillRef idx="0">
          <a:scrgbClr r="0" g="0" b="0"/>
        </a:fillRef>
        <a:effectRef idx="0">
          <a:scrgbClr r="0" g="0" b="0"/>
        </a:effectRef>
        <a:fontRef idx="minor"/>
      </dsp:style>
    </dsp:sp>
    <dsp:sp modelId="{C44C3A6B-1E80-44CF-8B09-4066187A1419}">
      <dsp:nvSpPr>
        <dsp:cNvPr id="0" name=""/>
        <dsp:cNvSpPr/>
      </dsp:nvSpPr>
      <dsp:spPr>
        <a:xfrm>
          <a:off x="2789622" y="1447"/>
          <a:ext cx="824730" cy="412365"/>
        </a:xfrm>
        <a:prstGeom prst="rect">
          <a:avLst/>
        </a:prstGeom>
        <a:solidFill>
          <a:srgbClr val="1CADE4"/>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Truckee Donner Public Utility District (TDPUD)</a:t>
          </a:r>
        </a:p>
      </dsp:txBody>
      <dsp:txXfrm>
        <a:off x="2789622" y="1447"/>
        <a:ext cx="824730" cy="412365"/>
      </dsp:txXfrm>
    </dsp:sp>
    <dsp:sp modelId="{54B6983C-9E8B-4D4B-884F-099828A04229}">
      <dsp:nvSpPr>
        <dsp:cNvPr id="0" name=""/>
        <dsp:cNvSpPr/>
      </dsp:nvSpPr>
      <dsp:spPr>
        <a:xfrm>
          <a:off x="2789622" y="587006"/>
          <a:ext cx="824730" cy="412365"/>
        </a:xfrm>
        <a:prstGeom prst="rect">
          <a:avLst/>
        </a:prstGeom>
        <a:solidFill>
          <a:srgbClr val="1CADE4"/>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TDPUD Customers</a:t>
          </a:r>
        </a:p>
      </dsp:txBody>
      <dsp:txXfrm>
        <a:off x="2789622" y="587006"/>
        <a:ext cx="824730" cy="412365"/>
      </dsp:txXfrm>
    </dsp:sp>
    <dsp:sp modelId="{5197E310-2E11-47AA-83CE-8DF7EBCF1816}">
      <dsp:nvSpPr>
        <dsp:cNvPr id="0" name=""/>
        <dsp:cNvSpPr/>
      </dsp:nvSpPr>
      <dsp:spPr>
        <a:xfrm>
          <a:off x="2798314" y="1163872"/>
          <a:ext cx="824730" cy="412365"/>
        </a:xfrm>
        <a:prstGeom prst="rect">
          <a:avLst/>
        </a:prstGeom>
        <a:solidFill>
          <a:srgbClr val="1CADE4"/>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Board of </a:t>
          </a:r>
        </a:p>
        <a:p>
          <a:pPr marL="0" lvl="0" indent="0" algn="ctr" defTabSz="355600">
            <a:lnSpc>
              <a:spcPct val="90000"/>
            </a:lnSpc>
            <a:spcBef>
              <a:spcPct val="0"/>
            </a:spcBef>
            <a:spcAft>
              <a:spcPct val="35000"/>
            </a:spcAft>
            <a:buNone/>
          </a:pPr>
          <a:r>
            <a:rPr lang="en-US" sz="800" kern="1200"/>
            <a:t>Directors</a:t>
          </a:r>
        </a:p>
      </dsp:txBody>
      <dsp:txXfrm>
        <a:off x="2798314" y="1163872"/>
        <a:ext cx="824730" cy="412365"/>
      </dsp:txXfrm>
    </dsp:sp>
    <dsp:sp modelId="{8482A6E5-9B1B-4B8F-B344-06D2ECBFC801}">
      <dsp:nvSpPr>
        <dsp:cNvPr id="0" name=""/>
        <dsp:cNvSpPr/>
      </dsp:nvSpPr>
      <dsp:spPr>
        <a:xfrm>
          <a:off x="2789622" y="1758123"/>
          <a:ext cx="824730" cy="412365"/>
        </a:xfrm>
        <a:prstGeom prst="rect">
          <a:avLst/>
        </a:prstGeom>
        <a:solidFill>
          <a:srgbClr val="1CADE4"/>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General </a:t>
          </a:r>
        </a:p>
        <a:p>
          <a:pPr marL="0" lvl="0" indent="0" algn="ctr" defTabSz="355600">
            <a:lnSpc>
              <a:spcPct val="90000"/>
            </a:lnSpc>
            <a:spcBef>
              <a:spcPct val="0"/>
            </a:spcBef>
            <a:spcAft>
              <a:spcPct val="35000"/>
            </a:spcAft>
            <a:buNone/>
          </a:pPr>
          <a:r>
            <a:rPr lang="en-US" sz="800" kern="1200"/>
            <a:t>Manager</a:t>
          </a:r>
        </a:p>
      </dsp:txBody>
      <dsp:txXfrm>
        <a:off x="2789622" y="1758123"/>
        <a:ext cx="824730" cy="412365"/>
      </dsp:txXfrm>
    </dsp:sp>
    <dsp:sp modelId="{7B9DB256-9C7F-410E-B345-EC35B7515E24}">
      <dsp:nvSpPr>
        <dsp:cNvPr id="0" name=""/>
        <dsp:cNvSpPr/>
      </dsp:nvSpPr>
      <dsp:spPr>
        <a:xfrm>
          <a:off x="5284432" y="2343682"/>
          <a:ext cx="824730" cy="412365"/>
        </a:xfrm>
        <a:prstGeom prst="rect">
          <a:avLst/>
        </a:prstGeom>
        <a:solidFill>
          <a:srgbClr val="1CADE4"/>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PIO/Strategic Affairs Director</a:t>
          </a:r>
        </a:p>
      </dsp:txBody>
      <dsp:txXfrm>
        <a:off x="5284432" y="2343682"/>
        <a:ext cx="824730" cy="412365"/>
      </dsp:txXfrm>
    </dsp:sp>
    <dsp:sp modelId="{0FD8D10D-70C6-4DF9-81E0-D3ACB518041F}">
      <dsp:nvSpPr>
        <dsp:cNvPr id="0" name=""/>
        <dsp:cNvSpPr/>
      </dsp:nvSpPr>
      <dsp:spPr>
        <a:xfrm>
          <a:off x="4286508" y="2343682"/>
          <a:ext cx="824730" cy="412365"/>
        </a:xfrm>
        <a:prstGeom prst="rect">
          <a:avLst/>
        </a:prstGeom>
        <a:solidFill>
          <a:srgbClr val="1CADE4"/>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Director of Electric Engineering &amp; Operations </a:t>
          </a:r>
        </a:p>
      </dsp:txBody>
      <dsp:txXfrm>
        <a:off x="4286508" y="2343682"/>
        <a:ext cx="824730" cy="412365"/>
      </dsp:txXfrm>
    </dsp:sp>
    <dsp:sp modelId="{AD68A627-0E63-476C-8CED-F99CD8E72469}">
      <dsp:nvSpPr>
        <dsp:cNvPr id="0" name=""/>
        <dsp:cNvSpPr/>
      </dsp:nvSpPr>
      <dsp:spPr>
        <a:xfrm>
          <a:off x="4785470" y="2929241"/>
          <a:ext cx="824730" cy="412365"/>
        </a:xfrm>
        <a:prstGeom prst="rect">
          <a:avLst/>
        </a:prstGeom>
        <a:solidFill>
          <a:srgbClr val="1CADE4"/>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Electric Operations Manager</a:t>
          </a:r>
        </a:p>
      </dsp:txBody>
      <dsp:txXfrm>
        <a:off x="4785470" y="2929241"/>
        <a:ext cx="824730" cy="412365"/>
      </dsp:txXfrm>
    </dsp:sp>
    <dsp:sp modelId="{D7EFF3C8-2BD7-4605-A8F1-1FF8C481A09E}">
      <dsp:nvSpPr>
        <dsp:cNvPr id="0" name=""/>
        <dsp:cNvSpPr/>
      </dsp:nvSpPr>
      <dsp:spPr>
        <a:xfrm>
          <a:off x="3787546" y="2929241"/>
          <a:ext cx="824730" cy="412365"/>
        </a:xfrm>
        <a:prstGeom prst="rect">
          <a:avLst/>
        </a:prstGeom>
        <a:solidFill>
          <a:srgbClr val="1CADE4"/>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Electric Engineering Manager</a:t>
          </a:r>
        </a:p>
      </dsp:txBody>
      <dsp:txXfrm>
        <a:off x="3787546" y="2929241"/>
        <a:ext cx="824730" cy="412365"/>
      </dsp:txXfrm>
    </dsp:sp>
    <dsp:sp modelId="{B3669BE5-3024-4A43-A4E4-2FBF7CE69358}">
      <dsp:nvSpPr>
        <dsp:cNvPr id="0" name=""/>
        <dsp:cNvSpPr/>
      </dsp:nvSpPr>
      <dsp:spPr>
        <a:xfrm>
          <a:off x="3288584" y="2343682"/>
          <a:ext cx="824730" cy="412365"/>
        </a:xfrm>
        <a:prstGeom prst="rect">
          <a:avLst/>
        </a:prstGeom>
        <a:solidFill>
          <a:srgbClr val="1CADE4"/>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Director of HR &amp; Risk</a:t>
          </a:r>
        </a:p>
      </dsp:txBody>
      <dsp:txXfrm>
        <a:off x="3288584" y="2343682"/>
        <a:ext cx="824730" cy="412365"/>
      </dsp:txXfrm>
    </dsp:sp>
    <dsp:sp modelId="{2920045F-7A60-49C4-8462-F2B56E7CEC26}">
      <dsp:nvSpPr>
        <dsp:cNvPr id="0" name=""/>
        <dsp:cNvSpPr/>
      </dsp:nvSpPr>
      <dsp:spPr>
        <a:xfrm>
          <a:off x="2290660" y="2343682"/>
          <a:ext cx="824730" cy="412365"/>
        </a:xfrm>
        <a:prstGeom prst="rect">
          <a:avLst/>
        </a:prstGeom>
        <a:solidFill>
          <a:srgbClr val="1CADE4"/>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CFO (Manager of Dispatch)</a:t>
          </a:r>
        </a:p>
      </dsp:txBody>
      <dsp:txXfrm>
        <a:off x="2290660" y="2343682"/>
        <a:ext cx="824730" cy="412365"/>
      </dsp:txXfrm>
    </dsp:sp>
    <dsp:sp modelId="{514ABB18-D782-40C7-9685-7270013D493A}">
      <dsp:nvSpPr>
        <dsp:cNvPr id="0" name=""/>
        <dsp:cNvSpPr/>
      </dsp:nvSpPr>
      <dsp:spPr>
        <a:xfrm>
          <a:off x="1292736" y="2343682"/>
          <a:ext cx="824730" cy="412365"/>
        </a:xfrm>
        <a:prstGeom prst="rect">
          <a:avLst/>
        </a:prstGeom>
        <a:solidFill>
          <a:srgbClr val="1CADE4"/>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Water Utility Director</a:t>
          </a:r>
        </a:p>
      </dsp:txBody>
      <dsp:txXfrm>
        <a:off x="1292736" y="2343682"/>
        <a:ext cx="824730" cy="412365"/>
      </dsp:txXfrm>
    </dsp:sp>
    <dsp:sp modelId="{EA91F464-7E8E-4AAA-BFCE-93E7C96B6C65}">
      <dsp:nvSpPr>
        <dsp:cNvPr id="0" name=""/>
        <dsp:cNvSpPr/>
      </dsp:nvSpPr>
      <dsp:spPr>
        <a:xfrm>
          <a:off x="294811" y="2343682"/>
          <a:ext cx="824730" cy="412365"/>
        </a:xfrm>
        <a:prstGeom prst="rect">
          <a:avLst/>
        </a:prstGeom>
        <a:solidFill>
          <a:srgbClr val="1CADE4"/>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IT Director</a:t>
          </a:r>
        </a:p>
      </dsp:txBody>
      <dsp:txXfrm>
        <a:off x="294811" y="2343682"/>
        <a:ext cx="824730" cy="41236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86DC9457A0634B92771CEF51DF206F" ma:contentTypeVersion="6" ma:contentTypeDescription="Create a new document." ma:contentTypeScope="" ma:versionID="30cf9a86841c9119ff45604bf41fcc75">
  <xsd:schema xmlns:xsd="http://www.w3.org/2001/XMLSchema" xmlns:xs="http://www.w3.org/2001/XMLSchema" xmlns:p="http://schemas.microsoft.com/office/2006/metadata/properties" xmlns:ns2="37290a0a-ba75-4310-8acc-59a74f857004" xmlns:ns3="ce68bae9-fc47-4607-b097-500f45f175ed" targetNamespace="http://schemas.microsoft.com/office/2006/metadata/properties" ma:root="true" ma:fieldsID="30fb762aba87e9c6b909b66a7f4f89c0" ns2:_="" ns3:_="">
    <xsd:import namespace="37290a0a-ba75-4310-8acc-59a74f857004"/>
    <xsd:import namespace="ce68bae9-fc47-4607-b097-500f45f175e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290a0a-ba75-4310-8acc-59a74f8570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68bae9-fc47-4607-b097-500f45f175e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b:Source>
    <b:Tag>Tow20</b:Tag>
    <b:SourceType>Report</b:SourceType>
    <b:Guid>{338E2E3F-DE30-42AF-B604-98E2BF03D285}</b:Guid>
    <b:Author>
      <b:Author>
        <b:Corporate>Town of Truckee Planning Division</b:Corporate>
      </b:Author>
    </b:Author>
    <b:Title>Climate Ready Truckee A Climate Change Adaptation Plan</b:Title>
    <b:Year>2020</b:Year>
    <b:Publisher>Town of Trucee</b:Publisher>
    <b:City>Truckee</b:City>
    <b:RefOrder>1</b:RefOrder>
  </b:Source>
  <b:Source>
    <b:Tag>Car221</b:Tag>
    <b:SourceType>InternetSite</b:SourceType>
    <b:Guid>{9695D7CF-8B18-41E2-8BA1-FFF61789A97C}</b:Guid>
    <b:Author>
      <b:Author>
        <b:NameList>
          <b:Person>
            <b:Last>Carlson</b:Last>
            <b:First>A.R.,</b:First>
            <b:Middle>Helmers, D.P., Hawbaker, T.J., Mockrin, M.H., and Radeloff, V.C</b:Middle>
          </b:Person>
        </b:NameList>
      </b:Author>
    </b:Author>
    <b:Title>Wildland-urban interface maps for the conterminous U.S. based on 125 million building locations</b:Title>
    <b:Year>2022</b:Year>
    <b:Month>March</b:Month>
    <b:Day>2</b:Day>
    <b:Publisher>U.S. Geological Survey data release</b:Publisher>
    <b:InternetSiteTitle>USGS ScienceBase Catalog</b:InternetSiteTitle>
    <b:URL>https://www.sciencebase.gov/catalog/item/617bfb43d34ea58c3c70038f</b:URL>
    <b:RefOrder>2</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67EF066-5ABB-419F-A640-8B1FD96906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290a0a-ba75-4310-8acc-59a74f857004"/>
    <ds:schemaRef ds:uri="ce68bae9-fc47-4607-b097-500f45f175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0DAC7B-5D81-49A9-8897-DD376E252B2D}">
  <ds:schemaRefs>
    <ds:schemaRef ds:uri="http://schemas.microsoft.com/sharepoint/v3/contenttype/forms"/>
  </ds:schemaRefs>
</ds:datastoreItem>
</file>

<file path=customXml/itemProps3.xml><?xml version="1.0" encoding="utf-8"?>
<ds:datastoreItem xmlns:ds="http://schemas.openxmlformats.org/officeDocument/2006/customXml" ds:itemID="{2C9F3C0C-29F1-4D0A-9EFB-849516826B25}">
  <ds:schemaRefs>
    <ds:schemaRef ds:uri="http://schemas.openxmlformats.org/officeDocument/2006/bibliography"/>
  </ds:schemaRefs>
</ds:datastoreItem>
</file>

<file path=customXml/itemProps4.xml><?xml version="1.0" encoding="utf-8"?>
<ds:datastoreItem xmlns:ds="http://schemas.openxmlformats.org/officeDocument/2006/customXml" ds:itemID="{D34078FE-E07D-4204-8991-5A3CBC57F7C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104</Pages>
  <Words>22275</Words>
  <Characters>138111</Characters>
  <Application>Microsoft Office Word</Application>
  <DocSecurity>0</DocSecurity>
  <Lines>2877</Lines>
  <Paragraphs>1620</Paragraphs>
  <ScaleCrop>false</ScaleCrop>
  <HeadingPairs>
    <vt:vector size="2" baseType="variant">
      <vt:variant>
        <vt:lpstr>Title</vt:lpstr>
      </vt:variant>
      <vt:variant>
        <vt:i4>1</vt:i4>
      </vt:variant>
    </vt:vector>
  </HeadingPairs>
  <TitlesOfParts>
    <vt:vector size="1" baseType="lpstr">
      <vt:lpstr>D R A F T</vt:lpstr>
    </vt:vector>
  </TitlesOfParts>
  <Company>DUDEK</Company>
  <LinksUpToDate>false</LinksUpToDate>
  <CharactersWithSpaces>158766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 R A F T</dc:title>
  <dc:creator>Jeremy Cawn</dc:creator>
  <cp:lastModifiedBy>Mike Swanson</cp:lastModifiedBy>
  <cp:revision>2</cp:revision>
  <cp:lastPrinted>2026-08-28T19:34:00Z</cp:lastPrinted>
  <dcterms:created xsi:type="dcterms:W3CDTF">2026-08-28T19:35:00Z</dcterms:created>
  <dcterms:modified xsi:type="dcterms:W3CDTF">2026-08-28T19:35:00Z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0x0101000C86DC9457A0634B92771CEF51DF206F</vt:lpwstr>
  </property>
  <property fmtid="{D5CDD505-2E9C-101B-9397-08002B2CF9AE}" pid="3" name="GrammarlyDocumentId">
    <vt:lpwstr>23cdba13-a13a-410b-bd31-f2e46e351575</vt:lpwstr>
  </property>
</Properties>
</file>