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FC38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76C5E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93661E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16B02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330AF6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8540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FCC0D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7F2E07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15C3A5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FF6995" w14:textId="77777777" w:rsidR="001C4CDB" w:rsidRDefault="001C4CDB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7C824E65" w14:textId="60750DF5" w:rsidR="001C4CDB" w:rsidRDefault="00B60AC8">
      <w:pPr>
        <w:pStyle w:val="Heading1"/>
        <w:spacing w:line="670" w:lineRule="exact"/>
        <w:ind w:right="344" w:firstLine="0"/>
        <w:jc w:val="center"/>
      </w:pPr>
      <w:r>
        <w:t>LS Power Grid California</w:t>
      </w:r>
    </w:p>
    <w:p w14:paraId="2E066DA8" w14:textId="77777777" w:rsidR="001C4CDB" w:rsidRDefault="00BB67C8">
      <w:pPr>
        <w:spacing w:before="55" w:line="258" w:lineRule="auto"/>
        <w:ind w:left="406" w:right="404" w:hanging="3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"/>
          <w:sz w:val="56"/>
        </w:rPr>
        <w:t>Quarterly</w:t>
      </w:r>
      <w:r>
        <w:rPr>
          <w:rFonts w:ascii="Calibri"/>
          <w:spacing w:val="-16"/>
          <w:sz w:val="56"/>
        </w:rPr>
        <w:t xml:space="preserve"> </w:t>
      </w:r>
      <w:r>
        <w:rPr>
          <w:rFonts w:ascii="Calibri"/>
          <w:spacing w:val="-1"/>
          <w:sz w:val="56"/>
        </w:rPr>
        <w:t>Data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z w:val="56"/>
        </w:rPr>
        <w:t>Report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z w:val="56"/>
        </w:rPr>
        <w:t>on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z w:val="56"/>
        </w:rPr>
        <w:t>WMP</w:t>
      </w:r>
      <w:r>
        <w:rPr>
          <w:rFonts w:ascii="Calibri"/>
          <w:spacing w:val="26"/>
          <w:w w:val="99"/>
          <w:sz w:val="56"/>
        </w:rPr>
        <w:t xml:space="preserve"> </w:t>
      </w:r>
      <w:r>
        <w:rPr>
          <w:rFonts w:ascii="Calibri"/>
          <w:sz w:val="56"/>
        </w:rPr>
        <w:t>Spatial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z w:val="56"/>
        </w:rPr>
        <w:t>and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z w:val="56"/>
        </w:rPr>
        <w:t>Non-Spatial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pacing w:val="-1"/>
          <w:sz w:val="56"/>
        </w:rPr>
        <w:t>Data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pacing w:val="-1"/>
          <w:sz w:val="56"/>
        </w:rPr>
        <w:t>(QDR)</w:t>
      </w:r>
    </w:p>
    <w:p w14:paraId="47A98E56" w14:textId="77777777" w:rsidR="001C4CDB" w:rsidRDefault="001C4CDB">
      <w:pPr>
        <w:rPr>
          <w:rFonts w:ascii="Calibri" w:eastAsia="Calibri" w:hAnsi="Calibri" w:cs="Calibri"/>
          <w:sz w:val="56"/>
          <w:szCs w:val="56"/>
        </w:rPr>
      </w:pPr>
    </w:p>
    <w:p w14:paraId="4EC65DF2" w14:textId="77777777" w:rsidR="001C4CDB" w:rsidRDefault="001C4CDB">
      <w:pPr>
        <w:rPr>
          <w:rFonts w:ascii="Calibri" w:eastAsia="Calibri" w:hAnsi="Calibri" w:cs="Calibri"/>
          <w:sz w:val="56"/>
          <w:szCs w:val="56"/>
        </w:rPr>
      </w:pPr>
    </w:p>
    <w:p w14:paraId="2B0EEB8D" w14:textId="77777777" w:rsidR="001C4CDB" w:rsidRDefault="001C4CDB">
      <w:pPr>
        <w:spacing w:before="7"/>
        <w:rPr>
          <w:rFonts w:ascii="Calibri" w:eastAsia="Calibri" w:hAnsi="Calibri" w:cs="Calibri"/>
          <w:sz w:val="69"/>
          <w:szCs w:val="69"/>
        </w:rPr>
      </w:pPr>
    </w:p>
    <w:p w14:paraId="766F4381" w14:textId="3435B5B4" w:rsidR="001C4CDB" w:rsidRDefault="00986E02">
      <w:pPr>
        <w:ind w:left="344" w:right="34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spacing w:val="-1"/>
          <w:sz w:val="44"/>
        </w:rPr>
        <w:t>May</w:t>
      </w:r>
      <w:r w:rsidR="00BB67C8">
        <w:rPr>
          <w:rFonts w:ascii="Calibri"/>
          <w:spacing w:val="-13"/>
          <w:sz w:val="44"/>
        </w:rPr>
        <w:t xml:space="preserve"> </w:t>
      </w:r>
      <w:r>
        <w:rPr>
          <w:rFonts w:ascii="Calibri"/>
          <w:spacing w:val="-13"/>
          <w:sz w:val="44"/>
        </w:rPr>
        <w:t>6</w:t>
      </w:r>
      <w:r w:rsidR="00BB67C8">
        <w:rPr>
          <w:rFonts w:ascii="Calibri"/>
          <w:sz w:val="44"/>
        </w:rPr>
        <w:t>,</w:t>
      </w:r>
      <w:r w:rsidR="00BB67C8">
        <w:rPr>
          <w:rFonts w:ascii="Calibri"/>
          <w:spacing w:val="-13"/>
          <w:sz w:val="44"/>
        </w:rPr>
        <w:t xml:space="preserve"> </w:t>
      </w:r>
      <w:r w:rsidR="00BB67C8">
        <w:rPr>
          <w:rFonts w:ascii="Calibri"/>
          <w:sz w:val="44"/>
        </w:rPr>
        <w:t>202</w:t>
      </w:r>
      <w:r>
        <w:rPr>
          <w:rFonts w:ascii="Calibri"/>
          <w:sz w:val="44"/>
        </w:rPr>
        <w:t>5</w:t>
      </w:r>
    </w:p>
    <w:p w14:paraId="257DB06A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61E5926B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3F2F10C0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BA27596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7285BB2E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F6ABCB0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CD571D9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737D575D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2A8D7A35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1095FAA1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64BCAEE1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358DD703" w14:textId="77777777" w:rsidR="001C4CDB" w:rsidRDefault="001C4CDB">
      <w:pPr>
        <w:spacing w:before="10"/>
        <w:rPr>
          <w:rFonts w:ascii="Calibri" w:eastAsia="Calibri" w:hAnsi="Calibri" w:cs="Calibri"/>
        </w:rPr>
      </w:pPr>
    </w:p>
    <w:p w14:paraId="0DA4749F" w14:textId="78CAEF6B" w:rsidR="007E7239" w:rsidRDefault="007E7239" w:rsidP="007E7239">
      <w:pPr>
        <w:pStyle w:val="NormalWeb"/>
      </w:pPr>
      <w:r>
        <w:rPr>
          <w:noProof/>
        </w:rPr>
        <w:drawing>
          <wp:inline distT="0" distB="0" distL="0" distR="0" wp14:anchorId="10BF1565" wp14:editId="51C84FE0">
            <wp:extent cx="5588000" cy="759460"/>
            <wp:effectExtent l="0" t="0" r="0" b="0"/>
            <wp:docPr id="561613390" name="Picture 1" descr="A blue letter with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13390" name="Picture 1" descr="A blue letter with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6FCC" w14:textId="455702E6" w:rsidR="001C4CDB" w:rsidRDefault="001C4CDB">
      <w:pPr>
        <w:spacing w:line="200" w:lineRule="atLeast"/>
        <w:ind w:left="1880"/>
        <w:rPr>
          <w:rFonts w:ascii="Calibri" w:eastAsia="Calibri" w:hAnsi="Calibri" w:cs="Calibri"/>
          <w:sz w:val="20"/>
          <w:szCs w:val="20"/>
        </w:rPr>
      </w:pPr>
    </w:p>
    <w:p w14:paraId="1693B98E" w14:textId="77777777" w:rsidR="001C4CDB" w:rsidRDefault="001C4CD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C4CDB">
          <w:type w:val="continuous"/>
          <w:pgSz w:w="12240" w:h="15840"/>
          <w:pgMar w:top="1500" w:right="1720" w:bottom="280" w:left="1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C424B43" w14:textId="6DFDFE3A" w:rsidR="001C4CDB" w:rsidRDefault="00BB67C8">
      <w:pPr>
        <w:pStyle w:val="BodyText"/>
        <w:spacing w:before="39" w:line="256" w:lineRule="auto"/>
        <w:ind w:left="119" w:right="137" w:firstLine="0"/>
      </w:pPr>
      <w:r>
        <w:rPr>
          <w:spacing w:val="-1"/>
        </w:rPr>
        <w:lastRenderedPageBreak/>
        <w:t>Pursuant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Utilities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 xml:space="preserve">(Commission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CPUC)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WSD-011,</w:t>
      </w:r>
      <w:r>
        <w:rPr>
          <w:spacing w:val="65"/>
        </w:rPr>
        <w:t xml:space="preserve"> </w:t>
      </w:r>
      <w:r>
        <w:rPr>
          <w:spacing w:val="-1"/>
        </w:rPr>
        <w:t>Wildfire</w:t>
      </w:r>
      <w:r>
        <w:rPr>
          <w:spacing w:val="1"/>
        </w:rPr>
        <w:t xml:space="preserve"> </w:t>
      </w:r>
      <w:r>
        <w:rPr>
          <w:spacing w:val="-1"/>
        </w:rPr>
        <w:t>Safety Division’s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Protocols,</w:t>
      </w:r>
      <w:r>
        <w:t xml:space="preserve"> </w:t>
      </w:r>
      <w:r>
        <w:rPr>
          <w:spacing w:val="-1"/>
        </w:rPr>
        <w:t>issued February</w:t>
      </w:r>
      <w:r>
        <w:rPr>
          <w:spacing w:val="1"/>
        </w:rPr>
        <w:t xml:space="preserve"> </w:t>
      </w:r>
      <w:r>
        <w:rPr>
          <w:spacing w:val="-1"/>
        </w:rPr>
        <w:t>16,</w:t>
      </w:r>
      <w:r>
        <w:rPr>
          <w:spacing w:val="-2"/>
        </w:rPr>
        <w:t xml:space="preserve"> </w:t>
      </w:r>
      <w:r>
        <w:rPr>
          <w:spacing w:val="-1"/>
        </w:rPr>
        <w:t>2021,</w:t>
      </w:r>
      <w:r>
        <w:rPr>
          <w:spacing w:val="-2"/>
        </w:rPr>
        <w:t xml:space="preserve"> </w:t>
      </w:r>
      <w:r>
        <w:rPr>
          <w:spacing w:val="-1"/>
        </w:rPr>
        <w:t>and in</w:t>
      </w:r>
      <w:r>
        <w:rPr>
          <w:spacing w:val="45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 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Infrastructure</w:t>
      </w:r>
      <w:r>
        <w:rPr>
          <w:spacing w:val="1"/>
        </w:rPr>
        <w:t xml:space="preserve"> </w:t>
      </w:r>
      <w:r>
        <w:rPr>
          <w:spacing w:val="-1"/>
        </w:rPr>
        <w:t>Safety’s</w:t>
      </w:r>
      <w:r>
        <w:t xml:space="preserve"> </w:t>
      </w:r>
      <w:r>
        <w:rPr>
          <w:spacing w:val="-1"/>
        </w:rPr>
        <w:t>(Energy</w:t>
      </w:r>
      <w:r>
        <w:rPr>
          <w:spacing w:val="1"/>
        </w:rPr>
        <w:t xml:space="preserve"> </w:t>
      </w:r>
      <w:r>
        <w:rPr>
          <w:spacing w:val="-1"/>
        </w:rPr>
        <w:t>Safety)</w:t>
      </w:r>
      <w:r>
        <w:rPr>
          <w:spacing w:val="-2"/>
        </w:rPr>
        <w:t xml:space="preserve"> </w:t>
      </w:r>
      <w:r>
        <w:rPr>
          <w:spacing w:val="-1"/>
        </w:rPr>
        <w:t>updated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recently</w:t>
      </w:r>
      <w:r w:rsidR="006860D7">
        <w:rPr>
          <w:spacing w:val="-1"/>
        </w:rPr>
        <w:t xml:space="preserve"> published</w:t>
      </w:r>
      <w:r>
        <w:rPr>
          <w:spacing w:val="39"/>
        </w:rPr>
        <w:t xml:space="preserve"> </w:t>
      </w:r>
      <w:r w:rsidR="00986E02">
        <w:rPr>
          <w:spacing w:val="-1"/>
        </w:rPr>
        <w:t>February</w:t>
      </w:r>
      <w:r>
        <w:t xml:space="preserve"> </w:t>
      </w:r>
      <w:r w:rsidR="00986E02">
        <w:t>28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986E02">
        <w:rPr>
          <w:spacing w:val="-1"/>
        </w:rPr>
        <w:t>5</w:t>
      </w:r>
      <w:r>
        <w:rPr>
          <w:spacing w:val="1"/>
        </w:rPr>
        <w:t xml:space="preserve"> </w:t>
      </w:r>
      <w:r>
        <w:rPr>
          <w:spacing w:val="-1"/>
        </w:rPr>
        <w:t>(V</w:t>
      </w:r>
      <w:r w:rsidR="00986E02">
        <w:rPr>
          <w:spacing w:val="-1"/>
        </w:rPr>
        <w:t>4.0</w:t>
      </w:r>
      <w:r>
        <w:rPr>
          <w:spacing w:val="-1"/>
        </w:rPr>
        <w:t>).</w:t>
      </w:r>
      <w:r>
        <w:rPr>
          <w:spacing w:val="-3"/>
        </w:rPr>
        <w:t xml:space="preserve"> </w:t>
      </w:r>
      <w:r w:rsidR="00B60AC8">
        <w:rPr>
          <w:spacing w:val="-1"/>
        </w:rPr>
        <w:t>LSPGC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1"/>
        </w:rPr>
        <w:t xml:space="preserve"> </w:t>
      </w:r>
      <w:r>
        <w:rPr>
          <w:spacing w:val="-1"/>
        </w:rPr>
        <w:t>submits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Quarterly Data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(QDR)</w:t>
      </w:r>
      <w:r w:rsidR="00FD3350">
        <w:rPr>
          <w:spacing w:val="-1"/>
        </w:rPr>
        <w:t xml:space="preserve"> revision one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 w:rsidR="007E7239">
        <w:rPr>
          <w:spacing w:val="-1"/>
        </w:rPr>
        <w:t>October</w:t>
      </w:r>
      <w:r w:rsidR="00FD3350">
        <w:rPr>
          <w:spacing w:val="40"/>
        </w:rPr>
        <w:t xml:space="preserve"> </w:t>
      </w:r>
      <w:r>
        <w:t xml:space="preserve">1, </w:t>
      </w:r>
      <w:proofErr w:type="gramStart"/>
      <w:r>
        <w:rPr>
          <w:spacing w:val="-1"/>
        </w:rPr>
        <w:t>202</w:t>
      </w:r>
      <w:r w:rsidR="00986E02">
        <w:rPr>
          <w:spacing w:val="-1"/>
        </w:rPr>
        <w:t>4</w:t>
      </w:r>
      <w:proofErr w:type="gramEnd"/>
      <w:r>
        <w:rPr>
          <w:spacing w:val="-1"/>
        </w:rPr>
        <w:t xml:space="preserve"> through </w:t>
      </w:r>
      <w:r w:rsidR="00B60AC8">
        <w:rPr>
          <w:spacing w:val="-1"/>
        </w:rPr>
        <w:t>December</w:t>
      </w:r>
      <w:r>
        <w:rPr>
          <w:spacing w:val="-2"/>
        </w:rPr>
        <w:t xml:space="preserve"> </w:t>
      </w:r>
      <w:r>
        <w:t>3</w:t>
      </w:r>
      <w:r w:rsidR="00B60AC8">
        <w:t>1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986E02">
        <w:rPr>
          <w:spacing w:val="-1"/>
        </w:rPr>
        <w:t>4</w:t>
      </w:r>
      <w:r>
        <w:rPr>
          <w:spacing w:val="1"/>
        </w:rPr>
        <w:t xml:space="preserve"> </w:t>
      </w:r>
      <w:r>
        <w:rPr>
          <w:spacing w:val="-1"/>
        </w:rPr>
        <w:t>(Q</w:t>
      </w:r>
      <w:r w:rsidR="00B60AC8">
        <w:rPr>
          <w:spacing w:val="-1"/>
        </w:rPr>
        <w:t>4</w:t>
      </w:r>
      <w:r>
        <w:rPr>
          <w:spacing w:val="-1"/>
        </w:rPr>
        <w:t xml:space="preserve"> 202</w:t>
      </w:r>
      <w:r w:rsidR="00986E02">
        <w:rPr>
          <w:spacing w:val="-1"/>
        </w:rPr>
        <w:t>4</w:t>
      </w:r>
      <w:r>
        <w:rPr>
          <w:spacing w:val="-1"/>
        </w:rPr>
        <w:t>).</w:t>
      </w:r>
      <w:r>
        <w:t xml:space="preserve"> </w:t>
      </w:r>
      <w:r w:rsidR="00986E02">
        <w:t>T</w:t>
      </w:r>
      <w:r>
        <w:rPr>
          <w:spacing w:val="-2"/>
        </w:rPr>
        <w:t>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provided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t xml:space="preserve"> </w:t>
      </w:r>
      <w:r>
        <w:rPr>
          <w:spacing w:val="-1"/>
        </w:rPr>
        <w:t>Office</w:t>
      </w:r>
      <w:r w:rsidR="006860D7">
        <w:rPr>
          <w:spacing w:val="53"/>
        </w:rPr>
        <w:t xml:space="preserve"> </w:t>
      </w:r>
      <w:r>
        <w:t xml:space="preserve">of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Infrastructure</w:t>
      </w:r>
      <w:r>
        <w:rPr>
          <w:spacing w:val="1"/>
        </w:rPr>
        <w:t xml:space="preserve"> </w:t>
      </w:r>
      <w:r>
        <w:rPr>
          <w:spacing w:val="-1"/>
        </w:rPr>
        <w:t>Safety (OEIS)</w:t>
      </w:r>
      <w:r>
        <w:t xml:space="preserve"> </w:t>
      </w:r>
      <w:r>
        <w:rPr>
          <w:spacing w:val="-1"/>
        </w:rPr>
        <w:t>docket.</w:t>
      </w:r>
    </w:p>
    <w:p w14:paraId="564E188A" w14:textId="08DE5C0C" w:rsidR="001C4CDB" w:rsidRDefault="00BB67C8">
      <w:pPr>
        <w:pStyle w:val="BodyText"/>
        <w:spacing w:before="161"/>
        <w:ind w:left="119" w:firstLine="0"/>
      </w:pPr>
      <w:r>
        <w:rPr>
          <w:spacing w:val="-1"/>
        </w:rPr>
        <w:t>Specifically,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 w:rsidR="00725047">
        <w:rPr>
          <w:spacing w:val="-1"/>
        </w:rPr>
        <w:t>Submission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 w:rsidR="00725047">
        <w:rPr>
          <w:spacing w:val="-1"/>
        </w:rPr>
        <w:t xml:space="preserve"> updates to LSPGC’s previously submitted 202</w:t>
      </w:r>
      <w:r w:rsidR="005E18F4">
        <w:rPr>
          <w:spacing w:val="-1"/>
        </w:rPr>
        <w:t>4</w:t>
      </w:r>
      <w:r w:rsidR="00725047">
        <w:rPr>
          <w:spacing w:val="-1"/>
        </w:rPr>
        <w:t xml:space="preserve"> Q</w:t>
      </w:r>
      <w:r w:rsidR="00986E02">
        <w:rPr>
          <w:spacing w:val="-1"/>
        </w:rPr>
        <w:t>4</w:t>
      </w:r>
      <w:r w:rsidR="00725047">
        <w:rPr>
          <w:spacing w:val="-1"/>
        </w:rPr>
        <w:t xml:space="preserve"> QDR</w:t>
      </w:r>
      <w:r>
        <w:rPr>
          <w:spacing w:val="-1"/>
        </w:rPr>
        <w:t>:</w:t>
      </w:r>
    </w:p>
    <w:p w14:paraId="3F6D41CE" w14:textId="5AADAA7E" w:rsidR="001C4CDB" w:rsidRDefault="00B60AC8">
      <w:pPr>
        <w:pStyle w:val="Heading2"/>
        <w:spacing w:before="160"/>
      </w:pPr>
      <w:bookmarkStart w:id="0" w:name="SDG&amp;E’s_Quarterly_Data_Report:_Non-Spati"/>
      <w:bookmarkEnd w:id="0"/>
      <w:r>
        <w:rPr>
          <w:color w:val="2E5395"/>
          <w:spacing w:val="-1"/>
        </w:rPr>
        <w:t>LSPGC</w:t>
      </w:r>
      <w:r w:rsidR="00BB67C8">
        <w:rPr>
          <w:color w:val="2E5395"/>
          <w:spacing w:val="-1"/>
        </w:rPr>
        <w:t>’s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  <w:spacing w:val="-1"/>
        </w:rPr>
        <w:t>Quarterly</w:t>
      </w:r>
      <w:r w:rsidR="00BB67C8">
        <w:rPr>
          <w:color w:val="2E5395"/>
          <w:spacing w:val="-6"/>
        </w:rPr>
        <w:t xml:space="preserve"> </w:t>
      </w:r>
      <w:r w:rsidR="00BB67C8">
        <w:rPr>
          <w:color w:val="2E5395"/>
        </w:rPr>
        <w:t>Data</w:t>
      </w:r>
      <w:r w:rsidR="00BB67C8">
        <w:rPr>
          <w:color w:val="2E5395"/>
          <w:spacing w:val="-7"/>
        </w:rPr>
        <w:t xml:space="preserve"> </w:t>
      </w:r>
      <w:r w:rsidR="00BB67C8">
        <w:rPr>
          <w:color w:val="2E5395"/>
        </w:rPr>
        <w:t>Report:</w:t>
      </w:r>
      <w:r w:rsidR="00BB67C8">
        <w:rPr>
          <w:color w:val="2E5395"/>
          <w:spacing w:val="-7"/>
        </w:rPr>
        <w:t xml:space="preserve"> </w:t>
      </w:r>
      <w:r w:rsidR="00BB67C8">
        <w:rPr>
          <w:color w:val="2E5395"/>
        </w:rPr>
        <w:t>Non-Spatial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  <w:spacing w:val="-1"/>
        </w:rPr>
        <w:t>Tables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</w:rPr>
        <w:t>1</w:t>
      </w:r>
      <w:r w:rsidR="00BB67C8">
        <w:rPr>
          <w:color w:val="2E5395"/>
          <w:spacing w:val="-6"/>
        </w:rPr>
        <w:t xml:space="preserve"> </w:t>
      </w:r>
      <w:r w:rsidR="00BB67C8">
        <w:rPr>
          <w:color w:val="2E5395"/>
        </w:rPr>
        <w:t>-</w:t>
      </w:r>
      <w:r w:rsidR="00BB67C8">
        <w:rPr>
          <w:color w:val="2E5395"/>
          <w:spacing w:val="-9"/>
        </w:rPr>
        <w:t xml:space="preserve"> </w:t>
      </w:r>
      <w:r w:rsidR="00BB67C8">
        <w:rPr>
          <w:color w:val="2E5395"/>
        </w:rPr>
        <w:t>15</w:t>
      </w:r>
    </w:p>
    <w:p w14:paraId="5B2A8793" w14:textId="5BAB1190" w:rsidR="001C4CDB" w:rsidRDefault="00FD3350" w:rsidP="00B60AC8">
      <w:pPr>
        <w:pStyle w:val="BodyText"/>
        <w:tabs>
          <w:tab w:val="left" w:pos="1542"/>
        </w:tabs>
        <w:ind w:left="0" w:firstLine="0"/>
        <w:rPr>
          <w:spacing w:val="-1"/>
        </w:rPr>
      </w:pPr>
      <w:bookmarkStart w:id="1" w:name="SDG&amp;E’s_Quarterly_Data_Report:_Spatial"/>
      <w:bookmarkEnd w:id="1"/>
      <w:r>
        <w:rPr>
          <w:spacing w:val="-1"/>
        </w:rPr>
        <w:t xml:space="preserve">This revision is to update </w:t>
      </w:r>
      <w:r w:rsidR="00986E02">
        <w:rPr>
          <w:spacing w:val="-1"/>
        </w:rPr>
        <w:t xml:space="preserve">a </w:t>
      </w:r>
      <w:r w:rsidR="00986E02" w:rsidRPr="00986E02">
        <w:rPr>
          <w:spacing w:val="-1"/>
        </w:rPr>
        <w:t xml:space="preserve">discrepancy in </w:t>
      </w:r>
      <w:r w:rsidR="00986E02">
        <w:rPr>
          <w:spacing w:val="-1"/>
        </w:rPr>
        <w:t>LS Power’s</w:t>
      </w:r>
      <w:r w:rsidR="00986E02" w:rsidRPr="00986E02">
        <w:rPr>
          <w:spacing w:val="-1"/>
        </w:rPr>
        <w:t xml:space="preserve"> 2024 Q4 table 11 actuals column</w:t>
      </w:r>
      <w:r w:rsidR="00986E02">
        <w:rPr>
          <w:spacing w:val="-1"/>
        </w:rPr>
        <w:t>s</w:t>
      </w:r>
      <w:r w:rsidR="00986E02" w:rsidRPr="00986E02">
        <w:rPr>
          <w:spacing w:val="-1"/>
        </w:rPr>
        <w:t>. While the table indicates that figures are in thousands, this convention was not applied to the 2024 actuals column</w:t>
      </w:r>
      <w:r w:rsidR="00986E02">
        <w:rPr>
          <w:spacing w:val="-1"/>
        </w:rPr>
        <w:t>s</w:t>
      </w:r>
      <w:r w:rsidR="00986E02" w:rsidRPr="00986E02">
        <w:rPr>
          <w:spacing w:val="-1"/>
        </w:rPr>
        <w:t>.</w:t>
      </w:r>
      <w:r w:rsidR="00986E02">
        <w:rPr>
          <w:spacing w:val="-1"/>
        </w:rPr>
        <w:t xml:space="preserve"> This table has been updated to match the (1,000) unit convention and rounded down to the nearest dollar. </w:t>
      </w:r>
    </w:p>
    <w:p w14:paraId="5DF0454E" w14:textId="77777777" w:rsidR="00B60AC8" w:rsidRDefault="00B60AC8" w:rsidP="00B60AC8">
      <w:pPr>
        <w:pStyle w:val="BodyText"/>
        <w:tabs>
          <w:tab w:val="left" w:pos="1542"/>
        </w:tabs>
        <w:ind w:left="0" w:firstLine="0"/>
        <w:rPr>
          <w:spacing w:val="-1"/>
        </w:rPr>
      </w:pPr>
    </w:p>
    <w:p w14:paraId="38B48C24" w14:textId="77777777" w:rsidR="00B60AC8" w:rsidRDefault="00B60AC8" w:rsidP="00B60AC8">
      <w:pPr>
        <w:pStyle w:val="BodyText"/>
        <w:tabs>
          <w:tab w:val="left" w:pos="1542"/>
        </w:tabs>
        <w:ind w:left="0" w:firstLine="0"/>
      </w:pPr>
    </w:p>
    <w:sectPr w:rsidR="00B60AC8">
      <w:footerReference w:type="default" r:id="rId8"/>
      <w:pgSz w:w="12240" w:h="15840"/>
      <w:pgMar w:top="1400" w:right="1340" w:bottom="1200" w:left="13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DF59" w14:textId="77777777" w:rsidR="00BB67C8" w:rsidRDefault="00BB67C8">
      <w:r>
        <w:separator/>
      </w:r>
    </w:p>
  </w:endnote>
  <w:endnote w:type="continuationSeparator" w:id="0">
    <w:p w14:paraId="070381AD" w14:textId="77777777" w:rsidR="00BB67C8" w:rsidRDefault="00BB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E9D" w14:textId="6ADB6E8B" w:rsidR="001C4CDB" w:rsidRDefault="00BB67C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84D01" wp14:editId="2332B1CB">
              <wp:simplePos x="0" y="0"/>
              <wp:positionH relativeFrom="page">
                <wp:posOffset>3825875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3781660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1464A" w14:textId="77777777" w:rsidR="001C4CDB" w:rsidRDefault="00BB67C8">
                          <w:pPr>
                            <w:pStyle w:val="BodyText"/>
                            <w:spacing w:before="0"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4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3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s/M2M4AAAAA0BAAAPAAAAZHJzL2Rvd25yZXYueG1sTI/BTsMwDIbvSLxDZCRuLFkF2ShNpwnB&#10;CQnRlQPHtMnaaI1Tmmwrb493gqP9f/r9udjMfmAnO0UXUMFyIYBZbINx2Cn4rF/v1sBi0mj0ENAq&#10;+LERNuX1VaFzE85Y2dMudYxKMOZaQZ/SmHMe2956HRdhtEjZPkxeJxqnjptJn6ncDzwTQnKvHdKF&#10;Xo/2ubftYXf0CrZfWL247/fmo9pXrq4fBb7Jg1K3N/P2CViyc/qD4aJP6lCSUxOOaCIbFEiRPRBK&#10;wb0UEhghMluugDWX1VqugJcF//9F+Qs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As&#10;/M2M4AAAAA0BAAAPAAAAAAAAAAAAAAAAAC8EAABkcnMvZG93bnJldi54bWxQSwUGAAAAAAQABADz&#10;AAAAPAUAAAAA&#10;" filled="f" stroked="f">
              <v:textbox inset="0,0,0,0">
                <w:txbxContent>
                  <w:p w14:paraId="6621464A" w14:textId="77777777" w:rsidR="001C4CDB" w:rsidRDefault="00BB67C8">
                    <w:pPr>
                      <w:pStyle w:val="BodyText"/>
                      <w:spacing w:before="0"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1223" w14:textId="77777777" w:rsidR="00BB67C8" w:rsidRDefault="00BB67C8">
      <w:r>
        <w:separator/>
      </w:r>
    </w:p>
  </w:footnote>
  <w:footnote w:type="continuationSeparator" w:id="0">
    <w:p w14:paraId="38A4BFBC" w14:textId="77777777" w:rsidR="00BB67C8" w:rsidRDefault="00BB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506E1"/>
    <w:multiLevelType w:val="hybridMultilevel"/>
    <w:tmpl w:val="CFF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E7DD3"/>
    <w:multiLevelType w:val="hybridMultilevel"/>
    <w:tmpl w:val="98D4923E"/>
    <w:lvl w:ilvl="0" w:tplc="C7A0EFF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E990E046">
      <w:start w:val="1"/>
      <w:numFmt w:val="bullet"/>
      <w:lvlText w:val="o"/>
      <w:lvlJc w:val="left"/>
      <w:pPr>
        <w:ind w:left="1540" w:hanging="361"/>
      </w:pPr>
      <w:rPr>
        <w:rFonts w:ascii="Courier New" w:eastAsia="Courier New" w:hAnsi="Courier New" w:hint="default"/>
        <w:sz w:val="22"/>
        <w:szCs w:val="22"/>
      </w:rPr>
    </w:lvl>
    <w:lvl w:ilvl="2" w:tplc="5CC8D34A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601A189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4" w:tplc="B8041E96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5" w:tplc="B0D08BD6">
      <w:start w:val="1"/>
      <w:numFmt w:val="bullet"/>
      <w:lvlText w:val="•"/>
      <w:lvlJc w:val="left"/>
      <w:pPr>
        <w:ind w:left="4510" w:hanging="361"/>
      </w:pPr>
      <w:rPr>
        <w:rFonts w:hint="default"/>
      </w:rPr>
    </w:lvl>
    <w:lvl w:ilvl="6" w:tplc="3910A01A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7" w:tplc="9424CCFA">
      <w:start w:val="1"/>
      <w:numFmt w:val="bullet"/>
      <w:lvlText w:val="•"/>
      <w:lvlJc w:val="left"/>
      <w:pPr>
        <w:ind w:left="6490" w:hanging="361"/>
      </w:pPr>
      <w:rPr>
        <w:rFonts w:hint="default"/>
      </w:rPr>
    </w:lvl>
    <w:lvl w:ilvl="8" w:tplc="3A880330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</w:abstractNum>
  <w:num w:numId="1" w16cid:durableId="246503025">
    <w:abstractNumId w:val="1"/>
  </w:num>
  <w:num w:numId="2" w16cid:durableId="100875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B"/>
    <w:rsid w:val="001C4CDB"/>
    <w:rsid w:val="00383F89"/>
    <w:rsid w:val="005E18F4"/>
    <w:rsid w:val="006860D7"/>
    <w:rsid w:val="006A3A07"/>
    <w:rsid w:val="00725047"/>
    <w:rsid w:val="007E7239"/>
    <w:rsid w:val="009026EF"/>
    <w:rsid w:val="00986E02"/>
    <w:rsid w:val="00A3657F"/>
    <w:rsid w:val="00A71F69"/>
    <w:rsid w:val="00B60AC8"/>
    <w:rsid w:val="00BB67C8"/>
    <w:rsid w:val="00D943F6"/>
    <w:rsid w:val="00E51373"/>
    <w:rsid w:val="00E94089"/>
    <w:rsid w:val="00F86EC5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984503"/>
  <w15:docId w15:val="{ACFA3E5F-DCA1-453E-80B9-6A9ECCE2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44" w:hanging="3"/>
      <w:outlineLvl w:val="0"/>
    </w:pPr>
    <w:rPr>
      <w:rFonts w:ascii="Calibri" w:eastAsia="Calibri" w:hAnsi="Calibri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59"/>
      <w:ind w:left="120"/>
      <w:outlineLvl w:val="1"/>
    </w:pPr>
    <w:rPr>
      <w:rFonts w:ascii="Calibri Light" w:eastAsia="Calibri Light" w:hAnsi="Calibri Light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"/>
      <w:ind w:left="15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72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F6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Strutner, Maddy</dc:creator>
  <cp:lastModifiedBy>James Rekowski</cp:lastModifiedBy>
  <cp:revision>7</cp:revision>
  <dcterms:created xsi:type="dcterms:W3CDTF">2024-02-01T16:19:00Z</dcterms:created>
  <dcterms:modified xsi:type="dcterms:W3CDTF">2025-05-06T21:34:00Z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2024-02-01T00:00:00Z</vt:filetime>
  </property>
</Properties>
</file>