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E7C" w:rsidRDefault="00333750" w:rsidP="00BE1E7C">
      <w:r>
        <w:t xml:space="preserve">This document provides a summary of the key changes between </w:t>
      </w:r>
      <w:r w:rsidR="003A215D">
        <w:t>Moreno Valley Utility</w:t>
      </w:r>
      <w:r>
        <w:t>’s</w:t>
      </w:r>
      <w:r w:rsidR="00557023">
        <w:t xml:space="preserve"> </w:t>
      </w:r>
      <w:r w:rsidR="003A215D">
        <w:t xml:space="preserve">(MVU) </w:t>
      </w:r>
      <w:r w:rsidR="00557023">
        <w:t>current</w:t>
      </w:r>
      <w:r w:rsidR="00BE1E7C">
        <w:t xml:space="preserve"> </w:t>
      </w:r>
      <w:r>
        <w:t>Wildfire Mitigation Plan</w:t>
      </w:r>
      <w:r w:rsidR="001D51A7">
        <w:t xml:space="preserve"> (WMP)</w:t>
      </w:r>
      <w:r w:rsidR="00BE1E7C">
        <w:t xml:space="preserve"> (dated </w:t>
      </w:r>
      <w:r w:rsidR="004671A2">
        <w:t>February 2</w:t>
      </w:r>
      <w:r w:rsidR="00BE1E7C">
        <w:t>, 2021),</w:t>
      </w:r>
      <w:r>
        <w:t xml:space="preserve"> and </w:t>
      </w:r>
      <w:r w:rsidR="003A215D">
        <w:t>Moreno Valley Utility</w:t>
      </w:r>
      <w:r>
        <w:t xml:space="preserve">’s </w:t>
      </w:r>
      <w:r w:rsidR="00BE1E7C">
        <w:t>prior</w:t>
      </w:r>
      <w:r>
        <w:t xml:space="preserve"> </w:t>
      </w:r>
      <w:r w:rsidR="00BE1E7C">
        <w:t xml:space="preserve">Wildfire Mitigation Plan (dated </w:t>
      </w:r>
      <w:r w:rsidR="00CE3D05">
        <w:t>October 15, 2019</w:t>
      </w:r>
      <w:r w:rsidR="00BE1E7C">
        <w:t xml:space="preserve">).  </w:t>
      </w:r>
      <w:r w:rsidR="00557023">
        <w:t>As part of</w:t>
      </w:r>
      <w:r w:rsidR="00BE1E7C">
        <w:t xml:space="preserve"> </w:t>
      </w:r>
      <w:r w:rsidR="00557023">
        <w:t xml:space="preserve">its </w:t>
      </w:r>
      <w:r w:rsidR="00BE1E7C">
        <w:t>2021</w:t>
      </w:r>
      <w:r w:rsidR="00557023">
        <w:t xml:space="preserve"> submission to </w:t>
      </w:r>
      <w:r w:rsidR="00BE1E7C">
        <w:t>the Wildfire Safety Advisory Board (WSAB)</w:t>
      </w:r>
      <w:r w:rsidR="00557023">
        <w:t xml:space="preserve">, </w:t>
      </w:r>
      <w:r w:rsidR="003A215D">
        <w:t>MVU</w:t>
      </w:r>
      <w:r w:rsidR="00BE1E7C">
        <w:t xml:space="preserve"> </w:t>
      </w:r>
      <w:r w:rsidR="00557023">
        <w:t xml:space="preserve">provided </w:t>
      </w:r>
      <w:r w:rsidR="00BE1E7C">
        <w:t xml:space="preserve">an </w:t>
      </w:r>
      <w:r w:rsidR="00BE1E7C" w:rsidRPr="001D51A7">
        <w:t xml:space="preserve">Informational Response </w:t>
      </w:r>
      <w:r w:rsidR="00557023">
        <w:t>d</w:t>
      </w:r>
      <w:r w:rsidR="00BE1E7C" w:rsidRPr="001D51A7">
        <w:t xml:space="preserve">ocument, which responded to each of the recommendations </w:t>
      </w:r>
      <w:r w:rsidR="00557023">
        <w:t>made by the</w:t>
      </w:r>
      <w:r w:rsidR="00BE1E7C" w:rsidRPr="001D51A7">
        <w:t xml:space="preserve"> WSAB</w:t>
      </w:r>
      <w:r w:rsidR="001D51A7" w:rsidRPr="001D51A7">
        <w:t xml:space="preserve"> in the </w:t>
      </w:r>
      <w:r w:rsidR="00BE1E7C" w:rsidRPr="001D51A7">
        <w:rPr>
          <w:i/>
          <w:iCs/>
        </w:rPr>
        <w:t>Guidance Advisory Opinion for the 2021 Wildfire Mitigation Plans of Electric Publicly Owned Utilities and Cooperatives</w:t>
      </w:r>
      <w:r w:rsidR="00BE1E7C" w:rsidRPr="001D51A7">
        <w:t xml:space="preserve">. </w:t>
      </w:r>
      <w:r w:rsidR="001D51A7">
        <w:t xml:space="preserve"> </w:t>
      </w:r>
      <w:r w:rsidR="00BE1E7C" w:rsidRPr="001D51A7">
        <w:t xml:space="preserve"> </w:t>
      </w:r>
    </w:p>
    <w:p w:rsidR="00A21D91" w:rsidRDefault="00A21D91" w:rsidP="00BE1E7C"/>
    <w:p w:rsidR="00A21D91" w:rsidRDefault="00A21D91" w:rsidP="00BE1E7C">
      <w:r>
        <w:t xml:space="preserve">This document is intended to simplify the process of reviewing </w:t>
      </w:r>
      <w:r w:rsidR="003A215D">
        <w:t>MVU</w:t>
      </w:r>
      <w:r>
        <w:t xml:space="preserve">’s current WMP, but does not represent a comprehensive identification of every single update to </w:t>
      </w:r>
      <w:r w:rsidR="003A215D">
        <w:t>MVU</w:t>
      </w:r>
      <w:r>
        <w:t xml:space="preserve">’s WMP.  Further, this summary is not part of or a supplement to </w:t>
      </w:r>
      <w:r w:rsidR="003A215D">
        <w:t>MVU</w:t>
      </w:r>
      <w:r>
        <w:t xml:space="preserve">’s WMP.  Therefore, </w:t>
      </w:r>
      <w:r w:rsidR="00E063ED">
        <w:t>a</w:t>
      </w:r>
      <w:r>
        <w:t xml:space="preserve"> full review</w:t>
      </w:r>
      <w:bookmarkStart w:id="0" w:name="_GoBack"/>
      <w:bookmarkEnd w:id="0"/>
      <w:r>
        <w:t xml:space="preserve"> </w:t>
      </w:r>
      <w:r w:rsidR="001D4D40">
        <w:t xml:space="preserve">of </w:t>
      </w:r>
      <w:r w:rsidR="003A215D">
        <w:t>MVU</w:t>
      </w:r>
      <w:r>
        <w:t xml:space="preserve">’s wildfire mitigation efforts should be based on the actual WMP and Informational Response documents. </w:t>
      </w:r>
    </w:p>
    <w:p w:rsidR="001D51A7" w:rsidRDefault="001D51A7" w:rsidP="00BE1E7C"/>
    <w:p w:rsidR="001D51A7" w:rsidRPr="001D51A7" w:rsidRDefault="00557023" w:rsidP="001D51A7">
      <w:pPr>
        <w:pStyle w:val="ListParagraph"/>
        <w:numPr>
          <w:ilvl w:val="0"/>
          <w:numId w:val="1"/>
        </w:numPr>
        <w:ind w:left="360"/>
        <w:rPr>
          <w:b/>
          <w:bCs/>
          <w:color w:val="212121"/>
          <w:u w:val="single"/>
        </w:rPr>
      </w:pPr>
      <w:r>
        <w:rPr>
          <w:b/>
          <w:bCs/>
          <w:color w:val="212121"/>
          <w:u w:val="single"/>
        </w:rPr>
        <w:t xml:space="preserve">WMP </w:t>
      </w:r>
      <w:r w:rsidR="001D51A7" w:rsidRPr="001D51A7">
        <w:rPr>
          <w:b/>
          <w:bCs/>
          <w:color w:val="212121"/>
          <w:u w:val="single"/>
        </w:rPr>
        <w:t>Metrics</w:t>
      </w:r>
      <w:r w:rsidR="001D51A7">
        <w:rPr>
          <w:b/>
          <w:bCs/>
          <w:color w:val="212121"/>
          <w:u w:val="single"/>
        </w:rPr>
        <w:t xml:space="preserve"> and Performance</w:t>
      </w:r>
    </w:p>
    <w:p w:rsidR="00BE1E7C" w:rsidRPr="00333750" w:rsidRDefault="00BE1E7C" w:rsidP="00333750"/>
    <w:p w:rsidR="00074DD0" w:rsidRDefault="001D51A7" w:rsidP="00074DD0">
      <w:r>
        <w:t>As describe</w:t>
      </w:r>
      <w:r w:rsidR="00557023">
        <w:t>d</w:t>
      </w:r>
      <w:r>
        <w:t xml:space="preserve"> in section </w:t>
      </w:r>
      <w:r w:rsidRPr="006B5958">
        <w:t>VII</w:t>
      </w:r>
      <w:r w:rsidR="00557023" w:rsidRPr="006B5958">
        <w:t>I</w:t>
      </w:r>
      <w:r>
        <w:t xml:space="preserve"> </w:t>
      </w:r>
      <w:r w:rsidR="00557023">
        <w:t xml:space="preserve">of </w:t>
      </w:r>
      <w:r w:rsidR="00C17DF1">
        <w:t>MVU</w:t>
      </w:r>
      <w:r w:rsidR="00557023">
        <w:t xml:space="preserve">’s WMP, </w:t>
      </w:r>
      <w:r w:rsidR="00C17DF1">
        <w:t>MVU</w:t>
      </w:r>
      <w:r w:rsidR="00557023">
        <w:t xml:space="preserve"> measures the performance of its WMP b</w:t>
      </w:r>
      <w:r w:rsidR="006B5958">
        <w:t>y tracking the following metric</w:t>
      </w:r>
      <w:r w:rsidR="00557023">
        <w:t xml:space="preserve">: </w:t>
      </w:r>
      <w:r w:rsidR="006B5958" w:rsidRPr="006B5958">
        <w:t>(1) fire ignitions</w:t>
      </w:r>
      <w:r w:rsidR="00557023">
        <w:t xml:space="preserve">.  </w:t>
      </w:r>
      <w:r w:rsidR="00C17DF1" w:rsidRPr="006B5958">
        <w:t>MVU</w:t>
      </w:r>
      <w:r w:rsidR="006B5958" w:rsidRPr="006B5958">
        <w:t xml:space="preserve"> made no changes to the metric</w:t>
      </w:r>
      <w:r w:rsidR="00557023" w:rsidRPr="006B5958">
        <w:t xml:space="preserve"> for its current WMP</w:t>
      </w:r>
      <w:r w:rsidR="00557023">
        <w:t xml:space="preserve">. The following table provides the data for these metrics through </w:t>
      </w:r>
      <w:r w:rsidR="00557023" w:rsidRPr="006B5958">
        <w:t>the end of calendar year 2020</w:t>
      </w:r>
      <w:r w:rsidR="00557023">
        <w:t>:</w:t>
      </w:r>
    </w:p>
    <w:p w:rsidR="00557023" w:rsidRDefault="00557023" w:rsidP="00074DD0"/>
    <w:p w:rsidR="003D2665" w:rsidRPr="003D2665" w:rsidRDefault="003D2665" w:rsidP="003D2665">
      <w:pPr>
        <w:kinsoku w:val="0"/>
        <w:overflowPunct w:val="0"/>
        <w:autoSpaceDE w:val="0"/>
        <w:autoSpaceDN w:val="0"/>
        <w:adjustRightInd w:val="0"/>
        <w:spacing w:after="1"/>
        <w:rPr>
          <w:rFonts w:eastAsiaTheme="minorHAnsi"/>
          <w:sz w:val="10"/>
          <w:szCs w:val="10"/>
        </w:rPr>
      </w:pPr>
      <w:bookmarkStart w:id="1" w:name="B._Impact_of_Metrics_on_Plan"/>
      <w:bookmarkStart w:id="2" w:name="C._Monitoring_and_Auditing_the_Plan"/>
      <w:bookmarkStart w:id="3" w:name="D._Identifying_and_Correcting_Deficienci"/>
      <w:bookmarkStart w:id="4" w:name="E._Monitoring_the_Effectiveness_of_Inspe"/>
      <w:bookmarkStart w:id="5" w:name="_bookmark3"/>
      <w:bookmarkStart w:id="6" w:name="_bookmark2"/>
      <w:bookmarkStart w:id="7" w:name="_bookmark1"/>
      <w:bookmarkStart w:id="8" w:name="_bookmark0"/>
      <w:bookmarkEnd w:id="1"/>
      <w:bookmarkEnd w:id="2"/>
      <w:bookmarkEnd w:id="3"/>
      <w:bookmarkEnd w:id="4"/>
      <w:bookmarkEnd w:id="5"/>
      <w:bookmarkEnd w:id="6"/>
      <w:bookmarkEnd w:id="7"/>
      <w:bookmarkEnd w:id="8"/>
    </w:p>
    <w:tbl>
      <w:tblPr>
        <w:tblW w:w="0" w:type="auto"/>
        <w:tblInd w:w="100" w:type="dxa"/>
        <w:tblLayout w:type="fixed"/>
        <w:tblCellMar>
          <w:left w:w="0" w:type="dxa"/>
          <w:right w:w="0" w:type="dxa"/>
        </w:tblCellMar>
        <w:tblLook w:val="0000" w:firstRow="0" w:lastRow="0" w:firstColumn="0" w:lastColumn="0" w:noHBand="0" w:noVBand="0"/>
      </w:tblPr>
      <w:tblGrid>
        <w:gridCol w:w="1730"/>
        <w:gridCol w:w="8381"/>
      </w:tblGrid>
      <w:tr w:rsidR="003D2665" w:rsidRPr="003D2665">
        <w:trPr>
          <w:trHeight w:val="270"/>
        </w:trPr>
        <w:tc>
          <w:tcPr>
            <w:tcW w:w="1730" w:type="dxa"/>
            <w:tcBorders>
              <w:top w:val="single" w:sz="8" w:space="0" w:color="A6A6A6"/>
              <w:left w:val="single" w:sz="8" w:space="0" w:color="A6A6A6"/>
              <w:bottom w:val="none" w:sz="6" w:space="0" w:color="auto"/>
              <w:right w:val="none" w:sz="6" w:space="0" w:color="auto"/>
            </w:tcBorders>
            <w:shd w:val="clear" w:color="auto" w:fill="B4C6E7"/>
          </w:tcPr>
          <w:p w:rsidR="003D2665" w:rsidRPr="003D2665" w:rsidRDefault="003D2665" w:rsidP="003D2665">
            <w:pPr>
              <w:kinsoku w:val="0"/>
              <w:overflowPunct w:val="0"/>
              <w:autoSpaceDE w:val="0"/>
              <w:autoSpaceDN w:val="0"/>
              <w:adjustRightInd w:val="0"/>
              <w:spacing w:before="1" w:line="249" w:lineRule="exact"/>
              <w:ind w:left="107"/>
              <w:rPr>
                <w:rFonts w:ascii="Calibri" w:eastAsiaTheme="minorHAnsi" w:hAnsi="Calibri" w:cs="Calibri"/>
                <w:b/>
                <w:bCs/>
                <w:color w:val="FFFFFF"/>
                <w:sz w:val="22"/>
                <w:szCs w:val="22"/>
              </w:rPr>
            </w:pPr>
            <w:r w:rsidRPr="003D2665">
              <w:rPr>
                <w:rFonts w:ascii="Calibri" w:eastAsiaTheme="minorHAnsi" w:hAnsi="Calibri" w:cs="Calibri"/>
                <w:b/>
                <w:bCs/>
                <w:color w:val="FFFFFF"/>
                <w:sz w:val="22"/>
                <w:szCs w:val="22"/>
              </w:rPr>
              <w:t>Reporting</w:t>
            </w:r>
            <w:r w:rsidRPr="003D2665">
              <w:rPr>
                <w:rFonts w:ascii="Calibri" w:eastAsiaTheme="minorHAnsi" w:hAnsi="Calibri" w:cs="Calibri"/>
                <w:b/>
                <w:bCs/>
                <w:color w:val="FFFFFF"/>
                <w:spacing w:val="-2"/>
                <w:sz w:val="22"/>
                <w:szCs w:val="22"/>
              </w:rPr>
              <w:t xml:space="preserve"> </w:t>
            </w:r>
            <w:r w:rsidRPr="003D2665">
              <w:rPr>
                <w:rFonts w:ascii="Calibri" w:eastAsiaTheme="minorHAnsi" w:hAnsi="Calibri" w:cs="Calibri"/>
                <w:b/>
                <w:bCs/>
                <w:color w:val="FFFFFF"/>
                <w:sz w:val="22"/>
                <w:szCs w:val="22"/>
              </w:rPr>
              <w:t>Year</w:t>
            </w:r>
          </w:p>
        </w:tc>
        <w:tc>
          <w:tcPr>
            <w:tcW w:w="8381" w:type="dxa"/>
            <w:tcBorders>
              <w:top w:val="single" w:sz="8" w:space="0" w:color="A6A6A6"/>
              <w:left w:val="none" w:sz="6" w:space="0" w:color="auto"/>
              <w:bottom w:val="none" w:sz="6" w:space="0" w:color="auto"/>
              <w:right w:val="single" w:sz="8" w:space="0" w:color="A6A6A6"/>
            </w:tcBorders>
            <w:shd w:val="clear" w:color="auto" w:fill="B4C6E7"/>
          </w:tcPr>
          <w:p w:rsidR="003D2665" w:rsidRPr="003D2665" w:rsidRDefault="003D2665" w:rsidP="003D2665">
            <w:pPr>
              <w:kinsoku w:val="0"/>
              <w:overflowPunct w:val="0"/>
              <w:autoSpaceDE w:val="0"/>
              <w:autoSpaceDN w:val="0"/>
              <w:adjustRightInd w:val="0"/>
              <w:spacing w:before="1" w:line="249" w:lineRule="exact"/>
              <w:ind w:left="256"/>
              <w:rPr>
                <w:rFonts w:ascii="Calibri" w:eastAsiaTheme="minorHAnsi" w:hAnsi="Calibri" w:cs="Calibri"/>
                <w:b/>
                <w:bCs/>
                <w:color w:val="FFFFFF"/>
                <w:sz w:val="22"/>
                <w:szCs w:val="22"/>
              </w:rPr>
            </w:pPr>
            <w:r w:rsidRPr="003D2665">
              <w:rPr>
                <w:rFonts w:ascii="Calibri" w:eastAsiaTheme="minorHAnsi" w:hAnsi="Calibri" w:cs="Calibri"/>
                <w:b/>
                <w:bCs/>
                <w:color w:val="FFFFFF"/>
                <w:sz w:val="22"/>
                <w:szCs w:val="22"/>
              </w:rPr>
              <w:t>Fire</w:t>
            </w:r>
            <w:r w:rsidRPr="003D2665">
              <w:rPr>
                <w:rFonts w:ascii="Calibri" w:eastAsiaTheme="minorHAnsi" w:hAnsi="Calibri" w:cs="Calibri"/>
                <w:b/>
                <w:bCs/>
                <w:color w:val="FFFFFF"/>
                <w:spacing w:val="-4"/>
                <w:sz w:val="22"/>
                <w:szCs w:val="22"/>
              </w:rPr>
              <w:t xml:space="preserve"> </w:t>
            </w:r>
            <w:r w:rsidRPr="003D2665">
              <w:rPr>
                <w:rFonts w:ascii="Calibri" w:eastAsiaTheme="minorHAnsi" w:hAnsi="Calibri" w:cs="Calibri"/>
                <w:b/>
                <w:bCs/>
                <w:color w:val="FFFFFF"/>
                <w:sz w:val="22"/>
                <w:szCs w:val="22"/>
              </w:rPr>
              <w:t>Ignitions</w:t>
            </w:r>
          </w:p>
        </w:tc>
      </w:tr>
      <w:tr w:rsidR="003D2665" w:rsidRPr="003D2665">
        <w:trPr>
          <w:trHeight w:val="286"/>
        </w:trPr>
        <w:tc>
          <w:tcPr>
            <w:tcW w:w="1730" w:type="dxa"/>
            <w:tcBorders>
              <w:top w:val="none" w:sz="6" w:space="0" w:color="auto"/>
              <w:left w:val="single" w:sz="8" w:space="0" w:color="A6A6A6"/>
              <w:bottom w:val="none" w:sz="6" w:space="0" w:color="auto"/>
              <w:right w:val="none" w:sz="6" w:space="0" w:color="auto"/>
            </w:tcBorders>
          </w:tcPr>
          <w:p w:rsidR="003D2665" w:rsidRPr="003D2665" w:rsidRDefault="003D2665" w:rsidP="003D2665">
            <w:pPr>
              <w:kinsoku w:val="0"/>
              <w:overflowPunct w:val="0"/>
              <w:autoSpaceDE w:val="0"/>
              <w:autoSpaceDN w:val="0"/>
              <w:adjustRightInd w:val="0"/>
              <w:spacing w:line="267" w:lineRule="exact"/>
              <w:ind w:left="107"/>
              <w:rPr>
                <w:rFonts w:ascii="Calibri" w:eastAsiaTheme="minorHAnsi" w:hAnsi="Calibri" w:cs="Calibri"/>
                <w:sz w:val="22"/>
                <w:szCs w:val="22"/>
              </w:rPr>
            </w:pPr>
            <w:r w:rsidRPr="003D2665">
              <w:rPr>
                <w:rFonts w:ascii="Calibri" w:eastAsiaTheme="minorHAnsi" w:hAnsi="Calibri" w:cs="Calibri"/>
                <w:sz w:val="22"/>
                <w:szCs w:val="22"/>
              </w:rPr>
              <w:t>2020</w:t>
            </w:r>
          </w:p>
        </w:tc>
        <w:tc>
          <w:tcPr>
            <w:tcW w:w="8381" w:type="dxa"/>
            <w:tcBorders>
              <w:top w:val="none" w:sz="6" w:space="0" w:color="auto"/>
              <w:left w:val="none" w:sz="6" w:space="0" w:color="auto"/>
              <w:bottom w:val="none" w:sz="6" w:space="0" w:color="auto"/>
              <w:right w:val="single" w:sz="8" w:space="0" w:color="A6A6A6"/>
            </w:tcBorders>
          </w:tcPr>
          <w:p w:rsidR="003D2665" w:rsidRPr="003D2665" w:rsidRDefault="003D2665" w:rsidP="003D2665">
            <w:pPr>
              <w:kinsoku w:val="0"/>
              <w:overflowPunct w:val="0"/>
              <w:autoSpaceDE w:val="0"/>
              <w:autoSpaceDN w:val="0"/>
              <w:adjustRightInd w:val="0"/>
              <w:spacing w:line="267" w:lineRule="exact"/>
              <w:ind w:left="256"/>
              <w:rPr>
                <w:rFonts w:ascii="Calibri" w:eastAsiaTheme="minorHAnsi" w:hAnsi="Calibri" w:cs="Calibri"/>
                <w:sz w:val="22"/>
                <w:szCs w:val="22"/>
              </w:rPr>
            </w:pPr>
            <w:r w:rsidRPr="003D2665">
              <w:rPr>
                <w:rFonts w:ascii="Calibri" w:eastAsiaTheme="minorHAnsi" w:hAnsi="Calibri" w:cs="Calibri"/>
                <w:sz w:val="22"/>
                <w:szCs w:val="22"/>
              </w:rPr>
              <w:t>0</w:t>
            </w:r>
          </w:p>
        </w:tc>
      </w:tr>
      <w:tr w:rsidR="003D2665" w:rsidRPr="003D2665">
        <w:trPr>
          <w:trHeight w:val="519"/>
        </w:trPr>
        <w:tc>
          <w:tcPr>
            <w:tcW w:w="1730" w:type="dxa"/>
            <w:tcBorders>
              <w:top w:val="none" w:sz="6" w:space="0" w:color="auto"/>
              <w:left w:val="single" w:sz="8" w:space="0" w:color="A6A6A6"/>
              <w:bottom w:val="single" w:sz="8" w:space="0" w:color="A6A6A6"/>
              <w:right w:val="none" w:sz="6" w:space="0" w:color="auto"/>
            </w:tcBorders>
          </w:tcPr>
          <w:p w:rsidR="003D2665" w:rsidRPr="003D2665" w:rsidRDefault="003D2665" w:rsidP="003D2665">
            <w:pPr>
              <w:kinsoku w:val="0"/>
              <w:overflowPunct w:val="0"/>
              <w:autoSpaceDE w:val="0"/>
              <w:autoSpaceDN w:val="0"/>
              <w:adjustRightInd w:val="0"/>
              <w:spacing w:line="247" w:lineRule="exact"/>
              <w:ind w:left="107"/>
              <w:rPr>
                <w:rFonts w:ascii="Calibri" w:eastAsiaTheme="minorHAnsi" w:hAnsi="Calibri" w:cs="Calibri"/>
                <w:sz w:val="22"/>
                <w:szCs w:val="22"/>
              </w:rPr>
            </w:pPr>
            <w:r w:rsidRPr="003D2665">
              <w:rPr>
                <w:rFonts w:ascii="Calibri" w:eastAsiaTheme="minorHAnsi" w:hAnsi="Calibri" w:cs="Calibri"/>
                <w:sz w:val="22"/>
                <w:szCs w:val="22"/>
              </w:rPr>
              <w:t>2019</w:t>
            </w:r>
          </w:p>
        </w:tc>
        <w:tc>
          <w:tcPr>
            <w:tcW w:w="8381" w:type="dxa"/>
            <w:tcBorders>
              <w:top w:val="none" w:sz="6" w:space="0" w:color="auto"/>
              <w:left w:val="none" w:sz="6" w:space="0" w:color="auto"/>
              <w:bottom w:val="single" w:sz="8" w:space="0" w:color="A6A6A6"/>
              <w:right w:val="single" w:sz="8" w:space="0" w:color="A6A6A6"/>
            </w:tcBorders>
          </w:tcPr>
          <w:p w:rsidR="003D2665" w:rsidRPr="003D2665" w:rsidRDefault="003D2665" w:rsidP="003D2665">
            <w:pPr>
              <w:kinsoku w:val="0"/>
              <w:overflowPunct w:val="0"/>
              <w:autoSpaceDE w:val="0"/>
              <w:autoSpaceDN w:val="0"/>
              <w:adjustRightInd w:val="0"/>
              <w:spacing w:line="247" w:lineRule="exact"/>
              <w:ind w:left="256"/>
              <w:rPr>
                <w:rFonts w:ascii="Calibri" w:eastAsiaTheme="minorHAnsi" w:hAnsi="Calibri" w:cs="Calibri"/>
                <w:sz w:val="22"/>
                <w:szCs w:val="22"/>
              </w:rPr>
            </w:pPr>
            <w:r w:rsidRPr="003D2665">
              <w:rPr>
                <w:rFonts w:ascii="Calibri" w:eastAsiaTheme="minorHAnsi" w:hAnsi="Calibri" w:cs="Calibri"/>
                <w:sz w:val="22"/>
                <w:szCs w:val="22"/>
              </w:rPr>
              <w:t>0</w:t>
            </w:r>
          </w:p>
        </w:tc>
      </w:tr>
    </w:tbl>
    <w:p w:rsidR="00557023" w:rsidRDefault="003D2665" w:rsidP="00557023">
      <w:pPr>
        <w:jc w:val="center"/>
      </w:pPr>
      <w:r>
        <w:t xml:space="preserve"> </w:t>
      </w:r>
    </w:p>
    <w:p w:rsidR="00557023" w:rsidRDefault="00557023" w:rsidP="00557023"/>
    <w:p w:rsidR="00557023" w:rsidRDefault="00557023" w:rsidP="00557023">
      <w:pPr>
        <w:pStyle w:val="ListParagraph"/>
        <w:numPr>
          <w:ilvl w:val="0"/>
          <w:numId w:val="1"/>
        </w:numPr>
        <w:ind w:left="360"/>
        <w:rPr>
          <w:b/>
          <w:bCs/>
          <w:u w:val="single"/>
        </w:rPr>
      </w:pPr>
      <w:r w:rsidRPr="00557023">
        <w:rPr>
          <w:b/>
          <w:bCs/>
          <w:u w:val="single"/>
        </w:rPr>
        <w:t>Public Safety Power Shutoffs</w:t>
      </w:r>
      <w:r>
        <w:rPr>
          <w:b/>
          <w:bCs/>
          <w:u w:val="single"/>
        </w:rPr>
        <w:t xml:space="preserve"> (PSPS)</w:t>
      </w:r>
    </w:p>
    <w:p w:rsidR="00557023" w:rsidRDefault="00557023" w:rsidP="00557023">
      <w:pPr>
        <w:pStyle w:val="ListParagraph"/>
        <w:ind w:left="360"/>
        <w:rPr>
          <w:b/>
          <w:bCs/>
          <w:u w:val="single"/>
        </w:rPr>
      </w:pPr>
    </w:p>
    <w:p w:rsidR="00557023" w:rsidRPr="00557023" w:rsidRDefault="00557023" w:rsidP="00557023">
      <w:pPr>
        <w:pStyle w:val="ListParagraph"/>
        <w:numPr>
          <w:ilvl w:val="1"/>
          <w:numId w:val="1"/>
        </w:numPr>
        <w:rPr>
          <w:b/>
          <w:bCs/>
          <w:u w:val="single"/>
        </w:rPr>
      </w:pPr>
      <w:r>
        <w:rPr>
          <w:b/>
          <w:bCs/>
          <w:i/>
          <w:iCs/>
        </w:rPr>
        <w:t>POU-Initiated PSPS Protocols</w:t>
      </w:r>
    </w:p>
    <w:p w:rsidR="00557023" w:rsidRDefault="00557023" w:rsidP="00557023">
      <w:pPr>
        <w:rPr>
          <w:b/>
          <w:bCs/>
          <w:u w:val="single"/>
        </w:rPr>
      </w:pPr>
    </w:p>
    <w:p w:rsidR="00557023" w:rsidRPr="00557023" w:rsidRDefault="00707996" w:rsidP="00557023">
      <w:r>
        <w:t>N/A</w:t>
      </w:r>
    </w:p>
    <w:p w:rsidR="00557023" w:rsidRPr="00557023" w:rsidRDefault="00557023" w:rsidP="00557023">
      <w:pPr>
        <w:rPr>
          <w:b/>
          <w:bCs/>
          <w:u w:val="single"/>
        </w:rPr>
      </w:pPr>
    </w:p>
    <w:p w:rsidR="00557023" w:rsidRPr="00557023" w:rsidRDefault="00557023" w:rsidP="00557023">
      <w:pPr>
        <w:pStyle w:val="ListParagraph"/>
        <w:numPr>
          <w:ilvl w:val="1"/>
          <w:numId w:val="1"/>
        </w:numPr>
        <w:rPr>
          <w:b/>
          <w:bCs/>
          <w:u w:val="single"/>
        </w:rPr>
      </w:pPr>
      <w:r>
        <w:rPr>
          <w:b/>
          <w:bCs/>
          <w:i/>
          <w:iCs/>
        </w:rPr>
        <w:t>Impacts of IOU-Initiated PSPS Events</w:t>
      </w:r>
    </w:p>
    <w:p w:rsidR="00557023" w:rsidRDefault="00557023" w:rsidP="00557023">
      <w:pPr>
        <w:rPr>
          <w:b/>
          <w:bCs/>
          <w:u w:val="single"/>
        </w:rPr>
      </w:pPr>
    </w:p>
    <w:p w:rsidR="00557023" w:rsidRDefault="00707996" w:rsidP="00557023">
      <w:r w:rsidRPr="00707996">
        <w:t>MVU is impacted by Southern California Edison (SCE) Public Safety Power Shutoff (PSPS) events. MVU receives advanced notification from SCE when impacted circuits are being monitored against weather projections for a potential PSPS</w:t>
      </w:r>
      <w:r>
        <w:t xml:space="preserve"> </w:t>
      </w:r>
      <w:r w:rsidRPr="00707996">
        <w:t>event. SCE provides the names of circuits being monitored as well as the impacted City accounts, along with the projected period of concern for the PSPS event. As the situation develops, MVU receives updated data from SCE on weather, circuits and accounts being monitored, and if a PSPS is triggered. MVU monitors the SCE status reports and stages mitigation assets appropriately in advance of a SCE triggered PSPS event. If the PSPS event affects any MVU facilities, MVU customers are notified as early as possible of pending power shutoffs.</w:t>
      </w:r>
    </w:p>
    <w:p w:rsidR="00707996" w:rsidRPr="00557023" w:rsidRDefault="00707996" w:rsidP="00557023">
      <w:pPr>
        <w:rPr>
          <w:b/>
          <w:bCs/>
          <w:u w:val="single"/>
        </w:rPr>
      </w:pPr>
    </w:p>
    <w:p w:rsidR="00557023" w:rsidRPr="00557023" w:rsidRDefault="00557023" w:rsidP="00557023">
      <w:pPr>
        <w:pStyle w:val="ListParagraph"/>
        <w:numPr>
          <w:ilvl w:val="1"/>
          <w:numId w:val="1"/>
        </w:numPr>
        <w:rPr>
          <w:b/>
          <w:bCs/>
          <w:u w:val="single"/>
        </w:rPr>
      </w:pPr>
      <w:r>
        <w:rPr>
          <w:b/>
          <w:bCs/>
          <w:i/>
          <w:iCs/>
        </w:rPr>
        <w:t>Customer Communication Protocols</w:t>
      </w:r>
    </w:p>
    <w:p w:rsidR="00557023" w:rsidRDefault="00557023" w:rsidP="00557023">
      <w:pPr>
        <w:rPr>
          <w:b/>
          <w:bCs/>
          <w:u w:val="single"/>
        </w:rPr>
      </w:pPr>
    </w:p>
    <w:p w:rsidR="00557023" w:rsidRDefault="00707996" w:rsidP="00557023">
      <w:r w:rsidRPr="00707996">
        <w:lastRenderedPageBreak/>
        <w:t xml:space="preserve">When a SCE PSPS event is triggered that impacts MVU facilities, MVU notifies its customers of potential service interruption in a variety of ways. Alert notices are pushed out to customers via the </w:t>
      </w:r>
      <w:proofErr w:type="spellStart"/>
      <w:r w:rsidRPr="00707996">
        <w:rPr>
          <w:i/>
        </w:rPr>
        <w:t>MyMVU</w:t>
      </w:r>
      <w:proofErr w:type="spellEnd"/>
      <w:r w:rsidRPr="00707996">
        <w:t xml:space="preserve"> mobile application, email blasts, direct telephone communication with critical customers, as well as public messaging available on the MVU web site and through MVU’s 24/7 call center. PSPS and outage notices will be translated into Spanish for non-English speakers in the future.</w:t>
      </w:r>
    </w:p>
    <w:p w:rsidR="00707996" w:rsidRPr="00557023" w:rsidRDefault="00707996" w:rsidP="00557023">
      <w:pPr>
        <w:rPr>
          <w:b/>
          <w:bCs/>
          <w:u w:val="single"/>
        </w:rPr>
      </w:pPr>
    </w:p>
    <w:p w:rsidR="00557023" w:rsidRDefault="00557023" w:rsidP="00557023">
      <w:pPr>
        <w:pStyle w:val="ListParagraph"/>
        <w:numPr>
          <w:ilvl w:val="0"/>
          <w:numId w:val="1"/>
        </w:numPr>
        <w:ind w:left="360"/>
        <w:rPr>
          <w:b/>
          <w:bCs/>
          <w:u w:val="single"/>
        </w:rPr>
      </w:pPr>
      <w:r>
        <w:rPr>
          <w:b/>
          <w:bCs/>
          <w:u w:val="single"/>
        </w:rPr>
        <w:t>Changes to Current WMP</w:t>
      </w:r>
    </w:p>
    <w:p w:rsidR="00557023" w:rsidRPr="00557023" w:rsidRDefault="00557023" w:rsidP="00557023">
      <w:pPr>
        <w:rPr>
          <w:b/>
          <w:bCs/>
          <w:u w:val="single"/>
        </w:rPr>
      </w:pPr>
    </w:p>
    <w:p w:rsidR="00557023" w:rsidRPr="00557023" w:rsidRDefault="00557023" w:rsidP="00557023">
      <w:pPr>
        <w:pStyle w:val="ListParagraph"/>
        <w:numPr>
          <w:ilvl w:val="1"/>
          <w:numId w:val="1"/>
        </w:numPr>
        <w:rPr>
          <w:b/>
          <w:bCs/>
          <w:u w:val="single"/>
        </w:rPr>
      </w:pPr>
      <w:r>
        <w:rPr>
          <w:b/>
          <w:bCs/>
          <w:i/>
          <w:iCs/>
        </w:rPr>
        <w:t xml:space="preserve">Roles and Responsibilities (Section </w:t>
      </w:r>
      <w:r w:rsidR="00D4357F">
        <w:rPr>
          <w:b/>
          <w:bCs/>
          <w:i/>
          <w:iCs/>
        </w:rPr>
        <w:t>IV</w:t>
      </w:r>
      <w:r>
        <w:rPr>
          <w:b/>
          <w:bCs/>
          <w:i/>
          <w:iCs/>
        </w:rPr>
        <w:t>)</w:t>
      </w:r>
    </w:p>
    <w:p w:rsidR="00557023" w:rsidRPr="00557023" w:rsidRDefault="00557023" w:rsidP="00557023">
      <w:pPr>
        <w:pStyle w:val="ListParagraph"/>
        <w:ind w:left="1440"/>
        <w:rPr>
          <w:b/>
          <w:bCs/>
          <w:u w:val="single"/>
        </w:rPr>
      </w:pPr>
    </w:p>
    <w:p w:rsidR="00557023" w:rsidRPr="00557023" w:rsidRDefault="00D4357F" w:rsidP="00557023">
      <w:r>
        <w:t>No relevant changes</w:t>
      </w:r>
    </w:p>
    <w:p w:rsidR="00557023" w:rsidRPr="00557023" w:rsidRDefault="00557023" w:rsidP="00557023">
      <w:pPr>
        <w:rPr>
          <w:b/>
          <w:bCs/>
          <w:u w:val="single"/>
        </w:rPr>
      </w:pPr>
    </w:p>
    <w:p w:rsidR="00557023" w:rsidRPr="00557023" w:rsidRDefault="00557023" w:rsidP="00557023">
      <w:pPr>
        <w:pStyle w:val="ListParagraph"/>
        <w:numPr>
          <w:ilvl w:val="1"/>
          <w:numId w:val="1"/>
        </w:numPr>
        <w:rPr>
          <w:b/>
          <w:bCs/>
          <w:u w:val="single"/>
        </w:rPr>
      </w:pPr>
      <w:r>
        <w:rPr>
          <w:b/>
          <w:bCs/>
          <w:i/>
          <w:iCs/>
        </w:rPr>
        <w:t xml:space="preserve">Wildfire Risks and Drivers (Section </w:t>
      </w:r>
      <w:r w:rsidR="00D4357F">
        <w:rPr>
          <w:b/>
          <w:bCs/>
          <w:i/>
          <w:iCs/>
        </w:rPr>
        <w:t>V</w:t>
      </w:r>
      <w:r>
        <w:rPr>
          <w:b/>
          <w:bCs/>
          <w:i/>
          <w:iCs/>
        </w:rPr>
        <w:t>)</w:t>
      </w:r>
    </w:p>
    <w:p w:rsidR="00557023" w:rsidRDefault="00557023" w:rsidP="00557023">
      <w:pPr>
        <w:rPr>
          <w:b/>
          <w:bCs/>
          <w:u w:val="single"/>
        </w:rPr>
      </w:pPr>
    </w:p>
    <w:p w:rsidR="00557023" w:rsidRPr="00557023" w:rsidRDefault="00D4357F" w:rsidP="00557023">
      <w:r>
        <w:t>No relevant changes</w:t>
      </w:r>
    </w:p>
    <w:p w:rsidR="00557023" w:rsidRPr="00557023" w:rsidRDefault="00557023" w:rsidP="00557023">
      <w:pPr>
        <w:rPr>
          <w:b/>
          <w:bCs/>
          <w:u w:val="single"/>
        </w:rPr>
      </w:pPr>
    </w:p>
    <w:p w:rsidR="00557023" w:rsidRPr="00557023" w:rsidRDefault="00557023" w:rsidP="00557023">
      <w:pPr>
        <w:pStyle w:val="ListParagraph"/>
        <w:numPr>
          <w:ilvl w:val="1"/>
          <w:numId w:val="1"/>
        </w:numPr>
        <w:rPr>
          <w:b/>
          <w:bCs/>
          <w:u w:val="single"/>
        </w:rPr>
      </w:pPr>
      <w:r>
        <w:rPr>
          <w:b/>
          <w:bCs/>
          <w:i/>
          <w:iCs/>
        </w:rPr>
        <w:t xml:space="preserve">Wildfire Preventative Strategies (Section </w:t>
      </w:r>
      <w:r w:rsidRPr="00BE70D9">
        <w:rPr>
          <w:b/>
          <w:bCs/>
          <w:i/>
          <w:iCs/>
        </w:rPr>
        <w:t>V</w:t>
      </w:r>
      <w:r w:rsidR="00BE70D9" w:rsidRPr="00BE70D9">
        <w:rPr>
          <w:b/>
          <w:bCs/>
          <w:i/>
          <w:iCs/>
        </w:rPr>
        <w:t>I</w:t>
      </w:r>
      <w:r>
        <w:rPr>
          <w:b/>
          <w:bCs/>
          <w:i/>
          <w:iCs/>
        </w:rPr>
        <w:t>)</w:t>
      </w:r>
    </w:p>
    <w:p w:rsidR="00557023" w:rsidRDefault="00557023" w:rsidP="00557023">
      <w:pPr>
        <w:rPr>
          <w:b/>
          <w:bCs/>
          <w:u w:val="single"/>
        </w:rPr>
      </w:pPr>
    </w:p>
    <w:p w:rsidR="00557023" w:rsidRPr="00557023" w:rsidRDefault="00893519" w:rsidP="00557023">
      <w:r>
        <w:t xml:space="preserve">MVU has included the California Public Utility Commission Wildfire Threat Map and the </w:t>
      </w:r>
      <w:proofErr w:type="spellStart"/>
      <w:r>
        <w:t>CalFire</w:t>
      </w:r>
      <w:proofErr w:type="spellEnd"/>
      <w:r>
        <w:t xml:space="preserve"> Fire Threat Map as tools to identify, evaluate and mitigate potential wildfire risks associated with our service territory.</w:t>
      </w:r>
    </w:p>
    <w:p w:rsidR="00557023" w:rsidRPr="00557023" w:rsidRDefault="00557023" w:rsidP="00557023">
      <w:pPr>
        <w:rPr>
          <w:b/>
          <w:bCs/>
          <w:u w:val="single"/>
        </w:rPr>
      </w:pPr>
    </w:p>
    <w:p w:rsidR="00557023" w:rsidRPr="00557023" w:rsidRDefault="00557023" w:rsidP="00557023">
      <w:pPr>
        <w:pStyle w:val="ListParagraph"/>
        <w:numPr>
          <w:ilvl w:val="1"/>
          <w:numId w:val="1"/>
        </w:numPr>
        <w:rPr>
          <w:b/>
          <w:bCs/>
          <w:u w:val="single"/>
        </w:rPr>
      </w:pPr>
      <w:r>
        <w:rPr>
          <w:b/>
          <w:bCs/>
          <w:i/>
          <w:iCs/>
        </w:rPr>
        <w:t>Communit</w:t>
      </w:r>
      <w:r w:rsidR="00CA5183">
        <w:rPr>
          <w:b/>
          <w:bCs/>
          <w:i/>
          <w:iCs/>
        </w:rPr>
        <w:t>y Outreach and Public Awareness</w:t>
      </w:r>
    </w:p>
    <w:p w:rsidR="00557023" w:rsidRDefault="00557023" w:rsidP="00557023">
      <w:pPr>
        <w:rPr>
          <w:b/>
          <w:bCs/>
          <w:u w:val="single"/>
        </w:rPr>
      </w:pPr>
    </w:p>
    <w:p w:rsidR="00557023" w:rsidRPr="00557023" w:rsidRDefault="00CA5183" w:rsidP="00557023">
      <w:r>
        <w:t>MVU provided updated information on pages 7-8 of the Informational Response associated with WSAB Recommendation #6.</w:t>
      </w:r>
    </w:p>
    <w:p w:rsidR="00557023" w:rsidRPr="00557023" w:rsidRDefault="00557023" w:rsidP="00557023">
      <w:pPr>
        <w:rPr>
          <w:b/>
          <w:bCs/>
          <w:u w:val="single"/>
        </w:rPr>
      </w:pPr>
    </w:p>
    <w:p w:rsidR="00557023" w:rsidRPr="00557023" w:rsidRDefault="00557023" w:rsidP="00557023">
      <w:pPr>
        <w:pStyle w:val="ListParagraph"/>
        <w:numPr>
          <w:ilvl w:val="1"/>
          <w:numId w:val="1"/>
        </w:numPr>
        <w:rPr>
          <w:b/>
          <w:bCs/>
          <w:u w:val="single"/>
        </w:rPr>
      </w:pPr>
      <w:r>
        <w:rPr>
          <w:b/>
          <w:bCs/>
          <w:i/>
          <w:iCs/>
        </w:rPr>
        <w:t xml:space="preserve">Restoration of Service (Section </w:t>
      </w:r>
      <w:r w:rsidRPr="00D3797D">
        <w:rPr>
          <w:b/>
          <w:bCs/>
          <w:i/>
          <w:iCs/>
        </w:rPr>
        <w:t>VII</w:t>
      </w:r>
      <w:r>
        <w:rPr>
          <w:b/>
          <w:bCs/>
          <w:i/>
          <w:iCs/>
        </w:rPr>
        <w:t>)</w:t>
      </w:r>
    </w:p>
    <w:p w:rsidR="00557023" w:rsidRDefault="00557023" w:rsidP="00557023">
      <w:pPr>
        <w:rPr>
          <w:b/>
          <w:bCs/>
          <w:u w:val="single"/>
        </w:rPr>
      </w:pPr>
    </w:p>
    <w:p w:rsidR="00557023" w:rsidRPr="00557023" w:rsidRDefault="00D3797D" w:rsidP="00557023">
      <w:r>
        <w:t>No relevant changes</w:t>
      </w:r>
    </w:p>
    <w:p w:rsidR="00557023" w:rsidRPr="00557023" w:rsidRDefault="00557023" w:rsidP="00557023">
      <w:pPr>
        <w:rPr>
          <w:b/>
          <w:bCs/>
          <w:u w:val="single"/>
        </w:rPr>
      </w:pPr>
    </w:p>
    <w:p w:rsidR="00557023" w:rsidRPr="00557023" w:rsidRDefault="00557023" w:rsidP="00557023">
      <w:pPr>
        <w:pStyle w:val="ListParagraph"/>
        <w:numPr>
          <w:ilvl w:val="1"/>
          <w:numId w:val="1"/>
        </w:numPr>
        <w:rPr>
          <w:b/>
          <w:bCs/>
          <w:u w:val="single"/>
        </w:rPr>
      </w:pPr>
      <w:r>
        <w:rPr>
          <w:b/>
          <w:bCs/>
          <w:i/>
          <w:iCs/>
        </w:rPr>
        <w:t xml:space="preserve">Evaluating the Plan (Section </w:t>
      </w:r>
      <w:r w:rsidRPr="00F90837">
        <w:rPr>
          <w:b/>
          <w:bCs/>
          <w:i/>
          <w:iCs/>
        </w:rPr>
        <w:t>VIII</w:t>
      </w:r>
      <w:r>
        <w:rPr>
          <w:b/>
          <w:bCs/>
          <w:i/>
          <w:iCs/>
        </w:rPr>
        <w:t>)</w:t>
      </w:r>
    </w:p>
    <w:p w:rsidR="00557023" w:rsidRDefault="00557023" w:rsidP="00557023">
      <w:pPr>
        <w:rPr>
          <w:b/>
          <w:bCs/>
          <w:u w:val="single"/>
        </w:rPr>
      </w:pPr>
    </w:p>
    <w:p w:rsidR="00557023" w:rsidRDefault="00F90837" w:rsidP="00557023">
      <w:r>
        <w:t>No relevant changes</w:t>
      </w:r>
    </w:p>
    <w:p w:rsidR="00EE076D" w:rsidRPr="00557023" w:rsidRDefault="00EE076D" w:rsidP="00557023"/>
    <w:p w:rsidR="00EE076D" w:rsidRPr="00557023" w:rsidRDefault="00EE076D" w:rsidP="00EE076D"/>
    <w:p w:rsidR="0084317D" w:rsidRPr="0084317D" w:rsidRDefault="0084317D" w:rsidP="00557023"/>
    <w:sectPr w:rsidR="0084317D" w:rsidRPr="0084317D" w:rsidSect="00557023">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8C8" w:rsidRDefault="00CE18C8" w:rsidP="00BE1E7C">
      <w:r>
        <w:separator/>
      </w:r>
    </w:p>
  </w:endnote>
  <w:endnote w:type="continuationSeparator" w:id="0">
    <w:p w:rsidR="00CE18C8" w:rsidRDefault="00CE18C8" w:rsidP="00BE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5141613"/>
      <w:docPartObj>
        <w:docPartGallery w:val="Page Numbers (Bottom of Page)"/>
        <w:docPartUnique/>
      </w:docPartObj>
    </w:sdtPr>
    <w:sdtEndPr>
      <w:rPr>
        <w:rStyle w:val="PageNumber"/>
      </w:rPr>
    </w:sdtEndPr>
    <w:sdtContent>
      <w:p w:rsidR="00557023" w:rsidRDefault="00557023" w:rsidP="00554A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57023" w:rsidRDefault="00557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023" w:rsidRDefault="00557023" w:rsidP="00557023">
    <w:pPr>
      <w:pBdr>
        <w:bottom w:val="single" w:sz="12" w:space="1" w:color="auto"/>
      </w:pBdr>
      <w:rPr>
        <w:i/>
        <w:iCs/>
      </w:rPr>
    </w:pPr>
  </w:p>
  <w:sdt>
    <w:sdtPr>
      <w:rPr>
        <w:rStyle w:val="PageNumber"/>
      </w:rPr>
      <w:id w:val="1403484954"/>
      <w:docPartObj>
        <w:docPartGallery w:val="Page Numbers (Bottom of Page)"/>
        <w:docPartUnique/>
      </w:docPartObj>
    </w:sdtPr>
    <w:sdtEndPr>
      <w:rPr>
        <w:rStyle w:val="PageNumber"/>
      </w:rPr>
    </w:sdtEndPr>
    <w:sdtContent>
      <w:p w:rsidR="00557023" w:rsidRDefault="00557023" w:rsidP="00557023">
        <w:pPr>
          <w:pStyle w:val="Footer"/>
          <w:framePr w:wrap="none" w:vAnchor="text" w:hAnchor="page" w:x="10694" w:y="20"/>
          <w:rPr>
            <w:rStyle w:val="PageNumber"/>
          </w:rPr>
        </w:pPr>
        <w:r>
          <w:rPr>
            <w:rStyle w:val="PageNumber"/>
          </w:rPr>
          <w:fldChar w:fldCharType="begin"/>
        </w:r>
        <w:r>
          <w:rPr>
            <w:rStyle w:val="PageNumber"/>
          </w:rPr>
          <w:instrText xml:space="preserve"> PAGE </w:instrText>
        </w:r>
        <w:r>
          <w:rPr>
            <w:rStyle w:val="PageNumber"/>
          </w:rPr>
          <w:fldChar w:fldCharType="separate"/>
        </w:r>
        <w:r w:rsidR="0093534E">
          <w:rPr>
            <w:rStyle w:val="PageNumber"/>
            <w:noProof/>
          </w:rPr>
          <w:t>2</w:t>
        </w:r>
        <w:r>
          <w:rPr>
            <w:rStyle w:val="PageNumber"/>
          </w:rPr>
          <w:fldChar w:fldCharType="end"/>
        </w:r>
      </w:p>
    </w:sdtContent>
  </w:sdt>
  <w:p w:rsidR="00557023" w:rsidRPr="00557023" w:rsidRDefault="00557023" w:rsidP="00557023">
    <w:pPr>
      <w:rPr>
        <w:i/>
        <w:iCs/>
      </w:rPr>
    </w:pPr>
    <w:r w:rsidRPr="00557023">
      <w:rPr>
        <w:i/>
        <w:iCs/>
      </w:rPr>
      <w:t xml:space="preserve">Summary of Key Changes in </w:t>
    </w:r>
    <w:r w:rsidR="00E050AF">
      <w:rPr>
        <w:i/>
        <w:iCs/>
      </w:rPr>
      <w:t>Moreno Valley Utility</w:t>
    </w:r>
    <w:r w:rsidRPr="00557023">
      <w:rPr>
        <w:i/>
        <w:iCs/>
      </w:rPr>
      <w:t xml:space="preserve">’s 2021 WMP – </w:t>
    </w:r>
    <w:r w:rsidR="00E050AF">
      <w:rPr>
        <w:i/>
        <w:iCs/>
      </w:rPr>
      <w:t>October 1</w:t>
    </w:r>
    <w:r w:rsidRPr="00557023">
      <w:rPr>
        <w:i/>
        <w:iCs/>
      </w:rPr>
      <w:t>,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023" w:rsidRDefault="00557023" w:rsidP="00557023">
    <w:pPr>
      <w:pBdr>
        <w:bottom w:val="single" w:sz="12" w:space="1" w:color="auto"/>
      </w:pBdr>
      <w:ind w:right="360"/>
      <w:rPr>
        <w:i/>
        <w:iCs/>
      </w:rPr>
    </w:pPr>
  </w:p>
  <w:sdt>
    <w:sdtPr>
      <w:rPr>
        <w:rStyle w:val="PageNumber"/>
      </w:rPr>
      <w:id w:val="-1303301063"/>
      <w:docPartObj>
        <w:docPartGallery w:val="Page Numbers (Bottom of Page)"/>
        <w:docPartUnique/>
      </w:docPartObj>
    </w:sdtPr>
    <w:sdtEndPr>
      <w:rPr>
        <w:rStyle w:val="PageNumber"/>
      </w:rPr>
    </w:sdtEndPr>
    <w:sdtContent>
      <w:p w:rsidR="00557023" w:rsidRDefault="00557023" w:rsidP="00557023">
        <w:pPr>
          <w:pStyle w:val="Footer"/>
          <w:framePr w:wrap="none" w:vAnchor="text" w:hAnchor="page" w:x="10307" w:y="20"/>
          <w:rPr>
            <w:rStyle w:val="PageNumber"/>
          </w:rPr>
        </w:pPr>
        <w:r>
          <w:rPr>
            <w:rStyle w:val="PageNumber"/>
          </w:rPr>
          <w:fldChar w:fldCharType="begin"/>
        </w:r>
        <w:r>
          <w:rPr>
            <w:rStyle w:val="PageNumber"/>
          </w:rPr>
          <w:instrText xml:space="preserve"> PAGE </w:instrText>
        </w:r>
        <w:r>
          <w:rPr>
            <w:rStyle w:val="PageNumber"/>
          </w:rPr>
          <w:fldChar w:fldCharType="separate"/>
        </w:r>
        <w:r w:rsidR="0093534E">
          <w:rPr>
            <w:rStyle w:val="PageNumber"/>
            <w:noProof/>
          </w:rPr>
          <w:t>1</w:t>
        </w:r>
        <w:r>
          <w:rPr>
            <w:rStyle w:val="PageNumber"/>
          </w:rPr>
          <w:fldChar w:fldCharType="end"/>
        </w:r>
      </w:p>
    </w:sdtContent>
  </w:sdt>
  <w:p w:rsidR="00557023" w:rsidRPr="00557023" w:rsidRDefault="00557023" w:rsidP="00557023">
    <w:pPr>
      <w:rPr>
        <w:i/>
        <w:iCs/>
      </w:rPr>
    </w:pPr>
    <w:r w:rsidRPr="00557023">
      <w:rPr>
        <w:i/>
        <w:iCs/>
      </w:rPr>
      <w:t xml:space="preserve">Summary of Key Changes in </w:t>
    </w:r>
    <w:r w:rsidR="00F609A8">
      <w:rPr>
        <w:i/>
        <w:iCs/>
      </w:rPr>
      <w:t>Moreno Valley Utility</w:t>
    </w:r>
    <w:r w:rsidRPr="00557023">
      <w:rPr>
        <w:i/>
        <w:iCs/>
      </w:rPr>
      <w:t xml:space="preserve">’s 2021 WMP – </w:t>
    </w:r>
    <w:r w:rsidR="00F609A8">
      <w:rPr>
        <w:i/>
        <w:iCs/>
      </w:rPr>
      <w:t>October 1</w:t>
    </w:r>
    <w:r w:rsidRPr="00557023">
      <w:rPr>
        <w:i/>
        <w:iCs/>
      </w:rPr>
      <w: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8C8" w:rsidRDefault="00CE18C8" w:rsidP="00BE1E7C">
      <w:r>
        <w:separator/>
      </w:r>
    </w:p>
  </w:footnote>
  <w:footnote w:type="continuationSeparator" w:id="0">
    <w:p w:rsidR="00CE18C8" w:rsidRDefault="00CE18C8" w:rsidP="00BE1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023" w:rsidRDefault="00557023" w:rsidP="00557023">
    <w:pPr>
      <w:jc w:val="center"/>
      <w:rPr>
        <w:b/>
        <w:bCs/>
        <w:sz w:val="32"/>
        <w:szCs w:val="32"/>
      </w:rPr>
    </w:pPr>
    <w:r>
      <w:tab/>
    </w:r>
    <w:r w:rsidRPr="00333750">
      <w:rPr>
        <w:b/>
        <w:bCs/>
        <w:sz w:val="32"/>
        <w:szCs w:val="32"/>
      </w:rPr>
      <w:t xml:space="preserve">Summary of Key Changes in </w:t>
    </w:r>
    <w:r w:rsidR="009F7A10">
      <w:rPr>
        <w:b/>
        <w:bCs/>
        <w:sz w:val="32"/>
        <w:szCs w:val="32"/>
      </w:rPr>
      <w:t>Moreno Valley Utility</w:t>
    </w:r>
    <w:r w:rsidRPr="00333750">
      <w:rPr>
        <w:b/>
        <w:bCs/>
        <w:sz w:val="32"/>
        <w:szCs w:val="32"/>
      </w:rPr>
      <w:t>’s 2021 Wildfire Mitigation Plan</w:t>
    </w:r>
    <w:r>
      <w:rPr>
        <w:b/>
        <w:bCs/>
        <w:sz w:val="32"/>
        <w:szCs w:val="32"/>
      </w:rPr>
      <w:t xml:space="preserve"> </w:t>
    </w:r>
  </w:p>
  <w:p w:rsidR="00557023" w:rsidRPr="00333750" w:rsidRDefault="00557023" w:rsidP="00557023">
    <w:pPr>
      <w:jc w:val="center"/>
      <w:rPr>
        <w:sz w:val="16"/>
        <w:szCs w:val="16"/>
        <w:highlight w:val="yellow"/>
      </w:rPr>
    </w:pPr>
  </w:p>
  <w:p w:rsidR="00557023" w:rsidRDefault="009F7A10" w:rsidP="00557023">
    <w:pPr>
      <w:pBdr>
        <w:bottom w:val="single" w:sz="12" w:space="1" w:color="auto"/>
      </w:pBdr>
      <w:jc w:val="center"/>
      <w:rPr>
        <w:i/>
        <w:iCs/>
      </w:rPr>
    </w:pPr>
    <w:r w:rsidRPr="003A215D">
      <w:rPr>
        <w:i/>
        <w:iCs/>
      </w:rPr>
      <w:t>October</w:t>
    </w:r>
    <w:r w:rsidR="00557023" w:rsidRPr="003A215D">
      <w:rPr>
        <w:i/>
        <w:iCs/>
      </w:rPr>
      <w:t xml:space="preserve"> </w:t>
    </w:r>
    <w:r>
      <w:rPr>
        <w:i/>
        <w:iCs/>
      </w:rPr>
      <w:t>1</w:t>
    </w:r>
    <w:r w:rsidR="00557023" w:rsidRPr="00333750">
      <w:rPr>
        <w:i/>
        <w:iCs/>
      </w:rPr>
      <w:t>, 2021</w:t>
    </w:r>
  </w:p>
  <w:p w:rsidR="00557023" w:rsidRDefault="00557023" w:rsidP="00557023">
    <w:pPr>
      <w:pStyle w:val="Header"/>
      <w:tabs>
        <w:tab w:val="clear" w:pos="4680"/>
        <w:tab w:val="clear" w:pos="9360"/>
        <w:tab w:val="left" w:pos="221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E088A"/>
    <w:multiLevelType w:val="hybridMultilevel"/>
    <w:tmpl w:val="388CAFCA"/>
    <w:lvl w:ilvl="0" w:tplc="0409000F">
      <w:start w:val="1"/>
      <w:numFmt w:val="decimal"/>
      <w:lvlText w:val="%1."/>
      <w:lvlJc w:val="left"/>
      <w:pPr>
        <w:ind w:left="720" w:hanging="360"/>
      </w:pPr>
      <w:rPr>
        <w:rFonts w:hint="default"/>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40322F"/>
    <w:multiLevelType w:val="hybridMultilevel"/>
    <w:tmpl w:val="CE32E9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D0"/>
    <w:rsid w:val="000000B9"/>
    <w:rsid w:val="00036080"/>
    <w:rsid w:val="000731EE"/>
    <w:rsid w:val="00074DD0"/>
    <w:rsid w:val="000C3A40"/>
    <w:rsid w:val="00114B2B"/>
    <w:rsid w:val="00137CE9"/>
    <w:rsid w:val="00177E7F"/>
    <w:rsid w:val="00195A64"/>
    <w:rsid w:val="001D4D40"/>
    <w:rsid w:val="001D51A7"/>
    <w:rsid w:val="001E46BD"/>
    <w:rsid w:val="002936D2"/>
    <w:rsid w:val="00296136"/>
    <w:rsid w:val="002B46D7"/>
    <w:rsid w:val="002D3689"/>
    <w:rsid w:val="003259BA"/>
    <w:rsid w:val="00333750"/>
    <w:rsid w:val="00360B4D"/>
    <w:rsid w:val="00375C81"/>
    <w:rsid w:val="003A215D"/>
    <w:rsid w:val="003D2665"/>
    <w:rsid w:val="003D754F"/>
    <w:rsid w:val="003F0E1A"/>
    <w:rsid w:val="004671A2"/>
    <w:rsid w:val="00557023"/>
    <w:rsid w:val="00572239"/>
    <w:rsid w:val="0061470C"/>
    <w:rsid w:val="006336DE"/>
    <w:rsid w:val="006B5958"/>
    <w:rsid w:val="00707996"/>
    <w:rsid w:val="00724175"/>
    <w:rsid w:val="00730CDE"/>
    <w:rsid w:val="007C208A"/>
    <w:rsid w:val="0084317D"/>
    <w:rsid w:val="00893519"/>
    <w:rsid w:val="008B4DD6"/>
    <w:rsid w:val="0093534E"/>
    <w:rsid w:val="009C026A"/>
    <w:rsid w:val="009F7A10"/>
    <w:rsid w:val="00A21D91"/>
    <w:rsid w:val="00AA554C"/>
    <w:rsid w:val="00AB01F6"/>
    <w:rsid w:val="00BE1E7C"/>
    <w:rsid w:val="00BE70D9"/>
    <w:rsid w:val="00C17DF1"/>
    <w:rsid w:val="00C45662"/>
    <w:rsid w:val="00C45ED4"/>
    <w:rsid w:val="00C535A9"/>
    <w:rsid w:val="00C63CB5"/>
    <w:rsid w:val="00CA10D0"/>
    <w:rsid w:val="00CA5183"/>
    <w:rsid w:val="00CE18C8"/>
    <w:rsid w:val="00CE3D05"/>
    <w:rsid w:val="00CF7F9E"/>
    <w:rsid w:val="00D3797D"/>
    <w:rsid w:val="00D4357F"/>
    <w:rsid w:val="00D5394A"/>
    <w:rsid w:val="00D856EE"/>
    <w:rsid w:val="00D9191D"/>
    <w:rsid w:val="00E050AF"/>
    <w:rsid w:val="00E05DEB"/>
    <w:rsid w:val="00E063ED"/>
    <w:rsid w:val="00E14741"/>
    <w:rsid w:val="00E15993"/>
    <w:rsid w:val="00E1710D"/>
    <w:rsid w:val="00E27336"/>
    <w:rsid w:val="00EB0912"/>
    <w:rsid w:val="00EE076D"/>
    <w:rsid w:val="00F251BE"/>
    <w:rsid w:val="00F609A8"/>
    <w:rsid w:val="00F9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F7F77-5A8E-F147-92E7-6B884CC1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ED4"/>
    <w:rPr>
      <w:rFonts w:ascii="Times New Roman" w:eastAsia="Times New Roman" w:hAnsi="Times New Roman" w:cs="Times New Roman"/>
    </w:rPr>
  </w:style>
  <w:style w:type="paragraph" w:styleId="Heading3">
    <w:name w:val="heading 3"/>
    <w:basedOn w:val="Normal"/>
    <w:link w:val="Heading3Char"/>
    <w:uiPriority w:val="9"/>
    <w:qFormat/>
    <w:rsid w:val="000000B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4DD0"/>
    <w:pPr>
      <w:spacing w:before="100" w:beforeAutospacing="1" w:after="100" w:afterAutospacing="1"/>
    </w:pPr>
  </w:style>
  <w:style w:type="character" w:customStyle="1" w:styleId="Heading3Char">
    <w:name w:val="Heading 3 Char"/>
    <w:basedOn w:val="DefaultParagraphFont"/>
    <w:link w:val="Heading3"/>
    <w:uiPriority w:val="9"/>
    <w:rsid w:val="000000B9"/>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0000B9"/>
  </w:style>
  <w:style w:type="character" w:styleId="Hyperlink">
    <w:name w:val="Hyperlink"/>
    <w:basedOn w:val="DefaultParagraphFont"/>
    <w:uiPriority w:val="99"/>
    <w:unhideWhenUsed/>
    <w:rsid w:val="00D9191D"/>
    <w:rPr>
      <w:color w:val="0563C1" w:themeColor="hyperlink"/>
      <w:u w:val="single"/>
    </w:rPr>
  </w:style>
  <w:style w:type="character" w:customStyle="1" w:styleId="UnresolvedMention">
    <w:name w:val="Unresolved Mention"/>
    <w:basedOn w:val="DefaultParagraphFont"/>
    <w:uiPriority w:val="99"/>
    <w:semiHidden/>
    <w:unhideWhenUsed/>
    <w:rsid w:val="00D9191D"/>
    <w:rPr>
      <w:color w:val="605E5C"/>
      <w:shd w:val="clear" w:color="auto" w:fill="E1DFDD"/>
    </w:rPr>
  </w:style>
  <w:style w:type="character" w:styleId="CommentReference">
    <w:name w:val="annotation reference"/>
    <w:basedOn w:val="DefaultParagraphFont"/>
    <w:uiPriority w:val="99"/>
    <w:semiHidden/>
    <w:unhideWhenUsed/>
    <w:rsid w:val="00BE1E7C"/>
    <w:rPr>
      <w:sz w:val="16"/>
      <w:szCs w:val="16"/>
    </w:rPr>
  </w:style>
  <w:style w:type="paragraph" w:styleId="CommentText">
    <w:name w:val="annotation text"/>
    <w:basedOn w:val="Normal"/>
    <w:link w:val="CommentTextChar"/>
    <w:uiPriority w:val="99"/>
    <w:semiHidden/>
    <w:unhideWhenUsed/>
    <w:rsid w:val="00BE1E7C"/>
    <w:rPr>
      <w:sz w:val="20"/>
      <w:szCs w:val="20"/>
    </w:rPr>
  </w:style>
  <w:style w:type="character" w:customStyle="1" w:styleId="CommentTextChar">
    <w:name w:val="Comment Text Char"/>
    <w:basedOn w:val="DefaultParagraphFont"/>
    <w:link w:val="CommentText"/>
    <w:uiPriority w:val="99"/>
    <w:semiHidden/>
    <w:rsid w:val="00BE1E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1E7C"/>
    <w:rPr>
      <w:b/>
      <w:bCs/>
    </w:rPr>
  </w:style>
  <w:style w:type="character" w:customStyle="1" w:styleId="CommentSubjectChar">
    <w:name w:val="Comment Subject Char"/>
    <w:basedOn w:val="CommentTextChar"/>
    <w:link w:val="CommentSubject"/>
    <w:uiPriority w:val="99"/>
    <w:semiHidden/>
    <w:rsid w:val="00BE1E7C"/>
    <w:rPr>
      <w:rFonts w:ascii="Times New Roman" w:eastAsia="Times New Roman" w:hAnsi="Times New Roman" w:cs="Times New Roman"/>
      <w:b/>
      <w:bCs/>
      <w:sz w:val="20"/>
      <w:szCs w:val="20"/>
    </w:rPr>
  </w:style>
  <w:style w:type="paragraph" w:styleId="Revision">
    <w:name w:val="Revision"/>
    <w:hidden/>
    <w:uiPriority w:val="99"/>
    <w:semiHidden/>
    <w:rsid w:val="00BE1E7C"/>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BE1E7C"/>
    <w:rPr>
      <w:sz w:val="20"/>
      <w:szCs w:val="20"/>
    </w:rPr>
  </w:style>
  <w:style w:type="character" w:customStyle="1" w:styleId="FootnoteTextChar">
    <w:name w:val="Footnote Text Char"/>
    <w:basedOn w:val="DefaultParagraphFont"/>
    <w:link w:val="FootnoteText"/>
    <w:uiPriority w:val="99"/>
    <w:semiHidden/>
    <w:rsid w:val="00BE1E7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E1E7C"/>
    <w:rPr>
      <w:vertAlign w:val="superscript"/>
    </w:rPr>
  </w:style>
  <w:style w:type="paragraph" w:styleId="ListParagraph">
    <w:name w:val="List Paragraph"/>
    <w:basedOn w:val="Normal"/>
    <w:uiPriority w:val="34"/>
    <w:qFormat/>
    <w:rsid w:val="001D51A7"/>
    <w:pPr>
      <w:ind w:left="720"/>
      <w:contextualSpacing/>
    </w:pPr>
  </w:style>
  <w:style w:type="paragraph" w:styleId="Header">
    <w:name w:val="header"/>
    <w:basedOn w:val="Normal"/>
    <w:link w:val="HeaderChar"/>
    <w:uiPriority w:val="99"/>
    <w:unhideWhenUsed/>
    <w:rsid w:val="00557023"/>
    <w:pPr>
      <w:tabs>
        <w:tab w:val="center" w:pos="4680"/>
        <w:tab w:val="right" w:pos="9360"/>
      </w:tabs>
    </w:pPr>
  </w:style>
  <w:style w:type="character" w:customStyle="1" w:styleId="HeaderChar">
    <w:name w:val="Header Char"/>
    <w:basedOn w:val="DefaultParagraphFont"/>
    <w:link w:val="Header"/>
    <w:uiPriority w:val="99"/>
    <w:rsid w:val="00557023"/>
    <w:rPr>
      <w:rFonts w:ascii="Times New Roman" w:eastAsia="Times New Roman" w:hAnsi="Times New Roman" w:cs="Times New Roman"/>
    </w:rPr>
  </w:style>
  <w:style w:type="paragraph" w:styleId="Footer">
    <w:name w:val="footer"/>
    <w:basedOn w:val="Normal"/>
    <w:link w:val="FooterChar"/>
    <w:uiPriority w:val="99"/>
    <w:unhideWhenUsed/>
    <w:rsid w:val="00557023"/>
    <w:pPr>
      <w:tabs>
        <w:tab w:val="center" w:pos="4680"/>
        <w:tab w:val="right" w:pos="9360"/>
      </w:tabs>
    </w:pPr>
  </w:style>
  <w:style w:type="character" w:customStyle="1" w:styleId="FooterChar">
    <w:name w:val="Footer Char"/>
    <w:basedOn w:val="DefaultParagraphFont"/>
    <w:link w:val="Footer"/>
    <w:uiPriority w:val="99"/>
    <w:rsid w:val="00557023"/>
    <w:rPr>
      <w:rFonts w:ascii="Times New Roman" w:eastAsia="Times New Roman" w:hAnsi="Times New Roman" w:cs="Times New Roman"/>
    </w:rPr>
  </w:style>
  <w:style w:type="character" w:styleId="PageNumber">
    <w:name w:val="page number"/>
    <w:basedOn w:val="DefaultParagraphFont"/>
    <w:uiPriority w:val="99"/>
    <w:semiHidden/>
    <w:unhideWhenUsed/>
    <w:rsid w:val="0055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9105">
      <w:bodyDiv w:val="1"/>
      <w:marLeft w:val="0"/>
      <w:marRight w:val="0"/>
      <w:marTop w:val="0"/>
      <w:marBottom w:val="0"/>
      <w:divBdr>
        <w:top w:val="none" w:sz="0" w:space="0" w:color="auto"/>
        <w:left w:val="none" w:sz="0" w:space="0" w:color="auto"/>
        <w:bottom w:val="none" w:sz="0" w:space="0" w:color="auto"/>
        <w:right w:val="none" w:sz="0" w:space="0" w:color="auto"/>
      </w:divBdr>
    </w:div>
    <w:div w:id="561713701">
      <w:bodyDiv w:val="1"/>
      <w:marLeft w:val="0"/>
      <w:marRight w:val="0"/>
      <w:marTop w:val="0"/>
      <w:marBottom w:val="0"/>
      <w:divBdr>
        <w:top w:val="none" w:sz="0" w:space="0" w:color="auto"/>
        <w:left w:val="none" w:sz="0" w:space="0" w:color="auto"/>
        <w:bottom w:val="none" w:sz="0" w:space="0" w:color="auto"/>
        <w:right w:val="none" w:sz="0" w:space="0" w:color="auto"/>
      </w:divBdr>
    </w:div>
    <w:div w:id="583615590">
      <w:bodyDiv w:val="1"/>
      <w:marLeft w:val="0"/>
      <w:marRight w:val="0"/>
      <w:marTop w:val="0"/>
      <w:marBottom w:val="0"/>
      <w:divBdr>
        <w:top w:val="none" w:sz="0" w:space="0" w:color="auto"/>
        <w:left w:val="none" w:sz="0" w:space="0" w:color="auto"/>
        <w:bottom w:val="none" w:sz="0" w:space="0" w:color="auto"/>
        <w:right w:val="none" w:sz="0" w:space="0" w:color="auto"/>
      </w:divBdr>
    </w:div>
    <w:div w:id="805509589">
      <w:bodyDiv w:val="1"/>
      <w:marLeft w:val="0"/>
      <w:marRight w:val="0"/>
      <w:marTop w:val="0"/>
      <w:marBottom w:val="0"/>
      <w:divBdr>
        <w:top w:val="none" w:sz="0" w:space="0" w:color="auto"/>
        <w:left w:val="none" w:sz="0" w:space="0" w:color="auto"/>
        <w:bottom w:val="none" w:sz="0" w:space="0" w:color="auto"/>
        <w:right w:val="none" w:sz="0" w:space="0" w:color="auto"/>
      </w:divBdr>
    </w:div>
    <w:div w:id="1218783070">
      <w:bodyDiv w:val="1"/>
      <w:marLeft w:val="0"/>
      <w:marRight w:val="0"/>
      <w:marTop w:val="0"/>
      <w:marBottom w:val="0"/>
      <w:divBdr>
        <w:top w:val="none" w:sz="0" w:space="0" w:color="auto"/>
        <w:left w:val="none" w:sz="0" w:space="0" w:color="auto"/>
        <w:bottom w:val="none" w:sz="0" w:space="0" w:color="auto"/>
        <w:right w:val="none" w:sz="0" w:space="0" w:color="auto"/>
      </w:divBdr>
    </w:div>
    <w:div w:id="1253393845">
      <w:bodyDiv w:val="1"/>
      <w:marLeft w:val="0"/>
      <w:marRight w:val="0"/>
      <w:marTop w:val="0"/>
      <w:marBottom w:val="0"/>
      <w:divBdr>
        <w:top w:val="none" w:sz="0" w:space="0" w:color="auto"/>
        <w:left w:val="none" w:sz="0" w:space="0" w:color="auto"/>
        <w:bottom w:val="none" w:sz="0" w:space="0" w:color="auto"/>
        <w:right w:val="none" w:sz="0" w:space="0" w:color="auto"/>
      </w:divBdr>
    </w:div>
    <w:div w:id="1276521866">
      <w:bodyDiv w:val="1"/>
      <w:marLeft w:val="0"/>
      <w:marRight w:val="0"/>
      <w:marTop w:val="0"/>
      <w:marBottom w:val="0"/>
      <w:divBdr>
        <w:top w:val="none" w:sz="0" w:space="0" w:color="auto"/>
        <w:left w:val="none" w:sz="0" w:space="0" w:color="auto"/>
        <w:bottom w:val="none" w:sz="0" w:space="0" w:color="auto"/>
        <w:right w:val="none" w:sz="0" w:space="0" w:color="auto"/>
      </w:divBdr>
    </w:div>
    <w:div w:id="1645888873">
      <w:bodyDiv w:val="1"/>
      <w:marLeft w:val="0"/>
      <w:marRight w:val="0"/>
      <w:marTop w:val="0"/>
      <w:marBottom w:val="0"/>
      <w:divBdr>
        <w:top w:val="none" w:sz="0" w:space="0" w:color="auto"/>
        <w:left w:val="none" w:sz="0" w:space="0" w:color="auto"/>
        <w:bottom w:val="none" w:sz="0" w:space="0" w:color="auto"/>
        <w:right w:val="none" w:sz="0" w:space="0" w:color="auto"/>
      </w:divBdr>
    </w:div>
    <w:div w:id="2053994598">
      <w:bodyDiv w:val="1"/>
      <w:marLeft w:val="0"/>
      <w:marRight w:val="0"/>
      <w:marTop w:val="0"/>
      <w:marBottom w:val="0"/>
      <w:divBdr>
        <w:top w:val="none" w:sz="0" w:space="0" w:color="auto"/>
        <w:left w:val="none" w:sz="0" w:space="0" w:color="auto"/>
        <w:bottom w:val="none" w:sz="0" w:space="0" w:color="auto"/>
        <w:right w:val="none" w:sz="0" w:space="0" w:color="auto"/>
      </w:divBdr>
      <w:divsChild>
        <w:div w:id="2096778819">
          <w:marLeft w:val="0"/>
          <w:marRight w:val="0"/>
          <w:marTop w:val="0"/>
          <w:marBottom w:val="0"/>
          <w:divBdr>
            <w:top w:val="none" w:sz="0" w:space="0" w:color="auto"/>
            <w:left w:val="none" w:sz="0" w:space="0" w:color="auto"/>
            <w:bottom w:val="none" w:sz="0" w:space="0" w:color="auto"/>
            <w:right w:val="none" w:sz="0" w:space="0" w:color="auto"/>
          </w:divBdr>
          <w:divsChild>
            <w:div w:id="471798225">
              <w:marLeft w:val="0"/>
              <w:marRight w:val="0"/>
              <w:marTop w:val="0"/>
              <w:marBottom w:val="0"/>
              <w:divBdr>
                <w:top w:val="none" w:sz="0" w:space="0" w:color="auto"/>
                <w:left w:val="none" w:sz="0" w:space="0" w:color="auto"/>
                <w:bottom w:val="none" w:sz="0" w:space="0" w:color="auto"/>
                <w:right w:val="none" w:sz="0" w:space="0" w:color="auto"/>
              </w:divBdr>
              <w:divsChild>
                <w:div w:id="19257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9288-984D-469A-BB5C-9EA34C6FE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Wynne</dc:creator>
  <cp:keywords/>
  <dc:description/>
  <cp:lastModifiedBy>Dean Ayer</cp:lastModifiedBy>
  <cp:revision>2</cp:revision>
  <cp:lastPrinted>2021-06-22T16:49:00Z</cp:lastPrinted>
  <dcterms:created xsi:type="dcterms:W3CDTF">2021-09-30T21:43:00Z</dcterms:created>
  <dcterms:modified xsi:type="dcterms:W3CDTF">2021-09-30T21:43:00Z</dcterms:modified>
</cp:coreProperties>
</file>