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20E7E" w14:textId="77777777" w:rsidR="00B3450C" w:rsidRPr="00187268" w:rsidRDefault="00B3450C" w:rsidP="00B3450C">
      <w:pPr>
        <w:pStyle w:val="Heading1"/>
        <w:numPr>
          <w:ilvl w:val="0"/>
          <w:numId w:val="0"/>
        </w:numPr>
      </w:pPr>
      <w:bookmarkStart w:id="0" w:name="_Toc50559427"/>
    </w:p>
    <w:p w14:paraId="33D2C001" w14:textId="77777777" w:rsidR="00B3450C" w:rsidRPr="00187268" w:rsidRDefault="00B3450C" w:rsidP="00B3450C"/>
    <w:p w14:paraId="371CC419" w14:textId="77777777" w:rsidR="00B3450C" w:rsidRPr="00187268" w:rsidRDefault="00B3450C" w:rsidP="00B3450C"/>
    <w:p w14:paraId="659BD5D6" w14:textId="77777777" w:rsidR="00B3450C" w:rsidRPr="00187268" w:rsidRDefault="00B3450C" w:rsidP="00B3450C"/>
    <w:p w14:paraId="26675C05" w14:textId="77777777" w:rsidR="00B3450C" w:rsidRPr="00187268" w:rsidRDefault="00B3450C" w:rsidP="00B3450C"/>
    <w:p w14:paraId="6641E728" w14:textId="77777777" w:rsidR="00B3450C" w:rsidRDefault="00B3450C" w:rsidP="00B3450C">
      <w:pPr>
        <w:spacing w:after="0"/>
        <w:jc w:val="center"/>
        <w:rPr>
          <w:sz w:val="56"/>
          <w:szCs w:val="56"/>
        </w:rPr>
      </w:pPr>
      <w:r w:rsidRPr="00187268">
        <w:rPr>
          <w:sz w:val="56"/>
          <w:szCs w:val="56"/>
        </w:rPr>
        <w:t>San Diego Gas &amp; Electric Company’s</w:t>
      </w:r>
    </w:p>
    <w:p w14:paraId="094DE458" w14:textId="77777777" w:rsidR="00B3450C" w:rsidRPr="00187268" w:rsidRDefault="00B3450C" w:rsidP="00B3450C">
      <w:pPr>
        <w:spacing w:after="0"/>
        <w:jc w:val="center"/>
        <w:rPr>
          <w:sz w:val="56"/>
          <w:szCs w:val="56"/>
        </w:rPr>
      </w:pPr>
      <w:r w:rsidRPr="00202956">
        <w:rPr>
          <w:sz w:val="56"/>
          <w:szCs w:val="56"/>
        </w:rPr>
        <w:t>Quarterly Initiative Update</w:t>
      </w:r>
      <w:r>
        <w:rPr>
          <w:sz w:val="56"/>
          <w:szCs w:val="56"/>
        </w:rPr>
        <w:t xml:space="preserve"> </w:t>
      </w:r>
    </w:p>
    <w:p w14:paraId="0C3DAC49" w14:textId="77777777" w:rsidR="00B3450C" w:rsidRDefault="00B3450C" w:rsidP="00B3450C">
      <w:pPr>
        <w:spacing w:after="0"/>
        <w:jc w:val="center"/>
        <w:rPr>
          <w:sz w:val="56"/>
          <w:szCs w:val="56"/>
        </w:rPr>
      </w:pPr>
    </w:p>
    <w:p w14:paraId="3507155B" w14:textId="77777777" w:rsidR="00B3450C" w:rsidRDefault="00B3450C" w:rsidP="00B3450C">
      <w:pPr>
        <w:spacing w:after="0"/>
        <w:jc w:val="center"/>
        <w:rPr>
          <w:sz w:val="56"/>
          <w:szCs w:val="56"/>
        </w:rPr>
      </w:pPr>
    </w:p>
    <w:p w14:paraId="6BCB1DAC" w14:textId="77777777" w:rsidR="00B3450C" w:rsidRDefault="00B3450C" w:rsidP="00B3450C">
      <w:pPr>
        <w:spacing w:after="0"/>
        <w:jc w:val="center"/>
        <w:rPr>
          <w:sz w:val="56"/>
          <w:szCs w:val="56"/>
        </w:rPr>
      </w:pPr>
    </w:p>
    <w:p w14:paraId="6A3E329D" w14:textId="054FAFC0" w:rsidR="00B3450C" w:rsidRPr="00187268" w:rsidRDefault="004843CD" w:rsidP="00B3450C">
      <w:pPr>
        <w:spacing w:after="0"/>
        <w:jc w:val="center"/>
        <w:rPr>
          <w:sz w:val="44"/>
          <w:szCs w:val="44"/>
        </w:rPr>
      </w:pPr>
      <w:r>
        <w:rPr>
          <w:sz w:val="44"/>
          <w:szCs w:val="44"/>
        </w:rPr>
        <w:t>February</w:t>
      </w:r>
      <w:r w:rsidR="00B3450C">
        <w:rPr>
          <w:sz w:val="44"/>
          <w:szCs w:val="44"/>
        </w:rPr>
        <w:t xml:space="preserve"> 1, 202</w:t>
      </w:r>
      <w:r>
        <w:rPr>
          <w:sz w:val="44"/>
          <w:szCs w:val="44"/>
        </w:rPr>
        <w:t>2</w:t>
      </w:r>
    </w:p>
    <w:p w14:paraId="6F2896DC" w14:textId="77777777" w:rsidR="00B3450C" w:rsidRDefault="00B3450C" w:rsidP="00B3450C">
      <w:pPr>
        <w:spacing w:after="0"/>
        <w:jc w:val="center"/>
        <w:rPr>
          <w:sz w:val="56"/>
          <w:szCs w:val="56"/>
        </w:rPr>
      </w:pPr>
    </w:p>
    <w:p w14:paraId="0330705C" w14:textId="77777777" w:rsidR="00B3450C" w:rsidRPr="00187268" w:rsidRDefault="00B3450C" w:rsidP="00B3450C">
      <w:pPr>
        <w:spacing w:after="0"/>
        <w:jc w:val="center"/>
        <w:rPr>
          <w:sz w:val="56"/>
          <w:szCs w:val="56"/>
        </w:rPr>
      </w:pPr>
    </w:p>
    <w:p w14:paraId="74532567" w14:textId="77777777" w:rsidR="00B3450C" w:rsidRPr="00187268" w:rsidRDefault="00B3450C" w:rsidP="00B3450C">
      <w:pPr>
        <w:spacing w:after="0"/>
        <w:jc w:val="center"/>
        <w:rPr>
          <w:sz w:val="56"/>
          <w:szCs w:val="56"/>
        </w:rPr>
      </w:pPr>
    </w:p>
    <w:p w14:paraId="0184C0CA" w14:textId="3523ADE0" w:rsidR="00493E1E" w:rsidRDefault="00493E1E" w:rsidP="005C449C">
      <w:pPr>
        <w:spacing w:after="0"/>
        <w:jc w:val="center"/>
      </w:pPr>
    </w:p>
    <w:p w14:paraId="34CED22A" w14:textId="1E855CD3" w:rsidR="00B3450C" w:rsidRPr="00187268" w:rsidRDefault="00493E1E" w:rsidP="005C449C">
      <w:pPr>
        <w:spacing w:after="0"/>
        <w:jc w:val="center"/>
        <w:sectPr w:rsidR="00B3450C" w:rsidRPr="00187268" w:rsidSect="000D6378">
          <w:headerReference w:type="default" r:id="rId10"/>
          <w:footerReference w:type="default" r:id="rId11"/>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r>
        <w:rPr>
          <w:noProof/>
        </w:rPr>
        <w:drawing>
          <wp:inline distT="0" distB="0" distL="0" distR="0" wp14:anchorId="012F36E2" wp14:editId="5FEC751D">
            <wp:extent cx="2403231" cy="1562100"/>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7965" cy="1565177"/>
                    </a:xfrm>
                    <a:prstGeom prst="rect">
                      <a:avLst/>
                    </a:prstGeom>
                    <a:noFill/>
                    <a:ln>
                      <a:noFill/>
                    </a:ln>
                  </pic:spPr>
                </pic:pic>
              </a:graphicData>
            </a:graphic>
          </wp:inline>
        </w:drawing>
      </w:r>
      <w:r>
        <w:br/>
      </w:r>
      <w:r w:rsidR="00B3450C">
        <w:br/>
      </w:r>
    </w:p>
    <w:bookmarkEnd w:id="0"/>
    <w:p w14:paraId="7D615578" w14:textId="21A1654F" w:rsidR="00B3450C" w:rsidRPr="00233E83" w:rsidRDefault="00B3450C" w:rsidP="00B3450C">
      <w:r w:rsidRPr="00233E83">
        <w:lastRenderedPageBreak/>
        <w:t xml:space="preserve">Pursuant to Wildfire Safety Division’s (WSD) Compliance Operational Protocols (Protocols), issued February 16, 2021, San Diego Gas &amp; Electric Company (SDG&amp;E) hereby provides SDG&amp;E’s Quarterly Initiative Update (QIU) associated with its Wildfire Mitigation Plan (WMP) for the period </w:t>
      </w:r>
      <w:r w:rsidR="00153366">
        <w:t>October</w:t>
      </w:r>
      <w:r w:rsidRPr="00233E83">
        <w:t xml:space="preserve"> 1, 2021 to </w:t>
      </w:r>
      <w:r w:rsidR="009C1FC3">
        <w:t>December</w:t>
      </w:r>
      <w:r w:rsidRPr="00233E83">
        <w:t xml:space="preserve"> 3</w:t>
      </w:r>
      <w:r w:rsidR="004D2AD0">
        <w:t>1</w:t>
      </w:r>
      <w:r w:rsidRPr="00233E83">
        <w:t>, 2021 (Q</w:t>
      </w:r>
      <w:r w:rsidR="009C1FC3">
        <w:t>4</w:t>
      </w:r>
      <w:r w:rsidRPr="00233E83">
        <w:t>) of 2021. A copy of this report is being provided to the California Office of Energy Infrastructure Safety (OEIS) docket.</w:t>
      </w:r>
    </w:p>
    <w:p w14:paraId="1A18CFFC" w14:textId="77777777" w:rsidR="00B3450C" w:rsidRDefault="00B3450C" w:rsidP="00B3450C">
      <w:pPr>
        <w:rPr>
          <w:rFonts w:ascii="Calibri Light" w:eastAsia="Calibri Light" w:hAnsi="Calibri Light" w:cs="Calibri Light"/>
          <w:b/>
        </w:rPr>
      </w:pPr>
      <w:r w:rsidRPr="00233E83">
        <w:t>As directed by OEIS, SDG&amp;E is submitting its QIU via SharePoint.</w:t>
      </w:r>
      <w:r w:rsidRPr="00233E83">
        <w:rPr>
          <w:rStyle w:val="FootnoteReference"/>
        </w:rPr>
        <w:footnoteReference w:id="2"/>
      </w:r>
    </w:p>
    <w:p w14:paraId="44EFC5E5" w14:textId="77777777" w:rsidR="00B3450C" w:rsidRDefault="00B3450C" w:rsidP="00B3450C">
      <w:pPr>
        <w:pStyle w:val="Heading2"/>
        <w:numPr>
          <w:ilvl w:val="0"/>
          <w:numId w:val="0"/>
        </w:numPr>
        <w:rPr>
          <w:rFonts w:ascii="Calibri Light" w:eastAsia="Yu Gothic Light" w:hAnsi="Calibri Light" w:cs="Times New Roman"/>
          <w:bCs/>
        </w:rPr>
      </w:pPr>
      <w:r w:rsidRPr="559857F1">
        <w:rPr>
          <w:rFonts w:ascii="Calibri Light" w:eastAsia="Calibri Light" w:hAnsi="Calibri Light" w:cs="Calibri Light"/>
          <w:b w:val="0"/>
        </w:rPr>
        <w:t>SDG&amp;E’s Quarterly Initiative Update</w:t>
      </w:r>
    </w:p>
    <w:p w14:paraId="3317CD12" w14:textId="1F1D3C42" w:rsidR="009A14F4" w:rsidRPr="009A14F4" w:rsidRDefault="00B3450C" w:rsidP="00B3450C">
      <w:r>
        <w:t>SDG&amp;E’s submission follows the structure of the provided QIU template.  In preparation for future submissions, SDG&amp;E requests OEIS review the template and update the section numbers to correspond to the reporting requirements of the 2021 WMP Update.  Comments within the formula for the section field indicated the IOUs were not to update the referenced 2020 WMP section list.  Therefore, SDG&amp;E has reported its 2021 WMP Update programs and metric progress within the structure of the 2020 WMP sections, as allowed by the QIU template.</w:t>
      </w:r>
    </w:p>
    <w:p w14:paraId="6DEE1D6D" w14:textId="3B8224A5" w:rsidR="00B3450C" w:rsidRDefault="009A14F4" w:rsidP="00B3450C">
      <w:r>
        <w:t xml:space="preserve">SDG&amp;E has met the commitments set forth in the 2021 WMP Update for most initiatives. </w:t>
      </w:r>
      <w:r w:rsidR="2AD1DD20" w:rsidRPr="009A14F4">
        <w:t>The</w:t>
      </w:r>
      <w:r w:rsidR="2AD1DD20" w:rsidRPr="07B55FBC">
        <w:t xml:space="preserve"> Q</w:t>
      </w:r>
      <w:r w:rsidR="29AB358D" w:rsidRPr="07B55FBC">
        <w:t>4</w:t>
      </w:r>
      <w:r w:rsidR="2AD1DD20" w:rsidRPr="07B55FBC">
        <w:t xml:space="preserve"> QIU </w:t>
      </w:r>
      <w:r w:rsidR="451B9837" w:rsidRPr="07B55FBC">
        <w:t>now</w:t>
      </w:r>
      <w:r w:rsidR="2AD1DD20" w:rsidRPr="07B55FBC">
        <w:t xml:space="preserve"> utilizes the </w:t>
      </w:r>
      <w:r w:rsidR="542FB770" w:rsidRPr="07B55FBC">
        <w:t xml:space="preserve">adjusted </w:t>
      </w:r>
      <w:r w:rsidR="2AD1DD20" w:rsidRPr="07B55FBC">
        <w:t xml:space="preserve">targets as set forth in the 2021 </w:t>
      </w:r>
      <w:r w:rsidR="76FCADF9" w:rsidRPr="07B55FBC">
        <w:t>Change Order Report for four initiatives:</w:t>
      </w:r>
    </w:p>
    <w:p w14:paraId="477ACFB6" w14:textId="1A2D14E0" w:rsidR="00B3450C" w:rsidRDefault="76FCADF9" w:rsidP="00BA388F">
      <w:pPr>
        <w:pStyle w:val="ListParagraph"/>
        <w:numPr>
          <w:ilvl w:val="0"/>
          <w:numId w:val="1"/>
        </w:numPr>
        <w:rPr>
          <w:rFonts w:eastAsiaTheme="minorEastAsia"/>
        </w:rPr>
      </w:pPr>
      <w:r>
        <w:t>Microgrids</w:t>
      </w:r>
    </w:p>
    <w:p w14:paraId="69445F52" w14:textId="2ED1241C" w:rsidR="00B3450C" w:rsidRDefault="76FCADF9" w:rsidP="00BA388F">
      <w:pPr>
        <w:pStyle w:val="ListParagraph"/>
        <w:numPr>
          <w:ilvl w:val="0"/>
          <w:numId w:val="1"/>
        </w:numPr>
        <w:rPr>
          <w:rFonts w:eastAsiaTheme="minorEastAsia"/>
        </w:rPr>
      </w:pPr>
      <w:r>
        <w:t>Resiliency Assistance Programs</w:t>
      </w:r>
    </w:p>
    <w:p w14:paraId="69BD9EF4" w14:textId="74B353C5" w:rsidR="00B3450C" w:rsidRDefault="76FCADF9" w:rsidP="00BA388F">
      <w:pPr>
        <w:pStyle w:val="ListParagraph"/>
        <w:numPr>
          <w:ilvl w:val="0"/>
          <w:numId w:val="1"/>
        </w:numPr>
        <w:rPr>
          <w:rFonts w:eastAsiaTheme="minorEastAsia"/>
        </w:rPr>
      </w:pPr>
      <w:r>
        <w:t>Lightning Arrestor Removal and Replacement</w:t>
      </w:r>
    </w:p>
    <w:p w14:paraId="082B6D75" w14:textId="6E8B3975" w:rsidR="00B3450C" w:rsidRDefault="76FCADF9" w:rsidP="00BA388F">
      <w:pPr>
        <w:pStyle w:val="ListParagraph"/>
        <w:numPr>
          <w:ilvl w:val="0"/>
          <w:numId w:val="1"/>
        </w:numPr>
      </w:pPr>
      <w:r>
        <w:t>Drone Assessments of Transmission Infrastructure</w:t>
      </w:r>
    </w:p>
    <w:p w14:paraId="2C078E63" w14:textId="18983EBB" w:rsidR="00C9357C" w:rsidRDefault="21CD2B19" w:rsidP="07B55FBC">
      <w:r>
        <w:t xml:space="preserve">The four initiatives that did not meet the 2021 targets within ten percent have </w:t>
      </w:r>
      <w:r w:rsidR="02E1C239">
        <w:t xml:space="preserve">been marked as “Delayed” with explanations for the shortcomings in the “Corrective Actions if Delayed” column.  </w:t>
      </w:r>
    </w:p>
    <w:sectPr w:rsidR="00C9357C" w:rsidSect="000D63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9D685" w14:textId="77777777" w:rsidR="00F25F4E" w:rsidRDefault="00F25F4E" w:rsidP="00B3450C">
      <w:pPr>
        <w:spacing w:after="0" w:line="240" w:lineRule="auto"/>
      </w:pPr>
      <w:r>
        <w:separator/>
      </w:r>
    </w:p>
  </w:endnote>
  <w:endnote w:type="continuationSeparator" w:id="0">
    <w:p w14:paraId="03116017" w14:textId="77777777" w:rsidR="00F25F4E" w:rsidRDefault="00F25F4E" w:rsidP="00B3450C">
      <w:pPr>
        <w:spacing w:after="0" w:line="240" w:lineRule="auto"/>
      </w:pPr>
      <w:r>
        <w:continuationSeparator/>
      </w:r>
    </w:p>
  </w:endnote>
  <w:endnote w:type="continuationNotice" w:id="1">
    <w:p w14:paraId="32D00543" w14:textId="77777777" w:rsidR="00F25F4E" w:rsidRDefault="00F25F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8104375"/>
      <w:docPartObj>
        <w:docPartGallery w:val="Page Numbers (Bottom of Page)"/>
        <w:docPartUnique/>
      </w:docPartObj>
    </w:sdtPr>
    <w:sdtEndPr>
      <w:rPr>
        <w:noProof/>
      </w:rPr>
    </w:sdtEndPr>
    <w:sdtContent>
      <w:p w14:paraId="5685745A" w14:textId="77777777" w:rsidR="00B3450C" w:rsidRDefault="00B3450C" w:rsidP="000D6378">
        <w:pPr>
          <w:pStyle w:val="Footer"/>
          <w:jc w:val="center"/>
        </w:pPr>
        <w:r w:rsidRPr="00FD7DE6">
          <w:rPr>
            <w:rFonts w:ascii="Tahoma" w:hAnsi="Tahoma" w:cs="Tahoma"/>
          </w:rPr>
          <w:t>1</w:t>
        </w:r>
      </w:p>
    </w:sdtContent>
  </w:sdt>
  <w:p w14:paraId="58CD76C9" w14:textId="77777777" w:rsidR="00B3450C" w:rsidRDefault="00B3450C" w:rsidP="000D637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11CAD" w14:textId="77777777" w:rsidR="00F25F4E" w:rsidRDefault="00F25F4E" w:rsidP="00B3450C">
      <w:pPr>
        <w:spacing w:after="0" w:line="240" w:lineRule="auto"/>
      </w:pPr>
      <w:r>
        <w:separator/>
      </w:r>
    </w:p>
  </w:footnote>
  <w:footnote w:type="continuationSeparator" w:id="0">
    <w:p w14:paraId="6727717B" w14:textId="77777777" w:rsidR="00F25F4E" w:rsidRDefault="00F25F4E" w:rsidP="00B3450C">
      <w:pPr>
        <w:spacing w:after="0" w:line="240" w:lineRule="auto"/>
      </w:pPr>
      <w:r>
        <w:continuationSeparator/>
      </w:r>
    </w:p>
  </w:footnote>
  <w:footnote w:type="continuationNotice" w:id="1">
    <w:p w14:paraId="0AD9CA92" w14:textId="77777777" w:rsidR="00F25F4E" w:rsidRDefault="00F25F4E">
      <w:pPr>
        <w:spacing w:after="0" w:line="240" w:lineRule="auto"/>
      </w:pPr>
    </w:p>
  </w:footnote>
  <w:footnote w:id="2">
    <w:p w14:paraId="18A4BC4B" w14:textId="77777777" w:rsidR="00B3450C" w:rsidRDefault="00B3450C" w:rsidP="00B3450C">
      <w:pPr>
        <w:pStyle w:val="FootnoteText"/>
      </w:pPr>
      <w:r w:rsidRPr="00233E83">
        <w:rPr>
          <w:rStyle w:val="FootnoteReference"/>
        </w:rPr>
        <w:footnoteRef/>
      </w:r>
      <w:r w:rsidRPr="00233E83">
        <w:t xml:space="preserve"> California Office of Energy Infrastructure Safety – Data Submission Procedures (July 27, 2021).</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8415F" w14:textId="77777777" w:rsidR="00B3450C" w:rsidRDefault="00B3450C" w:rsidP="000D6378">
    <w:pP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02DB1"/>
    <w:multiLevelType w:val="hybridMultilevel"/>
    <w:tmpl w:val="F3D0F304"/>
    <w:lvl w:ilvl="0" w:tplc="99C47FC4">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877E00"/>
    <w:multiLevelType w:val="hybridMultilevel"/>
    <w:tmpl w:val="14E26E64"/>
    <w:lvl w:ilvl="0" w:tplc="7C44DE36">
      <w:start w:val="1"/>
      <w:numFmt w:val="decimal"/>
      <w:lvlText w:val="%1."/>
      <w:lvlJc w:val="left"/>
      <w:pPr>
        <w:ind w:left="720" w:hanging="360"/>
      </w:pPr>
    </w:lvl>
    <w:lvl w:ilvl="1" w:tplc="7384121A">
      <w:start w:val="1"/>
      <w:numFmt w:val="lowerLetter"/>
      <w:lvlText w:val="%2."/>
      <w:lvlJc w:val="left"/>
      <w:pPr>
        <w:ind w:left="1440" w:hanging="360"/>
      </w:pPr>
    </w:lvl>
    <w:lvl w:ilvl="2" w:tplc="EC5E6870">
      <w:start w:val="1"/>
      <w:numFmt w:val="lowerRoman"/>
      <w:lvlText w:val="%3."/>
      <w:lvlJc w:val="right"/>
      <w:pPr>
        <w:ind w:left="2160" w:hanging="180"/>
      </w:pPr>
    </w:lvl>
    <w:lvl w:ilvl="3" w:tplc="0DDE4B84">
      <w:start w:val="1"/>
      <w:numFmt w:val="decimal"/>
      <w:lvlText w:val="%4."/>
      <w:lvlJc w:val="left"/>
      <w:pPr>
        <w:ind w:left="2880" w:hanging="360"/>
      </w:pPr>
    </w:lvl>
    <w:lvl w:ilvl="4" w:tplc="9ADC650E">
      <w:start w:val="1"/>
      <w:numFmt w:val="lowerLetter"/>
      <w:lvlText w:val="%5."/>
      <w:lvlJc w:val="left"/>
      <w:pPr>
        <w:ind w:left="3600" w:hanging="360"/>
      </w:pPr>
    </w:lvl>
    <w:lvl w:ilvl="5" w:tplc="4F8628A0">
      <w:start w:val="1"/>
      <w:numFmt w:val="lowerRoman"/>
      <w:lvlText w:val="%6."/>
      <w:lvlJc w:val="right"/>
      <w:pPr>
        <w:ind w:left="4320" w:hanging="180"/>
      </w:pPr>
    </w:lvl>
    <w:lvl w:ilvl="6" w:tplc="FE8A7A9C">
      <w:start w:val="1"/>
      <w:numFmt w:val="decimal"/>
      <w:lvlText w:val="%7."/>
      <w:lvlJc w:val="left"/>
      <w:pPr>
        <w:ind w:left="5040" w:hanging="360"/>
      </w:pPr>
    </w:lvl>
    <w:lvl w:ilvl="7" w:tplc="501A4840">
      <w:start w:val="1"/>
      <w:numFmt w:val="lowerLetter"/>
      <w:lvlText w:val="%8."/>
      <w:lvlJc w:val="left"/>
      <w:pPr>
        <w:ind w:left="5760" w:hanging="360"/>
      </w:pPr>
    </w:lvl>
    <w:lvl w:ilvl="8" w:tplc="3E78CDA6">
      <w:start w:val="1"/>
      <w:numFmt w:val="lowerRoman"/>
      <w:lvlText w:val="%9."/>
      <w:lvlJc w:val="right"/>
      <w:pPr>
        <w:ind w:left="6480" w:hanging="180"/>
      </w:pPr>
    </w:lvl>
  </w:abstractNum>
  <w:abstractNum w:abstractNumId="2" w15:restartNumberingAfterBreak="0">
    <w:nsid w:val="72E054D9"/>
    <w:multiLevelType w:val="hybridMultilevel"/>
    <w:tmpl w:val="7D300A8E"/>
    <w:lvl w:ilvl="0" w:tplc="91D41F36">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D54391"/>
    <w:rsid w:val="000D6378"/>
    <w:rsid w:val="00153366"/>
    <w:rsid w:val="00164785"/>
    <w:rsid w:val="001A4EBA"/>
    <w:rsid w:val="004843CD"/>
    <w:rsid w:val="00493E1E"/>
    <w:rsid w:val="004D2AD0"/>
    <w:rsid w:val="005C449C"/>
    <w:rsid w:val="009A14F4"/>
    <w:rsid w:val="009C1FC3"/>
    <w:rsid w:val="00B3450C"/>
    <w:rsid w:val="00BA388F"/>
    <w:rsid w:val="00C72698"/>
    <w:rsid w:val="00C9357C"/>
    <w:rsid w:val="00F25F4E"/>
    <w:rsid w:val="00F93074"/>
    <w:rsid w:val="00FF2691"/>
    <w:rsid w:val="02E1C239"/>
    <w:rsid w:val="07B55FBC"/>
    <w:rsid w:val="1AC914C4"/>
    <w:rsid w:val="21CD2B19"/>
    <w:rsid w:val="22753E0F"/>
    <w:rsid w:val="29AB358D"/>
    <w:rsid w:val="2AD1DD20"/>
    <w:rsid w:val="2BB7D55E"/>
    <w:rsid w:val="2F3AC603"/>
    <w:rsid w:val="3F0D8770"/>
    <w:rsid w:val="451B9837"/>
    <w:rsid w:val="494E3632"/>
    <w:rsid w:val="505154F5"/>
    <w:rsid w:val="542FB770"/>
    <w:rsid w:val="5AD54391"/>
    <w:rsid w:val="5EA0C907"/>
    <w:rsid w:val="6B3FF1AA"/>
    <w:rsid w:val="6C4B6BD7"/>
    <w:rsid w:val="76FCADF9"/>
    <w:rsid w:val="7755428C"/>
    <w:rsid w:val="7C0C632A"/>
    <w:rsid w:val="7CF9D35B"/>
    <w:rsid w:val="7E2970C7"/>
    <w:rsid w:val="7F839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54391"/>
  <w15:chartTrackingRefBased/>
  <w15:docId w15:val="{CCCFA905-2AA0-4965-BFEE-D48C7375E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50C"/>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3450C"/>
    <w:pPr>
      <w:keepNext/>
      <w:keepLines/>
      <w:numPr>
        <w:numId w:val="2"/>
      </w:numPr>
      <w:spacing w:before="120"/>
      <w:outlineLvl w:val="1"/>
    </w:pPr>
    <w:rPr>
      <w:rFonts w:asciiTheme="majorHAnsi" w:eastAsiaTheme="majorEastAsia" w:hAnsiTheme="majorHAnsi" w:cstheme="majorBidi"/>
      <w:b/>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0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3450C"/>
    <w:rPr>
      <w:rFonts w:asciiTheme="majorHAnsi" w:eastAsiaTheme="majorEastAsia" w:hAnsiTheme="majorHAnsi" w:cstheme="majorBidi"/>
      <w:b/>
      <w:color w:val="2F5496" w:themeColor="accent1" w:themeShade="BF"/>
      <w:sz w:val="26"/>
      <w:szCs w:val="26"/>
    </w:rPr>
  </w:style>
  <w:style w:type="paragraph" w:styleId="Footer">
    <w:name w:val="footer"/>
    <w:basedOn w:val="Normal"/>
    <w:link w:val="FooterChar"/>
    <w:uiPriority w:val="99"/>
    <w:unhideWhenUsed/>
    <w:rsid w:val="00B34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50C"/>
  </w:style>
  <w:style w:type="paragraph" w:styleId="FootnoteText">
    <w:name w:val="footnote text"/>
    <w:basedOn w:val="Normal"/>
    <w:link w:val="FootnoteTextChar"/>
    <w:semiHidden/>
    <w:unhideWhenUsed/>
    <w:rsid w:val="00B3450C"/>
    <w:pPr>
      <w:spacing w:after="0" w:line="240" w:lineRule="auto"/>
    </w:pPr>
    <w:rPr>
      <w:sz w:val="20"/>
      <w:szCs w:val="20"/>
    </w:rPr>
  </w:style>
  <w:style w:type="character" w:customStyle="1" w:styleId="FootnoteTextChar">
    <w:name w:val="Footnote Text Char"/>
    <w:basedOn w:val="DefaultParagraphFont"/>
    <w:link w:val="FootnoteText"/>
    <w:semiHidden/>
    <w:rsid w:val="00B3450C"/>
    <w:rPr>
      <w:sz w:val="20"/>
      <w:szCs w:val="20"/>
    </w:rPr>
  </w:style>
  <w:style w:type="character" w:styleId="FootnoteReference">
    <w:name w:val="footnote reference"/>
    <w:basedOn w:val="DefaultParagraphFont"/>
    <w:semiHidden/>
    <w:unhideWhenUsed/>
    <w:rsid w:val="00B3450C"/>
    <w:rPr>
      <w:vertAlign w:val="superscript"/>
    </w:rPr>
  </w:style>
  <w:style w:type="paragraph" w:styleId="Header">
    <w:name w:val="header"/>
    <w:basedOn w:val="Normal"/>
    <w:link w:val="HeaderChar"/>
    <w:uiPriority w:val="99"/>
    <w:semiHidden/>
    <w:unhideWhenUsed/>
    <w:rsid w:val="00B345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450C"/>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C44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C5B34FB2B05C498322EC0E0E7F8BBD" ma:contentTypeVersion="13" ma:contentTypeDescription="Create a new document." ma:contentTypeScope="" ma:versionID="35348b1fb14a9f36c67915547cc06658">
  <xsd:schema xmlns:xsd="http://www.w3.org/2001/XMLSchema" xmlns:xs="http://www.w3.org/2001/XMLSchema" xmlns:p="http://schemas.microsoft.com/office/2006/metadata/properties" xmlns:ns2="2104ad18-0c40-4759-978d-9031b6355d10" xmlns:ns3="80a17f64-e774-4a01-b2f5-de7df872f7b3" targetNamespace="http://schemas.microsoft.com/office/2006/metadata/properties" ma:root="true" ma:fieldsID="a74602aa40dd929294faf41716f5ba75" ns2:_="" ns3:_="">
    <xsd:import namespace="2104ad18-0c40-4759-978d-9031b6355d10"/>
    <xsd:import namespace="80a17f64-e774-4a01-b2f5-de7df872f7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4ad18-0c40-4759-978d-9031b6355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a17f64-e774-4a01-b2f5-de7df872f7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B53087-A4CD-4DE7-87E3-72C689D93E92}">
  <ds:schemaRefs>
    <ds:schemaRef ds:uri="http://schemas.microsoft.com/sharepoint/v3/contenttype/forms"/>
  </ds:schemaRefs>
</ds:datastoreItem>
</file>

<file path=customXml/itemProps2.xml><?xml version="1.0" encoding="utf-8"?>
<ds:datastoreItem xmlns:ds="http://schemas.openxmlformats.org/officeDocument/2006/customXml" ds:itemID="{84CBD7B1-4B57-4A64-952D-1E91327863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574874-F5F6-4660-B12E-BD6658485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4ad18-0c40-4759-978d-9031b6355d10"/>
    <ds:schemaRef ds:uri="80a17f64-e774-4a01-b2f5-de7df872f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Strutner, Maddy</dc:creator>
  <cp:keywords/>
  <dc:description/>
  <cp:lastModifiedBy>Strutner, Maddy</cp:lastModifiedBy>
  <cp:revision>15</cp:revision>
  <dcterms:created xsi:type="dcterms:W3CDTF">2022-01-10T21:59:00Z</dcterms:created>
  <dcterms:modified xsi:type="dcterms:W3CDTF">2022-02-01T22:44:00Z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0x0101007BC5B34FB2B05C498322EC0E0E7F8BBD</vt:lpwstr>
  </property>
</Properties>
</file>