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BC5F2" w14:textId="77777777" w:rsidR="00206C7A" w:rsidRPr="00187268" w:rsidRDefault="00206C7A" w:rsidP="00206C7A">
      <w:pPr>
        <w:pStyle w:val="Heading1"/>
        <w:numPr>
          <w:ilvl w:val="0"/>
          <w:numId w:val="0"/>
        </w:numPr>
      </w:pPr>
      <w:bookmarkStart w:id="0" w:name="_Toc50559427"/>
    </w:p>
    <w:p w14:paraId="5A35B33F" w14:textId="77777777" w:rsidR="00206C7A" w:rsidRPr="00187268" w:rsidRDefault="00206C7A" w:rsidP="00206C7A"/>
    <w:p w14:paraId="592A6C06" w14:textId="77777777" w:rsidR="00206C7A" w:rsidRPr="00187268" w:rsidRDefault="00206C7A" w:rsidP="00206C7A"/>
    <w:p w14:paraId="4B7F10D9" w14:textId="77777777" w:rsidR="00206C7A" w:rsidRPr="00187268" w:rsidRDefault="00206C7A" w:rsidP="00206C7A"/>
    <w:p w14:paraId="64B63989" w14:textId="77777777" w:rsidR="00206C7A" w:rsidRPr="00187268" w:rsidRDefault="00206C7A" w:rsidP="00206C7A"/>
    <w:p w14:paraId="3DCA1B68" w14:textId="77777777" w:rsidR="00206C7A" w:rsidRDefault="00206C7A" w:rsidP="00206C7A">
      <w:pPr>
        <w:spacing w:after="0"/>
        <w:jc w:val="center"/>
        <w:rPr>
          <w:sz w:val="56"/>
          <w:szCs w:val="56"/>
        </w:rPr>
      </w:pPr>
      <w:r w:rsidRPr="00187268">
        <w:rPr>
          <w:sz w:val="56"/>
          <w:szCs w:val="56"/>
        </w:rPr>
        <w:t>San Diego Gas &amp; Electric Company’s</w:t>
      </w:r>
    </w:p>
    <w:p w14:paraId="0D8A2812" w14:textId="77777777" w:rsidR="00206C7A" w:rsidRDefault="00206C7A" w:rsidP="00206C7A">
      <w:pPr>
        <w:spacing w:after="0"/>
        <w:jc w:val="center"/>
        <w:rPr>
          <w:sz w:val="56"/>
          <w:szCs w:val="56"/>
        </w:rPr>
      </w:pPr>
      <w:r>
        <w:rPr>
          <w:sz w:val="56"/>
          <w:szCs w:val="56"/>
        </w:rPr>
        <w:t xml:space="preserve">Quarterly Data Report on WMP </w:t>
      </w:r>
    </w:p>
    <w:p w14:paraId="082FF25D" w14:textId="77777777" w:rsidR="00206C7A" w:rsidRPr="00187268" w:rsidRDefault="00206C7A" w:rsidP="00206C7A">
      <w:pPr>
        <w:spacing w:after="0"/>
        <w:jc w:val="center"/>
        <w:rPr>
          <w:sz w:val="56"/>
          <w:szCs w:val="56"/>
        </w:rPr>
      </w:pPr>
      <w:r>
        <w:rPr>
          <w:sz w:val="56"/>
          <w:szCs w:val="56"/>
        </w:rPr>
        <w:t>Spatial and Non-Spatial Data (QDR)</w:t>
      </w:r>
    </w:p>
    <w:p w14:paraId="327199A0" w14:textId="77777777" w:rsidR="00206C7A" w:rsidRDefault="00206C7A" w:rsidP="00206C7A">
      <w:pPr>
        <w:spacing w:after="0"/>
        <w:jc w:val="center"/>
        <w:rPr>
          <w:sz w:val="56"/>
          <w:szCs w:val="56"/>
        </w:rPr>
      </w:pPr>
    </w:p>
    <w:p w14:paraId="4B1F5FAC" w14:textId="77777777" w:rsidR="00206C7A" w:rsidRDefault="00206C7A" w:rsidP="00206C7A">
      <w:pPr>
        <w:spacing w:after="0"/>
        <w:jc w:val="center"/>
        <w:rPr>
          <w:sz w:val="56"/>
          <w:szCs w:val="56"/>
        </w:rPr>
      </w:pPr>
    </w:p>
    <w:p w14:paraId="0DA62D71" w14:textId="77777777" w:rsidR="00206C7A" w:rsidRDefault="00206C7A" w:rsidP="00206C7A">
      <w:pPr>
        <w:spacing w:after="0"/>
        <w:jc w:val="center"/>
        <w:rPr>
          <w:sz w:val="56"/>
          <w:szCs w:val="56"/>
        </w:rPr>
      </w:pPr>
    </w:p>
    <w:p w14:paraId="3B2A075E" w14:textId="151EC67A" w:rsidR="00206C7A" w:rsidRPr="00187268" w:rsidRDefault="00206C7A" w:rsidP="00206C7A">
      <w:pPr>
        <w:spacing w:after="0"/>
        <w:jc w:val="center"/>
        <w:rPr>
          <w:sz w:val="44"/>
          <w:szCs w:val="44"/>
        </w:rPr>
      </w:pPr>
      <w:r>
        <w:rPr>
          <w:sz w:val="44"/>
          <w:szCs w:val="44"/>
        </w:rPr>
        <w:t xml:space="preserve">February 1, </w:t>
      </w:r>
      <w:r w:rsidR="0D6FD684" w:rsidRPr="168920B2">
        <w:rPr>
          <w:sz w:val="44"/>
          <w:szCs w:val="44"/>
        </w:rPr>
        <w:t>202</w:t>
      </w:r>
      <w:r w:rsidR="0991E21E" w:rsidRPr="168920B2">
        <w:rPr>
          <w:sz w:val="44"/>
          <w:szCs w:val="44"/>
        </w:rPr>
        <w:t>2</w:t>
      </w:r>
    </w:p>
    <w:p w14:paraId="56696748" w14:textId="77777777" w:rsidR="00206C7A" w:rsidRDefault="00206C7A" w:rsidP="00206C7A">
      <w:pPr>
        <w:spacing w:after="0"/>
        <w:jc w:val="center"/>
        <w:rPr>
          <w:sz w:val="56"/>
          <w:szCs w:val="56"/>
        </w:rPr>
      </w:pPr>
    </w:p>
    <w:p w14:paraId="24AC0F99" w14:textId="77777777" w:rsidR="00206C7A" w:rsidRPr="00187268" w:rsidRDefault="00206C7A" w:rsidP="00206C7A">
      <w:pPr>
        <w:spacing w:after="0"/>
        <w:jc w:val="center"/>
        <w:rPr>
          <w:sz w:val="56"/>
          <w:szCs w:val="56"/>
        </w:rPr>
      </w:pPr>
    </w:p>
    <w:p w14:paraId="77DF1D45" w14:textId="77777777" w:rsidR="00206C7A" w:rsidRPr="00187268" w:rsidRDefault="00206C7A" w:rsidP="00206C7A">
      <w:pPr>
        <w:spacing w:after="0"/>
        <w:jc w:val="center"/>
        <w:rPr>
          <w:sz w:val="56"/>
          <w:szCs w:val="56"/>
        </w:rPr>
      </w:pPr>
    </w:p>
    <w:p w14:paraId="4572E537" w14:textId="088EE5AF" w:rsidR="00206C7A" w:rsidRPr="00187268" w:rsidRDefault="3BEA19D6" w:rsidP="00C9349C">
      <w:pPr>
        <w:spacing w:after="0"/>
        <w:jc w:val="center"/>
        <w:sectPr w:rsidR="00206C7A" w:rsidRPr="00187268" w:rsidSect="00AC1E21">
          <w:headerReference w:type="default" r:id="rId10"/>
          <w:footerReference w:type="default" r:id="rId11"/>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r>
        <w:rPr>
          <w:noProof/>
        </w:rPr>
        <w:drawing>
          <wp:inline distT="0" distB="0" distL="0" distR="0" wp14:anchorId="4A66FC65" wp14:editId="7B5A7C0D">
            <wp:extent cx="2181225" cy="1425638"/>
            <wp:effectExtent l="0" t="0" r="0" b="0"/>
            <wp:docPr id="1312456696" name="Picture 1312456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2185618" cy="1428509"/>
                    </a:xfrm>
                    <a:prstGeom prst="rect">
                      <a:avLst/>
                    </a:prstGeom>
                  </pic:spPr>
                </pic:pic>
              </a:graphicData>
            </a:graphic>
          </wp:inline>
        </w:drawing>
      </w:r>
      <w:r w:rsidR="00C9349C">
        <w:br/>
      </w:r>
    </w:p>
    <w:bookmarkEnd w:id="0"/>
    <w:p w14:paraId="63D04047" w14:textId="1F6A50EA" w:rsidR="00206C7A" w:rsidRDefault="00206C7A" w:rsidP="00206C7A">
      <w:pPr>
        <w:spacing w:line="257" w:lineRule="auto"/>
        <w:rPr>
          <w:rFonts w:ascii="Calibri" w:eastAsia="Calibri" w:hAnsi="Calibri" w:cs="Calibri"/>
        </w:rPr>
      </w:pPr>
      <w:r w:rsidRPr="66D43B06">
        <w:rPr>
          <w:rFonts w:ascii="Calibri" w:eastAsia="Calibri" w:hAnsi="Calibri" w:cs="Calibri"/>
        </w:rPr>
        <w:lastRenderedPageBreak/>
        <w:t xml:space="preserve">Pursuant to the California Public Utilities Commission (Commission or CPUC) Resolution WSD-011, and Wildfire Safety Division’s Compliance Operational Protocols, issued February 16, 2021, SDG&amp;E hereby submits its Quarterly Data Report (QDR) for the period </w:t>
      </w:r>
      <w:r>
        <w:rPr>
          <w:rFonts w:ascii="Calibri" w:eastAsia="Calibri" w:hAnsi="Calibri" w:cs="Calibri"/>
        </w:rPr>
        <w:t>October</w:t>
      </w:r>
      <w:r w:rsidRPr="66D43B06">
        <w:rPr>
          <w:rFonts w:ascii="Calibri" w:eastAsia="Calibri" w:hAnsi="Calibri" w:cs="Calibri"/>
        </w:rPr>
        <w:t xml:space="preserve"> 1, </w:t>
      </w:r>
      <w:proofErr w:type="gramStart"/>
      <w:r w:rsidRPr="66D43B06">
        <w:rPr>
          <w:rFonts w:ascii="Calibri" w:eastAsia="Calibri" w:hAnsi="Calibri" w:cs="Calibri"/>
        </w:rPr>
        <w:t>2021</w:t>
      </w:r>
      <w:proofErr w:type="gramEnd"/>
      <w:r w:rsidRPr="66D43B06">
        <w:rPr>
          <w:rFonts w:ascii="Calibri" w:eastAsia="Calibri" w:hAnsi="Calibri" w:cs="Calibri"/>
        </w:rPr>
        <w:t xml:space="preserve"> through </w:t>
      </w:r>
      <w:r>
        <w:rPr>
          <w:rFonts w:ascii="Calibri" w:eastAsia="Calibri" w:hAnsi="Calibri" w:cs="Calibri"/>
        </w:rPr>
        <w:t>December</w:t>
      </w:r>
      <w:r w:rsidRPr="66D43B06">
        <w:rPr>
          <w:rFonts w:ascii="Calibri" w:eastAsia="Calibri" w:hAnsi="Calibri" w:cs="Calibri"/>
        </w:rPr>
        <w:t xml:space="preserve"> 3</w:t>
      </w:r>
      <w:r>
        <w:rPr>
          <w:rFonts w:ascii="Calibri" w:eastAsia="Calibri" w:hAnsi="Calibri" w:cs="Calibri"/>
        </w:rPr>
        <w:t>1</w:t>
      </w:r>
      <w:r w:rsidRPr="66D43B06">
        <w:rPr>
          <w:rFonts w:ascii="Calibri" w:eastAsia="Calibri" w:hAnsi="Calibri" w:cs="Calibri"/>
        </w:rPr>
        <w:t>, 2021 (Q</w:t>
      </w:r>
      <w:r>
        <w:rPr>
          <w:rFonts w:ascii="Calibri" w:eastAsia="Calibri" w:hAnsi="Calibri" w:cs="Calibri"/>
        </w:rPr>
        <w:t>4</w:t>
      </w:r>
      <w:r w:rsidRPr="66D43B06">
        <w:rPr>
          <w:rFonts w:ascii="Calibri" w:eastAsia="Calibri" w:hAnsi="Calibri" w:cs="Calibri"/>
        </w:rPr>
        <w:t xml:space="preserve">). A copy of this report is being provided to </w:t>
      </w:r>
      <w:r>
        <w:t>the California Office of Energy Infrastructure Safety (OEIS) docket and the service list of Rulemaking (R.) 18-10-007.</w:t>
      </w:r>
    </w:p>
    <w:p w14:paraId="473EC0B4" w14:textId="77777777" w:rsidR="00206C7A" w:rsidRPr="005408F6" w:rsidRDefault="00206C7A" w:rsidP="00206C7A">
      <w:pPr>
        <w:spacing w:line="257" w:lineRule="auto"/>
        <w:rPr>
          <w:rFonts w:ascii="Calibri" w:eastAsia="Calibri" w:hAnsi="Calibri" w:cs="Calibri"/>
        </w:rPr>
      </w:pPr>
      <w:r w:rsidRPr="66D43B06">
        <w:rPr>
          <w:rFonts w:ascii="Calibri" w:eastAsia="Calibri" w:hAnsi="Calibri" w:cs="Calibri"/>
        </w:rPr>
        <w:t>Specifically, this QDR provides the following:</w:t>
      </w:r>
    </w:p>
    <w:p w14:paraId="4D739C38" w14:textId="3301A582" w:rsidR="00206C7A" w:rsidRPr="005408F6" w:rsidRDefault="00206C7A" w:rsidP="00206C7A">
      <w:pPr>
        <w:pStyle w:val="ListParagraph"/>
        <w:numPr>
          <w:ilvl w:val="0"/>
          <w:numId w:val="3"/>
        </w:numPr>
        <w:spacing w:line="257" w:lineRule="auto"/>
        <w:rPr>
          <w:rFonts w:ascii="Calibri" w:eastAsia="Calibri" w:hAnsi="Calibri" w:cs="Calibri"/>
        </w:rPr>
      </w:pPr>
      <w:r w:rsidRPr="1702D703">
        <w:rPr>
          <w:rFonts w:ascii="Calibri" w:eastAsia="Calibri" w:hAnsi="Calibri" w:cs="Calibri"/>
        </w:rPr>
        <w:t>Non-Spatial Data Tables in the format previously provided by WSD (“202</w:t>
      </w:r>
      <w:r w:rsidR="22D7E023" w:rsidRPr="7D3ACD59">
        <w:rPr>
          <w:rFonts w:ascii="Calibri" w:eastAsia="Calibri" w:hAnsi="Calibri" w:cs="Calibri"/>
        </w:rPr>
        <w:t>1</w:t>
      </w:r>
      <w:r w:rsidRPr="1702D703">
        <w:rPr>
          <w:rFonts w:ascii="Calibri" w:eastAsia="Calibri" w:hAnsi="Calibri" w:cs="Calibri"/>
        </w:rPr>
        <w:t>Q</w:t>
      </w:r>
      <w:r w:rsidR="0097137E">
        <w:rPr>
          <w:rFonts w:ascii="Calibri" w:eastAsia="Calibri" w:hAnsi="Calibri" w:cs="Calibri"/>
        </w:rPr>
        <w:t>4</w:t>
      </w:r>
      <w:r w:rsidRPr="1702D703">
        <w:rPr>
          <w:rFonts w:ascii="Calibri" w:eastAsia="Calibri" w:hAnsi="Calibri" w:cs="Calibri"/>
        </w:rPr>
        <w:t xml:space="preserve"> QDR – Non-Spatial Data </w:t>
      </w:r>
      <w:r w:rsidR="0097137E">
        <w:rPr>
          <w:rFonts w:ascii="Calibri" w:eastAsia="Calibri" w:hAnsi="Calibri" w:cs="Calibri"/>
        </w:rPr>
        <w:t>02 01</w:t>
      </w:r>
      <w:r w:rsidRPr="1702D703">
        <w:rPr>
          <w:rFonts w:ascii="Calibri" w:eastAsia="Calibri" w:hAnsi="Calibri" w:cs="Calibri"/>
        </w:rPr>
        <w:t xml:space="preserve"> 202</w:t>
      </w:r>
      <w:r w:rsidR="0097137E">
        <w:rPr>
          <w:rFonts w:ascii="Calibri" w:eastAsia="Calibri" w:hAnsi="Calibri" w:cs="Calibri"/>
        </w:rPr>
        <w:t>2</w:t>
      </w:r>
      <w:r w:rsidRPr="1702D703">
        <w:rPr>
          <w:rFonts w:ascii="Calibri" w:eastAsia="Calibri" w:hAnsi="Calibri" w:cs="Calibri"/>
        </w:rPr>
        <w:t>.xlsx”)</w:t>
      </w:r>
      <w:r w:rsidRPr="1702D703">
        <w:rPr>
          <w:rStyle w:val="FootnoteReference"/>
          <w:rFonts w:ascii="Calibri" w:eastAsia="Calibri" w:hAnsi="Calibri" w:cs="Calibri"/>
        </w:rPr>
        <w:footnoteReference w:id="2"/>
      </w:r>
    </w:p>
    <w:p w14:paraId="673D0096" w14:textId="6BE5CAE1" w:rsidR="00206C7A" w:rsidRPr="005408F6" w:rsidRDefault="00206C7A" w:rsidP="00206C7A">
      <w:pPr>
        <w:pStyle w:val="ListParagraph"/>
        <w:numPr>
          <w:ilvl w:val="0"/>
          <w:numId w:val="3"/>
        </w:numPr>
        <w:spacing w:line="257" w:lineRule="auto"/>
        <w:rPr>
          <w:rFonts w:ascii="Calibri" w:eastAsia="Calibri" w:hAnsi="Calibri" w:cs="Calibri"/>
        </w:rPr>
      </w:pPr>
      <w:r w:rsidRPr="674D7064">
        <w:rPr>
          <w:rFonts w:ascii="Calibri" w:eastAsia="Calibri" w:hAnsi="Calibri" w:cs="Calibri"/>
        </w:rPr>
        <w:t>A geodatabase file containing SDG&amp;E’s currently available WMP reportable data in the schema provided by WSD (confidential file “SDGE_202</w:t>
      </w:r>
      <w:r w:rsidR="0097137E">
        <w:rPr>
          <w:rFonts w:ascii="Calibri" w:eastAsia="Calibri" w:hAnsi="Calibri" w:cs="Calibri"/>
        </w:rPr>
        <w:t>1</w:t>
      </w:r>
      <w:r w:rsidR="78A88812" w:rsidRPr="7D3ACD59">
        <w:rPr>
          <w:rFonts w:ascii="Calibri" w:eastAsia="Calibri" w:hAnsi="Calibri" w:cs="Calibri"/>
        </w:rPr>
        <w:t>_Q4</w:t>
      </w:r>
      <w:r w:rsidRPr="674D7064">
        <w:rPr>
          <w:rFonts w:ascii="Calibri" w:eastAsia="Calibri" w:hAnsi="Calibri" w:cs="Calibri"/>
        </w:rPr>
        <w:t>.gdb.zip</w:t>
      </w:r>
      <w:r w:rsidR="16D78A83" w:rsidRPr="7D3ACD59">
        <w:rPr>
          <w:rFonts w:ascii="Calibri" w:eastAsia="Calibri" w:hAnsi="Calibri" w:cs="Calibri"/>
        </w:rPr>
        <w:t>”)</w:t>
      </w:r>
      <w:r w:rsidR="61EA7514" w:rsidRPr="7D3ACD59">
        <w:rPr>
          <w:rFonts w:ascii="Calibri" w:eastAsia="Calibri" w:hAnsi="Calibri" w:cs="Calibri"/>
        </w:rPr>
        <w:t xml:space="preserve"> based on version 2.1 of the OEIS GIS schema</w:t>
      </w:r>
      <w:r w:rsidR="16D78A83" w:rsidRPr="7D3ACD59">
        <w:rPr>
          <w:rFonts w:ascii="Calibri" w:eastAsia="Calibri" w:hAnsi="Calibri" w:cs="Calibri"/>
        </w:rPr>
        <w:t>.</w:t>
      </w:r>
      <w:r w:rsidRPr="674D7064">
        <w:rPr>
          <w:rFonts w:ascii="Calibri" w:eastAsia="Calibri" w:hAnsi="Calibri" w:cs="Calibri"/>
        </w:rPr>
        <w:t xml:space="preserve"> </w:t>
      </w:r>
      <w:r>
        <w:rPr>
          <w:rFonts w:ascii="Calibri" w:eastAsia="Calibri" w:hAnsi="Calibri" w:cs="Calibri"/>
        </w:rPr>
        <w:t xml:space="preserve"> </w:t>
      </w:r>
      <w:r w:rsidRPr="674D7064">
        <w:rPr>
          <w:rFonts w:ascii="Calibri" w:eastAsia="Calibri" w:hAnsi="Calibri" w:cs="Calibri"/>
        </w:rPr>
        <w:t>SDG&amp;E is also providing an accompanying confidentiality declaration.</w:t>
      </w:r>
    </w:p>
    <w:p w14:paraId="2A4C5814" w14:textId="402B9B25" w:rsidR="00206C7A" w:rsidRPr="005408F6" w:rsidRDefault="00206C7A" w:rsidP="00206C7A">
      <w:pPr>
        <w:pStyle w:val="ListParagraph"/>
        <w:numPr>
          <w:ilvl w:val="0"/>
          <w:numId w:val="3"/>
        </w:numPr>
        <w:spacing w:line="257" w:lineRule="auto"/>
        <w:rPr>
          <w:rFonts w:ascii="Calibri" w:eastAsia="Calibri" w:hAnsi="Calibri" w:cs="Calibri"/>
        </w:rPr>
      </w:pPr>
      <w:r w:rsidRPr="66D43B06">
        <w:rPr>
          <w:rFonts w:ascii="Calibri" w:eastAsia="Calibri" w:hAnsi="Calibri" w:cs="Calibri"/>
        </w:rPr>
        <w:t>The QDR Status Report, which in accordance with previously provided guidance, is an excel spreadsheet “</w:t>
      </w:r>
      <w:r w:rsidR="25018DF5" w:rsidRPr="7D3ACD59">
        <w:rPr>
          <w:rFonts w:ascii="Calibri" w:eastAsia="Calibri" w:hAnsi="Calibri" w:cs="Calibri"/>
        </w:rPr>
        <w:t>Energy Safety QDR Spatial Data Status Report SDGE 2021 Q4</w:t>
      </w:r>
      <w:r w:rsidRPr="66D43B06">
        <w:rPr>
          <w:rFonts w:ascii="Calibri" w:eastAsia="Calibri" w:hAnsi="Calibri" w:cs="Calibri"/>
        </w:rPr>
        <w:t>.xlsx” which provides line by line accounting of the data included within this QDR, as well as an explanation of data gaps and timelines for gathering data not currently included in the confidential geodatabase file.</w:t>
      </w:r>
      <w:r w:rsidR="6764C3E0" w:rsidRPr="7D3ACD59">
        <w:rPr>
          <w:rFonts w:ascii="Calibri" w:eastAsia="Calibri" w:hAnsi="Calibri" w:cs="Calibri"/>
        </w:rPr>
        <w:t xml:space="preserve">  This file is based on version 2.2 of the OEIS GIS Status Report due to the missing attributes in version 2.1.</w:t>
      </w:r>
    </w:p>
    <w:p w14:paraId="4DDBCC15" w14:textId="6202A7B8" w:rsidR="00206C7A" w:rsidRPr="003D67B6" w:rsidRDefault="00206C7A" w:rsidP="00206C7A">
      <w:pPr>
        <w:pStyle w:val="ListParagraph"/>
        <w:numPr>
          <w:ilvl w:val="0"/>
          <w:numId w:val="3"/>
        </w:numPr>
        <w:spacing w:line="257" w:lineRule="auto"/>
        <w:rPr>
          <w:rFonts w:ascii="Calibri" w:eastAsia="Calibri" w:hAnsi="Calibri" w:cs="Calibri"/>
        </w:rPr>
      </w:pPr>
      <w:r w:rsidRPr="003D67B6">
        <w:rPr>
          <w:rFonts w:ascii="Calibri" w:eastAsia="Calibri" w:hAnsi="Calibri" w:cs="Calibri"/>
        </w:rPr>
        <w:t>The “SDGE_InitiativePhotoLog_202</w:t>
      </w:r>
      <w:r w:rsidR="0097137E" w:rsidRPr="003D67B6">
        <w:rPr>
          <w:rFonts w:ascii="Calibri" w:eastAsia="Calibri" w:hAnsi="Calibri" w:cs="Calibri"/>
        </w:rPr>
        <w:t>202</w:t>
      </w:r>
      <w:r w:rsidRPr="003D67B6">
        <w:rPr>
          <w:rFonts w:ascii="Calibri" w:eastAsia="Calibri" w:hAnsi="Calibri" w:cs="Calibri"/>
        </w:rPr>
        <w:t>01 Feature Class” contains an additional field called Hyperlink that contains a URL to the photos that relate to the compliance findings in the Asset Inspection Point for the DIAR Program.  SDG&amp;E will provide access to OEIS staff that will be reviewing the photos.</w:t>
      </w:r>
    </w:p>
    <w:p w14:paraId="571D6B8B" w14:textId="6561BC22" w:rsidR="00206C7A" w:rsidRPr="005968D0" w:rsidRDefault="00206C7A" w:rsidP="005968D0">
      <w:pPr>
        <w:rPr>
          <w:rFonts w:ascii="Calibri Light" w:eastAsia="Calibri Light" w:hAnsi="Calibri Light" w:cs="Calibri Light"/>
        </w:rPr>
      </w:pPr>
      <w:r w:rsidRPr="00233E83">
        <w:t xml:space="preserve">As directed by OEIS, SDG&amp;E is submitting its </w:t>
      </w:r>
      <w:r>
        <w:t xml:space="preserve">complete QDR, including all </w:t>
      </w:r>
      <w:r w:rsidRPr="47C4433E">
        <w:t>confidential</w:t>
      </w:r>
      <w:r>
        <w:t xml:space="preserve"> information and supporting declarations</w:t>
      </w:r>
      <w:r w:rsidRPr="00233E83">
        <w:t xml:space="preserve"> via </w:t>
      </w:r>
      <w:r w:rsidRPr="00AD0104">
        <w:rPr>
          <w:rFonts w:cstheme="minorHAnsi"/>
        </w:rPr>
        <w:t>SharePoint.</w:t>
      </w:r>
      <w:r w:rsidRPr="00AD0104">
        <w:rPr>
          <w:rStyle w:val="FootnoteReference"/>
          <w:rFonts w:cstheme="minorHAnsi"/>
        </w:rPr>
        <w:footnoteReference w:id="3"/>
      </w:r>
      <w:r w:rsidRPr="00AD0104">
        <w:rPr>
          <w:rFonts w:eastAsia="Calibri Light" w:cstheme="minorHAnsi"/>
          <w:b/>
          <w:bCs/>
        </w:rPr>
        <w:t xml:space="preserve"> </w:t>
      </w:r>
      <w:r w:rsidR="00AD0104" w:rsidRPr="00AD0104">
        <w:rPr>
          <w:rFonts w:eastAsia="Calibri Light" w:cstheme="minorHAnsi"/>
        </w:rPr>
        <w:t>SDG&amp;E also includes</w:t>
      </w:r>
      <w:r w:rsidR="00AE1AB2">
        <w:rPr>
          <w:rFonts w:eastAsia="Calibri Light" w:cstheme="minorHAnsi"/>
        </w:rPr>
        <w:t xml:space="preserve"> </w:t>
      </w:r>
      <w:r w:rsidR="00A354FC">
        <w:rPr>
          <w:rFonts w:eastAsia="Calibri Light" w:cstheme="minorHAnsi"/>
        </w:rPr>
        <w:t>two</w:t>
      </w:r>
      <w:r w:rsidR="00AE1AB2">
        <w:rPr>
          <w:rFonts w:eastAsia="Calibri Light" w:cstheme="minorHAnsi"/>
        </w:rPr>
        <w:t xml:space="preserve"> </w:t>
      </w:r>
      <w:r w:rsidR="00A354FC">
        <w:rPr>
          <w:rFonts w:eastAsia="Calibri Light" w:cstheme="minorHAnsi"/>
        </w:rPr>
        <w:t>appendices</w:t>
      </w:r>
      <w:r w:rsidR="00AE1AB2">
        <w:rPr>
          <w:rFonts w:eastAsia="Calibri Light" w:cstheme="minorHAnsi"/>
        </w:rPr>
        <w:t xml:space="preserve"> that explai</w:t>
      </w:r>
      <w:r w:rsidR="003631F3">
        <w:rPr>
          <w:rFonts w:eastAsia="Calibri Light" w:cstheme="minorHAnsi"/>
        </w:rPr>
        <w:t>n</w:t>
      </w:r>
      <w:r w:rsidR="00AE1AB2">
        <w:rPr>
          <w:rFonts w:eastAsia="Calibri Light" w:cstheme="minorHAnsi"/>
        </w:rPr>
        <w:t xml:space="preserve"> updates to t</w:t>
      </w:r>
      <w:r w:rsidR="009C1A15">
        <w:rPr>
          <w:rFonts w:eastAsia="Calibri Light" w:cstheme="minorHAnsi"/>
        </w:rPr>
        <w:t xml:space="preserve">he data. </w:t>
      </w:r>
    </w:p>
    <w:p w14:paraId="1EB38518" w14:textId="77777777" w:rsidR="00206C7A" w:rsidRDefault="00206C7A" w:rsidP="00206C7A">
      <w:pPr>
        <w:pStyle w:val="Heading2"/>
        <w:numPr>
          <w:ilvl w:val="0"/>
          <w:numId w:val="0"/>
        </w:numPr>
        <w:rPr>
          <w:rFonts w:ascii="Calibri Light" w:eastAsia="Calibri Light" w:hAnsi="Calibri Light" w:cs="Calibri Light"/>
          <w:b w:val="0"/>
        </w:rPr>
      </w:pPr>
      <w:r w:rsidRPr="66D43B06">
        <w:rPr>
          <w:rFonts w:ascii="Calibri Light" w:eastAsia="Calibri Light" w:hAnsi="Calibri Light" w:cs="Calibri Light"/>
          <w:b w:val="0"/>
        </w:rPr>
        <w:t>SDG&amp;E’s Quarterly Data Report: Spatial</w:t>
      </w:r>
    </w:p>
    <w:p w14:paraId="6805BC23" w14:textId="77777777" w:rsidR="00206C7A" w:rsidRDefault="00206C7A" w:rsidP="00206C7A">
      <w:pPr>
        <w:spacing w:line="257" w:lineRule="auto"/>
        <w:rPr>
          <w:rFonts w:ascii="Calibri" w:eastAsia="Calibri" w:hAnsi="Calibri" w:cs="Calibri"/>
        </w:rPr>
      </w:pPr>
      <w:r w:rsidRPr="66D43B06">
        <w:rPr>
          <w:rFonts w:ascii="Calibri" w:eastAsia="Calibri" w:hAnsi="Calibri" w:cs="Calibri"/>
        </w:rPr>
        <w:t xml:space="preserve">In its previous QDR submissions, SDG&amp;E has sought clarification of various issues related to the design of the geodatabase template and looks forward to an opportunity to work with OEIS and stakeholders on potential refinements.  In the meantime, SDG&amp;E has invested in a technical data solution to aggregate data from multiple sources for reporting from a single database.  This solution is evolving each submission as we work towards automation of the deliverables.  </w:t>
      </w:r>
    </w:p>
    <w:p w14:paraId="3F0F836D" w14:textId="77777777" w:rsidR="00206C7A" w:rsidRDefault="00206C7A" w:rsidP="00206C7A">
      <w:pPr>
        <w:spacing w:line="257" w:lineRule="auto"/>
        <w:rPr>
          <w:rFonts w:ascii="Calibri" w:eastAsia="Calibri" w:hAnsi="Calibri" w:cs="Calibri"/>
        </w:rPr>
      </w:pPr>
      <w:r w:rsidRPr="66D43B06">
        <w:rPr>
          <w:rFonts w:ascii="Calibri" w:eastAsia="Calibri" w:hAnsi="Calibri" w:cs="Calibri"/>
        </w:rPr>
        <w:t xml:space="preserve">To provide insight to OEIS related to SDG&amp;E’s quarterly data reporting capabilities, SDG&amp;E has continued to use the status report to indicate if data is available to be reported. </w:t>
      </w:r>
      <w:r>
        <w:rPr>
          <w:rFonts w:ascii="Calibri" w:eastAsia="Calibri" w:hAnsi="Calibri" w:cs="Calibri"/>
        </w:rPr>
        <w:t xml:space="preserve"> </w:t>
      </w:r>
      <w:r w:rsidRPr="66D43B06">
        <w:rPr>
          <w:rFonts w:ascii="Calibri" w:eastAsia="Calibri" w:hAnsi="Calibri" w:cs="Calibri"/>
        </w:rPr>
        <w:t xml:space="preserve">This applies to data fields not included in this specific deliverable because no events occurred during the reporting timeframe, for which SDG&amp;E marked “yes” that data was included and provided clarification in the data </w:t>
      </w:r>
      <w:r w:rsidRPr="66D43B06">
        <w:rPr>
          <w:rFonts w:ascii="Calibri" w:eastAsia="Calibri" w:hAnsi="Calibri" w:cs="Calibri"/>
        </w:rPr>
        <w:lastRenderedPageBreak/>
        <w:t xml:space="preserve">availability field that there was “No reportable data for this quarterly report.”  SDG&amp;E’s rationale is to provide a clear picture of the current reporting capabilities, regardless of the number of reportable events during a given reporting period. </w:t>
      </w:r>
    </w:p>
    <w:p w14:paraId="5131B7FA" w14:textId="1D9750D5" w:rsidR="00206C7A" w:rsidRDefault="00206C7A" w:rsidP="00206C7A">
      <w:pPr>
        <w:spacing w:line="257" w:lineRule="auto"/>
        <w:rPr>
          <w:rFonts w:ascii="Calibri" w:eastAsia="Calibri" w:hAnsi="Calibri" w:cs="Calibri"/>
        </w:rPr>
      </w:pPr>
      <w:r w:rsidRPr="66D43B06">
        <w:rPr>
          <w:rFonts w:ascii="Calibri" w:eastAsia="Calibri" w:hAnsi="Calibri" w:cs="Calibri"/>
        </w:rPr>
        <w:t>While working through the schema requirements and how to associate with SDG&amp;E’s dataset, we have the following suggested improvements:</w:t>
      </w:r>
    </w:p>
    <w:p w14:paraId="377A19FC" w14:textId="170CC595" w:rsidR="2A162DF4" w:rsidRPr="004F2BC3" w:rsidRDefault="7049D728" w:rsidP="71ABC54E">
      <w:pPr>
        <w:pStyle w:val="ListParagraph"/>
        <w:numPr>
          <w:ilvl w:val="0"/>
          <w:numId w:val="5"/>
        </w:numPr>
        <w:spacing w:line="257" w:lineRule="auto"/>
        <w:rPr>
          <w:rFonts w:eastAsiaTheme="minorEastAsia"/>
        </w:rPr>
      </w:pPr>
      <w:r w:rsidRPr="71ABC54E">
        <w:rPr>
          <w:rFonts w:ascii="Calibri" w:eastAsia="Calibri" w:hAnsi="Calibri" w:cs="Calibri"/>
          <w:color w:val="000000" w:themeColor="text1"/>
        </w:rPr>
        <w:t>Included in Appendix B is a list of discrepancies/ob</w:t>
      </w:r>
      <w:r w:rsidR="3C783515" w:rsidRPr="71ABC54E">
        <w:rPr>
          <w:rFonts w:ascii="Calibri" w:eastAsia="Calibri" w:hAnsi="Calibri" w:cs="Calibri"/>
          <w:color w:val="000000" w:themeColor="text1"/>
        </w:rPr>
        <w:t xml:space="preserve">servations </w:t>
      </w:r>
      <w:r w:rsidR="1E9C024D" w:rsidRPr="71ABC54E">
        <w:rPr>
          <w:rFonts w:ascii="Calibri" w:eastAsia="Calibri" w:hAnsi="Calibri" w:cs="Calibri"/>
          <w:color w:val="000000" w:themeColor="text1"/>
        </w:rPr>
        <w:t>regarding</w:t>
      </w:r>
      <w:r w:rsidR="3C783515" w:rsidRPr="71ABC54E">
        <w:rPr>
          <w:rFonts w:ascii="Calibri" w:eastAsia="Calibri" w:hAnsi="Calibri" w:cs="Calibri"/>
          <w:color w:val="000000" w:themeColor="text1"/>
        </w:rPr>
        <w:t xml:space="preserve"> the</w:t>
      </w:r>
      <w:r w:rsidR="4AA41743" w:rsidRPr="71ABC54E">
        <w:rPr>
          <w:rFonts w:ascii="Calibri" w:eastAsia="Calibri" w:hAnsi="Calibri" w:cs="Calibri"/>
          <w:color w:val="000000" w:themeColor="text1"/>
        </w:rPr>
        <w:t xml:space="preserve"> OEIS GIS Reporting Standard.  </w:t>
      </w:r>
      <w:proofErr w:type="gramStart"/>
      <w:r w:rsidR="6F6959BE" w:rsidRPr="71ABC54E">
        <w:rPr>
          <w:rFonts w:ascii="Calibri" w:eastAsia="Calibri" w:hAnsi="Calibri" w:cs="Calibri"/>
          <w:color w:val="000000" w:themeColor="text1"/>
        </w:rPr>
        <w:t xml:space="preserve">The </w:t>
      </w:r>
      <w:r w:rsidR="439DD02B" w:rsidRPr="71ABC54E">
        <w:rPr>
          <w:rFonts w:ascii="Calibri" w:eastAsia="Calibri" w:hAnsi="Calibri" w:cs="Calibri"/>
          <w:color w:val="000000" w:themeColor="text1"/>
        </w:rPr>
        <w:t>m</w:t>
      </w:r>
      <w:r w:rsidR="4AA41743" w:rsidRPr="71ABC54E">
        <w:rPr>
          <w:rFonts w:ascii="Calibri" w:eastAsia="Calibri" w:hAnsi="Calibri" w:cs="Calibri"/>
          <w:color w:val="000000" w:themeColor="text1"/>
        </w:rPr>
        <w:t>ajority of</w:t>
      </w:r>
      <w:proofErr w:type="gramEnd"/>
      <w:r w:rsidR="4AA41743" w:rsidRPr="71ABC54E">
        <w:rPr>
          <w:rFonts w:ascii="Calibri" w:eastAsia="Calibri" w:hAnsi="Calibri" w:cs="Calibri"/>
          <w:color w:val="000000" w:themeColor="text1"/>
        </w:rPr>
        <w:t xml:space="preserve"> these discrepancies were brought up in the October 2021 meeting with </w:t>
      </w:r>
      <w:r w:rsidR="4F84EF22" w:rsidRPr="71ABC54E">
        <w:rPr>
          <w:rFonts w:ascii="Calibri" w:eastAsia="Calibri" w:hAnsi="Calibri" w:cs="Calibri"/>
          <w:color w:val="000000" w:themeColor="text1"/>
        </w:rPr>
        <w:t>Energy Safety, led by</w:t>
      </w:r>
      <w:r w:rsidR="4AA41743" w:rsidRPr="71ABC54E">
        <w:rPr>
          <w:rFonts w:ascii="Calibri" w:eastAsia="Calibri" w:hAnsi="Calibri" w:cs="Calibri"/>
          <w:color w:val="000000" w:themeColor="text1"/>
        </w:rPr>
        <w:t xml:space="preserve"> Stephen Lai.</w:t>
      </w:r>
      <w:r w:rsidR="46706279" w:rsidRPr="71ABC54E">
        <w:rPr>
          <w:rFonts w:ascii="Calibri" w:eastAsia="Calibri" w:hAnsi="Calibri" w:cs="Calibri"/>
          <w:color w:val="000000" w:themeColor="text1"/>
        </w:rPr>
        <w:t xml:space="preserve"> </w:t>
      </w:r>
      <w:r w:rsidR="78475D0E" w:rsidRPr="71ABC54E">
        <w:rPr>
          <w:rFonts w:ascii="Calibri" w:eastAsia="Calibri" w:hAnsi="Calibri" w:cs="Calibri"/>
          <w:color w:val="000000" w:themeColor="text1"/>
        </w:rPr>
        <w:t>T</w:t>
      </w:r>
      <w:r w:rsidR="46706279" w:rsidRPr="71ABC54E">
        <w:rPr>
          <w:rFonts w:ascii="Calibri" w:eastAsia="Calibri" w:hAnsi="Calibri" w:cs="Calibri"/>
          <w:color w:val="000000" w:themeColor="text1"/>
        </w:rPr>
        <w:t>hese suggested schema changes ha</w:t>
      </w:r>
      <w:r w:rsidR="3B0B5343" w:rsidRPr="71ABC54E">
        <w:rPr>
          <w:rFonts w:ascii="Calibri" w:eastAsia="Calibri" w:hAnsi="Calibri" w:cs="Calibri"/>
          <w:color w:val="000000" w:themeColor="text1"/>
        </w:rPr>
        <w:t>ve</w:t>
      </w:r>
      <w:r w:rsidR="46706279" w:rsidRPr="71ABC54E">
        <w:rPr>
          <w:rFonts w:ascii="Calibri" w:eastAsia="Calibri" w:hAnsi="Calibri" w:cs="Calibri"/>
          <w:color w:val="000000" w:themeColor="text1"/>
        </w:rPr>
        <w:t xml:space="preserve"> </w:t>
      </w:r>
      <w:r w:rsidR="4F812551" w:rsidRPr="71ABC54E">
        <w:rPr>
          <w:rFonts w:ascii="Calibri" w:eastAsia="Calibri" w:hAnsi="Calibri" w:cs="Calibri"/>
          <w:color w:val="000000" w:themeColor="text1"/>
        </w:rPr>
        <w:t xml:space="preserve">not yet </w:t>
      </w:r>
      <w:r w:rsidR="46706279" w:rsidRPr="71ABC54E">
        <w:rPr>
          <w:rFonts w:ascii="Calibri" w:eastAsia="Calibri" w:hAnsi="Calibri" w:cs="Calibri"/>
          <w:color w:val="000000" w:themeColor="text1"/>
        </w:rPr>
        <w:t xml:space="preserve">been </w:t>
      </w:r>
      <w:r w:rsidR="37E123A3" w:rsidRPr="71ABC54E">
        <w:rPr>
          <w:rFonts w:ascii="Calibri" w:eastAsia="Calibri" w:hAnsi="Calibri" w:cs="Calibri"/>
          <w:color w:val="000000" w:themeColor="text1"/>
        </w:rPr>
        <w:t xml:space="preserve">addressed by Energy </w:t>
      </w:r>
      <w:proofErr w:type="gramStart"/>
      <w:r w:rsidR="37E123A3" w:rsidRPr="71ABC54E">
        <w:rPr>
          <w:rFonts w:ascii="Calibri" w:eastAsia="Calibri" w:hAnsi="Calibri" w:cs="Calibri"/>
          <w:color w:val="000000" w:themeColor="text1"/>
        </w:rPr>
        <w:t>Safety, but</w:t>
      </w:r>
      <w:proofErr w:type="gramEnd"/>
      <w:r w:rsidR="37E123A3" w:rsidRPr="71ABC54E">
        <w:rPr>
          <w:rFonts w:ascii="Calibri" w:eastAsia="Calibri" w:hAnsi="Calibri" w:cs="Calibri"/>
          <w:color w:val="000000" w:themeColor="text1"/>
        </w:rPr>
        <w:t xml:space="preserve"> will</w:t>
      </w:r>
      <w:r w:rsidR="00201F1C">
        <w:rPr>
          <w:rFonts w:ascii="Calibri" w:eastAsia="Calibri" w:hAnsi="Calibri" w:cs="Calibri"/>
          <w:color w:val="000000" w:themeColor="text1"/>
        </w:rPr>
        <w:t xml:space="preserve"> </w:t>
      </w:r>
      <w:r w:rsidR="46706279" w:rsidRPr="71ABC54E">
        <w:rPr>
          <w:rFonts w:ascii="Calibri" w:eastAsia="Calibri" w:hAnsi="Calibri" w:cs="Calibri"/>
          <w:color w:val="000000" w:themeColor="text1"/>
        </w:rPr>
        <w:t xml:space="preserve">make the OEIS Geodatabase </w:t>
      </w:r>
      <w:r w:rsidR="37EC9C17" w:rsidRPr="71ABC54E">
        <w:rPr>
          <w:rFonts w:ascii="Calibri" w:eastAsia="Calibri" w:hAnsi="Calibri" w:cs="Calibri"/>
          <w:color w:val="000000" w:themeColor="text1"/>
        </w:rPr>
        <w:t xml:space="preserve">more </w:t>
      </w:r>
      <w:r w:rsidR="46706279" w:rsidRPr="71ABC54E">
        <w:rPr>
          <w:rFonts w:ascii="Calibri" w:eastAsia="Calibri" w:hAnsi="Calibri" w:cs="Calibri"/>
          <w:color w:val="000000" w:themeColor="text1"/>
        </w:rPr>
        <w:t>usable.</w:t>
      </w:r>
    </w:p>
    <w:p w14:paraId="56BE0698" w14:textId="66694357" w:rsidR="20A4A528" w:rsidRDefault="72EC18B3" w:rsidP="71ABC54E">
      <w:pPr>
        <w:pStyle w:val="ListParagraph"/>
        <w:numPr>
          <w:ilvl w:val="0"/>
          <w:numId w:val="5"/>
        </w:numPr>
        <w:spacing w:line="257" w:lineRule="auto"/>
        <w:rPr>
          <w:rFonts w:eastAsiaTheme="minorEastAsia"/>
          <w:color w:val="000000" w:themeColor="text1"/>
        </w:rPr>
      </w:pPr>
      <w:r w:rsidRPr="7D3ACD59">
        <w:rPr>
          <w:rFonts w:ascii="Calibri" w:eastAsia="Calibri" w:hAnsi="Calibri" w:cs="Calibri"/>
          <w:color w:val="000000" w:themeColor="text1"/>
        </w:rPr>
        <w:t xml:space="preserve">Grid Hardening programs continue to be challenging to accurately represent in the OEIS GIS Schema.  Removals are currently not included in the schema as there is no attribute in the </w:t>
      </w:r>
      <w:proofErr w:type="spellStart"/>
      <w:r w:rsidRPr="7D3ACD59">
        <w:rPr>
          <w:rFonts w:ascii="Calibri" w:eastAsia="Calibri" w:hAnsi="Calibri" w:cs="Calibri"/>
          <w:color w:val="000000" w:themeColor="text1"/>
        </w:rPr>
        <w:t>GridHarde</w:t>
      </w:r>
      <w:r w:rsidR="5D7899D4" w:rsidRPr="7D3ACD59">
        <w:rPr>
          <w:rFonts w:ascii="Calibri" w:eastAsia="Calibri" w:hAnsi="Calibri" w:cs="Calibri"/>
          <w:color w:val="000000" w:themeColor="text1"/>
        </w:rPr>
        <w:t>n</w:t>
      </w:r>
      <w:r w:rsidRPr="7D3ACD59">
        <w:rPr>
          <w:rFonts w:ascii="Calibri" w:eastAsia="Calibri" w:hAnsi="Calibri" w:cs="Calibri"/>
          <w:color w:val="000000" w:themeColor="text1"/>
        </w:rPr>
        <w:t>ingPoint</w:t>
      </w:r>
      <w:proofErr w:type="spellEnd"/>
      <w:r w:rsidRPr="7D3ACD59">
        <w:rPr>
          <w:rFonts w:ascii="Calibri" w:eastAsia="Calibri" w:hAnsi="Calibri" w:cs="Calibri"/>
          <w:color w:val="000000" w:themeColor="text1"/>
        </w:rPr>
        <w:t xml:space="preserve">/Line feature classes to differentiate </w:t>
      </w:r>
      <w:r w:rsidR="3891BD48" w:rsidRPr="7D3ACD59">
        <w:rPr>
          <w:rFonts w:ascii="Calibri" w:eastAsia="Calibri" w:hAnsi="Calibri" w:cs="Calibri"/>
          <w:color w:val="000000" w:themeColor="text1"/>
        </w:rPr>
        <w:t>the removal of equipment from the installation of new equipment for a given initiative</w:t>
      </w:r>
      <w:r w:rsidRPr="7D3ACD59">
        <w:rPr>
          <w:rFonts w:ascii="Calibri" w:eastAsia="Calibri" w:hAnsi="Calibri" w:cs="Calibri"/>
          <w:color w:val="000000" w:themeColor="text1"/>
        </w:rPr>
        <w:t>.  If both were plotted on a map, it would provide misleading information; however, this is needed to properly align to Tables 9 and 10.  Ideally, a flag to align with Tables 9 and 10: New, Removal, Upgrade would help validate the data represented in the spatial database.</w:t>
      </w:r>
    </w:p>
    <w:p w14:paraId="778C01FE" w14:textId="168164BE" w:rsidR="00206C7A" w:rsidRDefault="00206C7A" w:rsidP="00206C7A">
      <w:pPr>
        <w:rPr>
          <w:rFonts w:ascii="Calibri" w:eastAsia="Calibri" w:hAnsi="Calibri" w:cs="Calibri"/>
          <w:color w:val="000000" w:themeColor="text1"/>
        </w:rPr>
      </w:pPr>
      <w:r w:rsidRPr="002B0571">
        <w:rPr>
          <w:rFonts w:ascii="Calibri" w:eastAsia="Calibri" w:hAnsi="Calibri" w:cs="Calibri"/>
          <w:color w:val="000000" w:themeColor="text1"/>
        </w:rPr>
        <w:t xml:space="preserve">In SDG&amp;E’s 2021 </w:t>
      </w:r>
      <w:r w:rsidR="2C856AA4" w:rsidRPr="2B1BA9CC">
        <w:rPr>
          <w:rFonts w:ascii="Calibri" w:eastAsia="Calibri" w:hAnsi="Calibri" w:cs="Calibri"/>
          <w:color w:val="000000" w:themeColor="text1"/>
        </w:rPr>
        <w:t>Q</w:t>
      </w:r>
      <w:r w:rsidR="6F512FE5" w:rsidRPr="2B1BA9CC">
        <w:rPr>
          <w:rFonts w:ascii="Calibri" w:eastAsia="Calibri" w:hAnsi="Calibri" w:cs="Calibri"/>
          <w:color w:val="000000" w:themeColor="text1"/>
        </w:rPr>
        <w:t>4</w:t>
      </w:r>
      <w:r w:rsidRPr="002B0571">
        <w:rPr>
          <w:rFonts w:ascii="Calibri" w:eastAsia="Calibri" w:hAnsi="Calibri" w:cs="Calibri"/>
          <w:color w:val="000000" w:themeColor="text1"/>
        </w:rPr>
        <w:t xml:space="preserve"> submission</w:t>
      </w:r>
      <w:r w:rsidRPr="00AC1E21">
        <w:rPr>
          <w:rFonts w:ascii="Calibri" w:eastAsia="Calibri" w:hAnsi="Calibri" w:cs="Calibri"/>
          <w:color w:val="000000" w:themeColor="text1"/>
        </w:rPr>
        <w:t>, SDG&amp;E made several improvements to the logic that supports the data within the file geodatabase.  The improvements include:</w:t>
      </w:r>
    </w:p>
    <w:p w14:paraId="5135599E" w14:textId="77777777" w:rsidR="00206C7A" w:rsidRDefault="00206C7A" w:rsidP="00206C7A">
      <w:pPr>
        <w:pStyle w:val="ListParagraph"/>
        <w:numPr>
          <w:ilvl w:val="0"/>
          <w:numId w:val="4"/>
        </w:numPr>
        <w:spacing w:line="256" w:lineRule="auto"/>
        <w:rPr>
          <w:color w:val="000000" w:themeColor="text1"/>
        </w:rPr>
      </w:pPr>
      <w:r>
        <w:rPr>
          <w:rFonts w:ascii="Calibri" w:eastAsia="Calibri" w:hAnsi="Calibri" w:cs="Calibri"/>
          <w:color w:val="000000" w:themeColor="text1"/>
        </w:rPr>
        <w:t>Tabular a</w:t>
      </w:r>
      <w:r w:rsidRPr="66D43B06">
        <w:rPr>
          <w:rFonts w:ascii="Calibri" w:eastAsia="Calibri" w:hAnsi="Calibri" w:cs="Calibri"/>
          <w:color w:val="000000" w:themeColor="text1"/>
        </w:rPr>
        <w:t>utomation of 8 out of the 12 Asset Inspection Programs from the source system.</w:t>
      </w:r>
    </w:p>
    <w:p w14:paraId="06BBF56B" w14:textId="57AA984B" w:rsidR="00206C7A" w:rsidRDefault="00206C7A" w:rsidP="00206C7A">
      <w:pPr>
        <w:pStyle w:val="ListParagraph"/>
        <w:numPr>
          <w:ilvl w:val="0"/>
          <w:numId w:val="4"/>
        </w:numPr>
        <w:spacing w:line="256" w:lineRule="auto"/>
        <w:rPr>
          <w:color w:val="000000" w:themeColor="text1"/>
        </w:rPr>
      </w:pPr>
      <w:r w:rsidRPr="5332C477">
        <w:rPr>
          <w:rFonts w:ascii="Calibri" w:eastAsia="Calibri" w:hAnsi="Calibri" w:cs="Calibri"/>
          <w:color w:val="000000" w:themeColor="text1"/>
        </w:rPr>
        <w:t xml:space="preserve">Tabular automation of </w:t>
      </w:r>
      <w:r w:rsidR="31A7BD50" w:rsidRPr="30CE9EA2">
        <w:rPr>
          <w:rFonts w:ascii="Calibri" w:eastAsia="Calibri" w:hAnsi="Calibri" w:cs="Calibri"/>
          <w:color w:val="000000" w:themeColor="text1"/>
        </w:rPr>
        <w:t>5</w:t>
      </w:r>
      <w:r w:rsidRPr="5332C477">
        <w:rPr>
          <w:rFonts w:ascii="Calibri" w:eastAsia="Calibri" w:hAnsi="Calibri" w:cs="Calibri"/>
          <w:color w:val="000000" w:themeColor="text1"/>
        </w:rPr>
        <w:t xml:space="preserve"> out of 14 Asset Point/Line Feature Classes/Relate Table utilizing SDG&amp;E’s</w:t>
      </w:r>
      <w:r w:rsidRPr="66D43B06">
        <w:rPr>
          <w:rFonts w:ascii="Calibri" w:eastAsia="Calibri" w:hAnsi="Calibri" w:cs="Calibri"/>
          <w:color w:val="000000" w:themeColor="text1"/>
        </w:rPr>
        <w:t xml:space="preserve"> central repository increasing the accuracy and attribute completeness of the schema requirements.</w:t>
      </w:r>
    </w:p>
    <w:p w14:paraId="73C2B660" w14:textId="71BB9717" w:rsidR="00206C7A" w:rsidRPr="002B0571" w:rsidRDefault="45F590A6" w:rsidP="00206C7A">
      <w:pPr>
        <w:pStyle w:val="ListParagraph"/>
        <w:numPr>
          <w:ilvl w:val="0"/>
          <w:numId w:val="4"/>
        </w:numPr>
        <w:spacing w:line="256" w:lineRule="auto"/>
        <w:rPr>
          <w:rFonts w:eastAsiaTheme="minorEastAsia"/>
          <w:color w:val="000000" w:themeColor="text1"/>
        </w:rPr>
      </w:pPr>
      <w:r w:rsidRPr="71ABC54E">
        <w:rPr>
          <w:rFonts w:ascii="Calibri" w:eastAsia="Calibri" w:hAnsi="Calibri" w:cs="Calibri"/>
          <w:color w:val="000000" w:themeColor="text1"/>
        </w:rPr>
        <w:t>The OEIS GIS Reporting Standard states in section 2.3.6 of the Version 2.2 document, “Electrical corporations are encouraged</w:t>
      </w:r>
      <w:r w:rsidR="00206C7A" w:rsidRPr="5332C477">
        <w:rPr>
          <w:rFonts w:ascii="Calibri" w:eastAsia="Calibri" w:hAnsi="Calibri" w:cs="Calibri"/>
          <w:color w:val="000000" w:themeColor="text1"/>
        </w:rPr>
        <w:t xml:space="preserve"> to</w:t>
      </w:r>
      <w:r w:rsidR="00206C7A" w:rsidRPr="66D43B06">
        <w:rPr>
          <w:rFonts w:ascii="Calibri" w:eastAsia="Calibri" w:hAnsi="Calibri" w:cs="Calibri"/>
          <w:color w:val="000000" w:themeColor="text1"/>
        </w:rPr>
        <w:t xml:space="preserve"> </w:t>
      </w:r>
      <w:r w:rsidRPr="71ABC54E">
        <w:rPr>
          <w:rFonts w:ascii="Calibri" w:eastAsia="Calibri" w:hAnsi="Calibri" w:cs="Calibri"/>
          <w:color w:val="000000" w:themeColor="text1"/>
        </w:rPr>
        <w:t xml:space="preserve">provide additional related tables beyond those provided by Energy Safety, if available.”  SDG&amp;E continues to </w:t>
      </w:r>
      <w:r w:rsidR="4A65E30F" w:rsidRPr="71ABC54E">
        <w:rPr>
          <w:rFonts w:ascii="Calibri" w:eastAsia="Calibri" w:hAnsi="Calibri" w:cs="Calibri"/>
          <w:color w:val="000000" w:themeColor="text1"/>
        </w:rPr>
        <w:t>e</w:t>
      </w:r>
      <w:r w:rsidR="456EAE0E" w:rsidRPr="71ABC54E">
        <w:rPr>
          <w:rFonts w:ascii="Calibri" w:eastAsia="Calibri" w:hAnsi="Calibri" w:cs="Calibri"/>
          <w:color w:val="000000" w:themeColor="text1"/>
        </w:rPr>
        <w:t xml:space="preserve">nhance </w:t>
      </w:r>
      <w:r w:rsidR="00206C7A" w:rsidRPr="66D43B06">
        <w:rPr>
          <w:rFonts w:ascii="Calibri" w:eastAsia="Calibri" w:hAnsi="Calibri" w:cs="Calibri"/>
          <w:color w:val="000000" w:themeColor="text1"/>
        </w:rPr>
        <w:t xml:space="preserve">the </w:t>
      </w:r>
      <w:proofErr w:type="spellStart"/>
      <w:r w:rsidR="00206C7A">
        <w:rPr>
          <w:rFonts w:ascii="Calibri" w:eastAsia="Calibri" w:hAnsi="Calibri" w:cs="Calibri"/>
          <w:color w:val="000000" w:themeColor="text1"/>
        </w:rPr>
        <w:t>AssetR</w:t>
      </w:r>
      <w:r w:rsidR="00206C7A" w:rsidRPr="278B3BA7">
        <w:rPr>
          <w:rFonts w:ascii="Calibri" w:eastAsia="Calibri" w:hAnsi="Calibri" w:cs="Calibri"/>
          <w:color w:val="000000" w:themeColor="text1"/>
        </w:rPr>
        <w:t>elate</w:t>
      </w:r>
      <w:proofErr w:type="spellEnd"/>
      <w:r w:rsidR="00206C7A" w:rsidRPr="66D43B06">
        <w:rPr>
          <w:rFonts w:ascii="Calibri" w:eastAsia="Calibri" w:hAnsi="Calibri" w:cs="Calibri"/>
          <w:color w:val="000000" w:themeColor="text1"/>
        </w:rPr>
        <w:t xml:space="preserve"> table </w:t>
      </w:r>
      <w:r w:rsidR="3CB2F1B9" w:rsidRPr="71ABC54E">
        <w:rPr>
          <w:rFonts w:ascii="Calibri" w:eastAsia="Calibri" w:hAnsi="Calibri" w:cs="Calibri"/>
          <w:color w:val="000000" w:themeColor="text1"/>
        </w:rPr>
        <w:t xml:space="preserve">to ensure all foreign key relationships are valid and </w:t>
      </w:r>
      <w:r w:rsidR="65C4D1F9" w:rsidRPr="71ABC54E">
        <w:rPr>
          <w:rFonts w:ascii="Calibri" w:eastAsia="Calibri" w:hAnsi="Calibri" w:cs="Calibri"/>
          <w:color w:val="000000" w:themeColor="text1"/>
        </w:rPr>
        <w:t xml:space="preserve">the electric model is accurately represented and supports the </w:t>
      </w:r>
      <w:r w:rsidR="5D7899D4" w:rsidRPr="71ABC54E">
        <w:rPr>
          <w:rFonts w:ascii="Calibri" w:eastAsia="Calibri" w:hAnsi="Calibri" w:cs="Calibri"/>
          <w:color w:val="000000" w:themeColor="text1"/>
        </w:rPr>
        <w:t>one-to-many</w:t>
      </w:r>
      <w:r w:rsidR="65C4D1F9" w:rsidRPr="71ABC54E">
        <w:rPr>
          <w:rFonts w:ascii="Calibri" w:eastAsia="Calibri" w:hAnsi="Calibri" w:cs="Calibri"/>
          <w:color w:val="000000" w:themeColor="text1"/>
        </w:rPr>
        <w:t xml:space="preserve"> relationship between support structures, conductor spans</w:t>
      </w:r>
      <w:r w:rsidR="555677BC" w:rsidRPr="71ABC54E">
        <w:rPr>
          <w:rFonts w:ascii="Calibri" w:eastAsia="Calibri" w:hAnsi="Calibri" w:cs="Calibri"/>
          <w:color w:val="000000" w:themeColor="text1"/>
        </w:rPr>
        <w:t>, and substations.</w:t>
      </w:r>
      <w:r w:rsidR="5A59A3B3" w:rsidRPr="71ABC54E">
        <w:rPr>
          <w:rFonts w:ascii="Calibri" w:eastAsia="Calibri" w:hAnsi="Calibri" w:cs="Calibri"/>
          <w:color w:val="000000" w:themeColor="text1"/>
        </w:rPr>
        <w:t xml:space="preserve"> </w:t>
      </w:r>
    </w:p>
    <w:p w14:paraId="21BF5BD1" w14:textId="12022767" w:rsidR="00206C7A" w:rsidRPr="002B0571" w:rsidRDefault="18FF0899" w:rsidP="7D6EE555">
      <w:pPr>
        <w:pStyle w:val="ListParagraph"/>
        <w:numPr>
          <w:ilvl w:val="0"/>
          <w:numId w:val="4"/>
        </w:numPr>
        <w:spacing w:line="256" w:lineRule="auto"/>
        <w:rPr>
          <w:color w:val="000000" w:themeColor="text1"/>
        </w:rPr>
      </w:pPr>
      <w:r w:rsidRPr="71ABC54E">
        <w:rPr>
          <w:rFonts w:ascii="Calibri" w:eastAsia="Calibri" w:hAnsi="Calibri" w:cs="Calibri"/>
          <w:color w:val="000000" w:themeColor="text1"/>
        </w:rPr>
        <w:t xml:space="preserve">Enhancement to </w:t>
      </w:r>
      <w:r w:rsidR="37532C50" w:rsidRPr="71ABC54E">
        <w:rPr>
          <w:rFonts w:ascii="Calibri" w:eastAsia="Calibri" w:hAnsi="Calibri" w:cs="Calibri"/>
          <w:color w:val="000000" w:themeColor="text1"/>
        </w:rPr>
        <w:t xml:space="preserve">the Support Structure feature class to include underground and surface structures.  This allows the related assets </w:t>
      </w:r>
      <w:proofErr w:type="gramStart"/>
      <w:r w:rsidR="524B9ED4" w:rsidRPr="71ABC54E">
        <w:rPr>
          <w:rFonts w:ascii="Calibri" w:eastAsia="Calibri" w:hAnsi="Calibri" w:cs="Calibri"/>
          <w:color w:val="000000" w:themeColor="text1"/>
        </w:rPr>
        <w:t>i</w:t>
      </w:r>
      <w:r w:rsidR="37532C50" w:rsidRPr="71ABC54E">
        <w:rPr>
          <w:rFonts w:ascii="Calibri" w:eastAsia="Calibri" w:hAnsi="Calibri" w:cs="Calibri"/>
          <w:color w:val="000000" w:themeColor="text1"/>
        </w:rPr>
        <w:t>.e.</w:t>
      </w:r>
      <w:proofErr w:type="gramEnd"/>
      <w:r w:rsidR="37532C50" w:rsidRPr="71ABC54E">
        <w:rPr>
          <w:rFonts w:ascii="Calibri" w:eastAsia="Calibri" w:hAnsi="Calibri" w:cs="Calibri"/>
          <w:color w:val="000000" w:themeColor="text1"/>
        </w:rPr>
        <w:t xml:space="preserve"> Switchgear to be related to a support structure and ensure</w:t>
      </w:r>
      <w:r w:rsidR="7430F179" w:rsidRPr="71ABC54E">
        <w:rPr>
          <w:rFonts w:ascii="Calibri" w:eastAsia="Calibri" w:hAnsi="Calibri" w:cs="Calibri"/>
          <w:color w:val="000000" w:themeColor="text1"/>
        </w:rPr>
        <w:t xml:space="preserve">s the relationship between the asset </w:t>
      </w:r>
      <w:r w:rsidR="4EE99CAB" w:rsidRPr="71ABC54E">
        <w:rPr>
          <w:rFonts w:ascii="Calibri" w:eastAsia="Calibri" w:hAnsi="Calibri" w:cs="Calibri"/>
          <w:color w:val="000000" w:themeColor="text1"/>
        </w:rPr>
        <w:t>point feature classes is valid.  This also allows the grid hardening programs to be associated to a support structure when performing undergrounding work.</w:t>
      </w:r>
    </w:p>
    <w:p w14:paraId="2C078E63" w14:textId="28E3C6D8" w:rsidR="009D7C5B" w:rsidRDefault="16D78A83" w:rsidP="00206C7A">
      <w:r w:rsidRPr="30CE9EA2">
        <w:rPr>
          <w:rFonts w:ascii="Calibri" w:eastAsia="Calibri" w:hAnsi="Calibri" w:cs="Calibri"/>
        </w:rPr>
        <w:t xml:space="preserve"> </w:t>
      </w:r>
    </w:p>
    <w:p w14:paraId="3FEE1846" w14:textId="56E4E904" w:rsidR="1F8212A2" w:rsidRDefault="1F8212A2" w:rsidP="7D6EE555">
      <w:pPr>
        <w:rPr>
          <w:rFonts w:ascii="Calibri" w:eastAsia="Calibri" w:hAnsi="Calibri" w:cs="Calibri"/>
          <w:color w:val="000000" w:themeColor="text1"/>
        </w:rPr>
      </w:pPr>
      <w:r w:rsidRPr="7D6EE555">
        <w:rPr>
          <w:rFonts w:ascii="Calibri" w:eastAsia="Calibri" w:hAnsi="Calibri" w:cs="Calibri"/>
          <w:color w:val="000000" w:themeColor="text1"/>
        </w:rPr>
        <w:t>SDG&amp;E’s focus is</w:t>
      </w:r>
      <w:r w:rsidR="79DD9383" w:rsidRPr="7D6EE555">
        <w:rPr>
          <w:rFonts w:ascii="Calibri" w:eastAsia="Calibri" w:hAnsi="Calibri" w:cs="Calibri"/>
          <w:color w:val="000000" w:themeColor="text1"/>
        </w:rPr>
        <w:t xml:space="preserve"> on continuous improvement and therefore, would like to highlight the areas in which have been identified and will </w:t>
      </w:r>
      <w:r w:rsidR="30AC697B" w:rsidRPr="7D6EE555">
        <w:rPr>
          <w:rFonts w:ascii="Calibri" w:eastAsia="Calibri" w:hAnsi="Calibri" w:cs="Calibri"/>
          <w:color w:val="000000" w:themeColor="text1"/>
        </w:rPr>
        <w:t>be a focus for the upcoming submissions:</w:t>
      </w:r>
    </w:p>
    <w:p w14:paraId="45E3D87E" w14:textId="7913CA3D" w:rsidR="6CACBEB3" w:rsidRDefault="6CACBEB3" w:rsidP="004F2BC3">
      <w:pPr>
        <w:pStyle w:val="ListParagraph"/>
        <w:numPr>
          <w:ilvl w:val="0"/>
          <w:numId w:val="8"/>
        </w:numPr>
        <w:spacing w:line="257" w:lineRule="auto"/>
        <w:rPr>
          <w:rFonts w:eastAsiaTheme="minorEastAsia"/>
          <w:color w:val="000000" w:themeColor="text1"/>
        </w:rPr>
      </w:pPr>
      <w:r w:rsidRPr="7D6EE555">
        <w:rPr>
          <w:rFonts w:ascii="Calibri" w:eastAsia="Calibri" w:hAnsi="Calibri" w:cs="Calibri"/>
          <w:color w:val="000000" w:themeColor="text1"/>
        </w:rPr>
        <w:t>SDG&amp;E continues to validate all QDR data against the QIU</w:t>
      </w:r>
      <w:r w:rsidR="236DDD37" w:rsidRPr="7D6EE555">
        <w:rPr>
          <w:rFonts w:ascii="Calibri" w:eastAsia="Calibri" w:hAnsi="Calibri" w:cs="Calibri"/>
          <w:color w:val="000000" w:themeColor="text1"/>
        </w:rPr>
        <w:t>/</w:t>
      </w:r>
      <w:r w:rsidRPr="7D6EE555">
        <w:rPr>
          <w:rFonts w:ascii="Calibri" w:eastAsia="Calibri" w:hAnsi="Calibri" w:cs="Calibri"/>
          <w:color w:val="000000" w:themeColor="text1"/>
        </w:rPr>
        <w:t>Table 12</w:t>
      </w:r>
      <w:r w:rsidR="510DFEB3" w:rsidRPr="7D6EE555">
        <w:rPr>
          <w:rFonts w:ascii="Calibri" w:eastAsia="Calibri" w:hAnsi="Calibri" w:cs="Calibri"/>
          <w:color w:val="000000" w:themeColor="text1"/>
        </w:rPr>
        <w:t xml:space="preserve">.  Looking at the </w:t>
      </w:r>
      <w:proofErr w:type="gramStart"/>
      <w:r w:rsidR="510DFEB3" w:rsidRPr="7D6EE555">
        <w:rPr>
          <w:rFonts w:ascii="Calibri" w:eastAsia="Calibri" w:hAnsi="Calibri" w:cs="Calibri"/>
          <w:color w:val="000000" w:themeColor="text1"/>
        </w:rPr>
        <w:t>2021 year</w:t>
      </w:r>
      <w:proofErr w:type="gramEnd"/>
      <w:r w:rsidR="510DFEB3" w:rsidRPr="7D6EE555">
        <w:rPr>
          <w:rFonts w:ascii="Calibri" w:eastAsia="Calibri" w:hAnsi="Calibri" w:cs="Calibri"/>
          <w:color w:val="000000" w:themeColor="text1"/>
        </w:rPr>
        <w:t xml:space="preserve"> end actuals provided a clear picture of the discrepancies in the logic applied between the different reports as there was a larger dataset to analyze</w:t>
      </w:r>
      <w:r w:rsidR="3505DE14" w:rsidRPr="7D6EE555">
        <w:rPr>
          <w:rFonts w:ascii="Calibri" w:eastAsia="Calibri" w:hAnsi="Calibri" w:cs="Calibri"/>
          <w:color w:val="000000" w:themeColor="text1"/>
        </w:rPr>
        <w:t xml:space="preserve"> as opposed to quarter by quarter.  The following are some of the programs where the discrepancies exist</w:t>
      </w:r>
      <w:r w:rsidR="2F3B9762" w:rsidRPr="7D6EE555">
        <w:rPr>
          <w:rFonts w:ascii="Calibri" w:eastAsia="Calibri" w:hAnsi="Calibri" w:cs="Calibri"/>
          <w:color w:val="000000" w:themeColor="text1"/>
        </w:rPr>
        <w:t>:</w:t>
      </w:r>
    </w:p>
    <w:p w14:paraId="32C661A0" w14:textId="5085712A" w:rsidR="2F3B9762" w:rsidRDefault="10E3707E" w:rsidP="004F2BC3">
      <w:pPr>
        <w:pStyle w:val="ListParagraph"/>
        <w:numPr>
          <w:ilvl w:val="1"/>
          <w:numId w:val="8"/>
        </w:numPr>
        <w:spacing w:line="257" w:lineRule="auto"/>
        <w:rPr>
          <w:color w:val="000000" w:themeColor="text1"/>
        </w:rPr>
      </w:pPr>
      <w:r w:rsidRPr="71ABC54E">
        <w:rPr>
          <w:rFonts w:ascii="Calibri" w:eastAsia="Calibri" w:hAnsi="Calibri" w:cs="Calibri"/>
          <w:color w:val="000000" w:themeColor="text1"/>
        </w:rPr>
        <w:lastRenderedPageBreak/>
        <w:t>All asset replacement programs – the</w:t>
      </w:r>
      <w:r w:rsidR="25013CBB" w:rsidRPr="71ABC54E">
        <w:rPr>
          <w:rFonts w:ascii="Calibri" w:eastAsia="Calibri" w:hAnsi="Calibri" w:cs="Calibri"/>
          <w:color w:val="000000" w:themeColor="text1"/>
        </w:rPr>
        <w:t xml:space="preserve"> QIU is reporting by unit </w:t>
      </w:r>
      <w:r w:rsidR="4BFBAB95" w:rsidRPr="71ABC54E">
        <w:rPr>
          <w:rFonts w:ascii="Calibri" w:eastAsia="Calibri" w:hAnsi="Calibri" w:cs="Calibri"/>
          <w:color w:val="000000" w:themeColor="text1"/>
        </w:rPr>
        <w:t xml:space="preserve">while </w:t>
      </w:r>
      <w:r w:rsidR="25013CBB" w:rsidRPr="71ABC54E">
        <w:rPr>
          <w:rFonts w:ascii="Calibri" w:eastAsia="Calibri" w:hAnsi="Calibri" w:cs="Calibri"/>
          <w:color w:val="000000" w:themeColor="text1"/>
        </w:rPr>
        <w:t>the QDR is reporting by structure</w:t>
      </w:r>
      <w:proofErr w:type="gramStart"/>
      <w:r w:rsidR="2A2B6BDB" w:rsidRPr="71ABC54E">
        <w:rPr>
          <w:rFonts w:ascii="Calibri" w:eastAsia="Calibri" w:hAnsi="Calibri" w:cs="Calibri"/>
          <w:color w:val="000000" w:themeColor="text1"/>
        </w:rPr>
        <w:t>.</w:t>
      </w:r>
      <w:r w:rsidR="5AEF8DAB" w:rsidRPr="71ABC54E">
        <w:rPr>
          <w:rFonts w:ascii="Calibri" w:eastAsia="Calibri" w:hAnsi="Calibri" w:cs="Calibri"/>
          <w:color w:val="000000" w:themeColor="text1"/>
        </w:rPr>
        <w:t xml:space="preserve"> </w:t>
      </w:r>
      <w:proofErr w:type="gramEnd"/>
      <w:r w:rsidR="0BCF5F30" w:rsidRPr="71ABC54E">
        <w:rPr>
          <w:rFonts w:ascii="Calibri" w:eastAsia="Calibri" w:hAnsi="Calibri" w:cs="Calibri"/>
          <w:color w:val="000000" w:themeColor="text1"/>
        </w:rPr>
        <w:t>B</w:t>
      </w:r>
      <w:r w:rsidR="5AEF8DAB" w:rsidRPr="71ABC54E">
        <w:rPr>
          <w:rFonts w:ascii="Calibri" w:eastAsia="Calibri" w:hAnsi="Calibri" w:cs="Calibri"/>
          <w:color w:val="000000" w:themeColor="text1"/>
        </w:rPr>
        <w:t xml:space="preserve">ecause there </w:t>
      </w:r>
      <w:r w:rsidR="0151959F" w:rsidRPr="71ABC54E">
        <w:rPr>
          <w:rFonts w:ascii="Calibri" w:eastAsia="Calibri" w:hAnsi="Calibri" w:cs="Calibri"/>
          <w:color w:val="000000" w:themeColor="text1"/>
        </w:rPr>
        <w:t>can be</w:t>
      </w:r>
      <w:r w:rsidR="5AEF8DAB" w:rsidRPr="71ABC54E">
        <w:rPr>
          <w:rFonts w:ascii="Calibri" w:eastAsia="Calibri" w:hAnsi="Calibri" w:cs="Calibri"/>
          <w:color w:val="000000" w:themeColor="text1"/>
        </w:rPr>
        <w:t xml:space="preserve"> multiple units per structure, there is a misalignment</w:t>
      </w:r>
      <w:r w:rsidR="6B4D9908" w:rsidRPr="71ABC54E">
        <w:rPr>
          <w:rFonts w:ascii="Calibri" w:eastAsia="Calibri" w:hAnsi="Calibri" w:cs="Calibri"/>
          <w:color w:val="000000" w:themeColor="text1"/>
        </w:rPr>
        <w:t xml:space="preserve"> between the record count in the QDR and the </w:t>
      </w:r>
      <w:proofErr w:type="spellStart"/>
      <w:r w:rsidR="6B4D9908" w:rsidRPr="71ABC54E">
        <w:rPr>
          <w:rFonts w:ascii="Calibri" w:eastAsia="Calibri" w:hAnsi="Calibri" w:cs="Calibri"/>
          <w:color w:val="000000" w:themeColor="text1"/>
        </w:rPr>
        <w:t>QuarterlyProgress</w:t>
      </w:r>
      <w:proofErr w:type="spellEnd"/>
      <w:r w:rsidR="6B4D9908" w:rsidRPr="71ABC54E">
        <w:rPr>
          <w:rFonts w:ascii="Calibri" w:eastAsia="Calibri" w:hAnsi="Calibri" w:cs="Calibri"/>
          <w:color w:val="000000" w:themeColor="text1"/>
        </w:rPr>
        <w:t xml:space="preserve"> attribute</w:t>
      </w:r>
      <w:r w:rsidR="44AF5799" w:rsidRPr="71ABC54E">
        <w:rPr>
          <w:rFonts w:ascii="Calibri" w:eastAsia="Calibri" w:hAnsi="Calibri" w:cs="Calibri"/>
          <w:color w:val="000000" w:themeColor="text1"/>
        </w:rPr>
        <w:t>.</w:t>
      </w:r>
    </w:p>
    <w:p w14:paraId="40F07D94" w14:textId="397A3755" w:rsidR="1C3487A3" w:rsidRDefault="1C3487A3" w:rsidP="7D3ACD59">
      <w:pPr>
        <w:pStyle w:val="ListParagraph"/>
        <w:numPr>
          <w:ilvl w:val="1"/>
          <w:numId w:val="8"/>
        </w:numPr>
        <w:spacing w:line="257" w:lineRule="auto"/>
        <w:rPr>
          <w:rFonts w:eastAsiaTheme="minorEastAsia"/>
          <w:color w:val="000000" w:themeColor="text1"/>
        </w:rPr>
      </w:pPr>
      <w:r w:rsidRPr="7D3ACD59">
        <w:rPr>
          <w:rFonts w:ascii="Calibri" w:eastAsia="Calibri" w:hAnsi="Calibri" w:cs="Calibri"/>
          <w:color w:val="000000" w:themeColor="text1"/>
        </w:rPr>
        <w:t>Vegetation Management (except Fuels Management Section 7.3.5.5)</w:t>
      </w:r>
      <w:r w:rsidR="7F8B8379" w:rsidRPr="7D3ACD59">
        <w:rPr>
          <w:rFonts w:ascii="Calibri" w:eastAsia="Calibri" w:hAnsi="Calibri" w:cs="Calibri"/>
          <w:color w:val="000000" w:themeColor="text1"/>
        </w:rPr>
        <w:t xml:space="preserve"> follows different methodologies for the QIU/Table 12 and the QDR</w:t>
      </w:r>
      <w:r w:rsidR="363683D1" w:rsidRPr="7D3ACD59">
        <w:rPr>
          <w:rFonts w:ascii="Calibri" w:eastAsia="Calibri" w:hAnsi="Calibri" w:cs="Calibri"/>
          <w:color w:val="000000" w:themeColor="text1"/>
        </w:rPr>
        <w:t xml:space="preserve"> that will be aligned in 2022-Q1</w:t>
      </w:r>
      <w:r w:rsidR="7F8B8379" w:rsidRPr="7D3ACD59">
        <w:rPr>
          <w:rFonts w:ascii="Calibri" w:eastAsia="Calibri" w:hAnsi="Calibri" w:cs="Calibri"/>
          <w:color w:val="000000" w:themeColor="text1"/>
        </w:rPr>
        <w:t>.</w:t>
      </w:r>
    </w:p>
    <w:p w14:paraId="2F590A48" w14:textId="38A770A9" w:rsidR="3B1EE6CA" w:rsidRDefault="34BD2C8A" w:rsidP="004F2BC3">
      <w:pPr>
        <w:pStyle w:val="ListParagraph"/>
        <w:numPr>
          <w:ilvl w:val="1"/>
          <w:numId w:val="8"/>
        </w:numPr>
        <w:spacing w:line="257" w:lineRule="auto"/>
        <w:rPr>
          <w:color w:val="000000" w:themeColor="text1"/>
        </w:rPr>
      </w:pPr>
      <w:r w:rsidRPr="71ABC54E">
        <w:rPr>
          <w:rFonts w:ascii="Calibri" w:eastAsia="Calibri" w:hAnsi="Calibri" w:cs="Calibri"/>
          <w:color w:val="000000" w:themeColor="text1"/>
        </w:rPr>
        <w:t>The Distribution asset inspection</w:t>
      </w:r>
      <w:r w:rsidR="17239A5C" w:rsidRPr="71ABC54E">
        <w:rPr>
          <w:rFonts w:ascii="Calibri" w:eastAsia="Calibri" w:hAnsi="Calibri" w:cs="Calibri"/>
          <w:color w:val="000000" w:themeColor="text1"/>
        </w:rPr>
        <w:t>s</w:t>
      </w:r>
      <w:r w:rsidRPr="71ABC54E">
        <w:rPr>
          <w:rFonts w:ascii="Calibri" w:eastAsia="Calibri" w:hAnsi="Calibri" w:cs="Calibri"/>
          <w:color w:val="000000" w:themeColor="text1"/>
        </w:rPr>
        <w:t xml:space="preserve"> in Q1 and Q2 of the QDR included </w:t>
      </w:r>
      <w:proofErr w:type="gramStart"/>
      <w:r w:rsidRPr="71ABC54E">
        <w:rPr>
          <w:rFonts w:ascii="Calibri" w:eastAsia="Calibri" w:hAnsi="Calibri" w:cs="Calibri"/>
          <w:color w:val="000000" w:themeColor="text1"/>
        </w:rPr>
        <w:t xml:space="preserve">all </w:t>
      </w:r>
      <w:r w:rsidR="07AA3A50" w:rsidRPr="71ABC54E">
        <w:rPr>
          <w:rFonts w:ascii="Calibri" w:eastAsia="Calibri" w:hAnsi="Calibri" w:cs="Calibri"/>
          <w:color w:val="000000" w:themeColor="text1"/>
        </w:rPr>
        <w:t>of</w:t>
      </w:r>
      <w:proofErr w:type="gramEnd"/>
      <w:r w:rsidR="07AA3A50" w:rsidRPr="71ABC54E">
        <w:rPr>
          <w:rFonts w:ascii="Calibri" w:eastAsia="Calibri" w:hAnsi="Calibri" w:cs="Calibri"/>
          <w:color w:val="000000" w:themeColor="text1"/>
        </w:rPr>
        <w:t xml:space="preserve"> SDG&amp;E’s </w:t>
      </w:r>
      <w:r w:rsidRPr="71ABC54E">
        <w:rPr>
          <w:rFonts w:ascii="Calibri" w:eastAsia="Calibri" w:hAnsi="Calibri" w:cs="Calibri"/>
          <w:color w:val="000000" w:themeColor="text1"/>
        </w:rPr>
        <w:t>service territor</w:t>
      </w:r>
      <w:r w:rsidR="34487434" w:rsidRPr="71ABC54E">
        <w:rPr>
          <w:rFonts w:ascii="Calibri" w:eastAsia="Calibri" w:hAnsi="Calibri" w:cs="Calibri"/>
          <w:color w:val="000000" w:themeColor="text1"/>
        </w:rPr>
        <w:t>y, including non-HFTD work unrelated to WMP initiatives</w:t>
      </w:r>
      <w:r w:rsidR="4DD86B7B" w:rsidRPr="71ABC54E">
        <w:rPr>
          <w:rFonts w:ascii="Calibri" w:eastAsia="Calibri" w:hAnsi="Calibri" w:cs="Calibri"/>
          <w:color w:val="000000" w:themeColor="text1"/>
        </w:rPr>
        <w:t xml:space="preserve">. </w:t>
      </w:r>
      <w:r w:rsidRPr="71ABC54E">
        <w:rPr>
          <w:rFonts w:ascii="Calibri" w:eastAsia="Calibri" w:hAnsi="Calibri" w:cs="Calibri"/>
          <w:color w:val="000000" w:themeColor="text1"/>
        </w:rPr>
        <w:t xml:space="preserve"> </w:t>
      </w:r>
      <w:r w:rsidR="57E7069A" w:rsidRPr="71ABC54E">
        <w:rPr>
          <w:rFonts w:ascii="Calibri" w:eastAsia="Calibri" w:hAnsi="Calibri" w:cs="Calibri"/>
          <w:color w:val="000000" w:themeColor="text1"/>
        </w:rPr>
        <w:t>T</w:t>
      </w:r>
      <w:r w:rsidRPr="71ABC54E">
        <w:rPr>
          <w:rFonts w:ascii="Calibri" w:eastAsia="Calibri" w:hAnsi="Calibri" w:cs="Calibri"/>
          <w:color w:val="000000" w:themeColor="text1"/>
        </w:rPr>
        <w:t>his was corrected in Q3 going forward</w:t>
      </w:r>
      <w:r w:rsidR="2BBCA442" w:rsidRPr="71ABC54E">
        <w:rPr>
          <w:rFonts w:ascii="Calibri" w:eastAsia="Calibri" w:hAnsi="Calibri" w:cs="Calibri"/>
          <w:color w:val="000000" w:themeColor="text1"/>
        </w:rPr>
        <w:t>.</w:t>
      </w:r>
    </w:p>
    <w:p w14:paraId="1F007F18" w14:textId="58A08F3C" w:rsidR="3B1EE6CA" w:rsidRDefault="34BD2C8A" w:rsidP="004F2BC3">
      <w:pPr>
        <w:pStyle w:val="ListParagraph"/>
        <w:numPr>
          <w:ilvl w:val="1"/>
          <w:numId w:val="8"/>
        </w:numPr>
        <w:spacing w:line="257" w:lineRule="auto"/>
        <w:rPr>
          <w:color w:val="000000" w:themeColor="text1"/>
        </w:rPr>
      </w:pPr>
      <w:r w:rsidRPr="71ABC54E">
        <w:rPr>
          <w:rFonts w:ascii="Calibri" w:eastAsia="Calibri" w:hAnsi="Calibri" w:cs="Calibri"/>
          <w:color w:val="000000" w:themeColor="text1"/>
        </w:rPr>
        <w:t xml:space="preserve">The Transmission asset inspections in the QDR are reported by </w:t>
      </w:r>
      <w:r w:rsidR="2EDAC848" w:rsidRPr="71ABC54E">
        <w:rPr>
          <w:rFonts w:ascii="Calibri" w:eastAsia="Calibri" w:hAnsi="Calibri" w:cs="Calibri"/>
          <w:color w:val="000000" w:themeColor="text1"/>
        </w:rPr>
        <w:t>tie line</w:t>
      </w:r>
      <w:r w:rsidRPr="71ABC54E">
        <w:rPr>
          <w:rFonts w:ascii="Calibri" w:eastAsia="Calibri" w:hAnsi="Calibri" w:cs="Calibri"/>
          <w:color w:val="000000" w:themeColor="text1"/>
        </w:rPr>
        <w:t xml:space="preserve"> and structure, resulting in double counting of structures.  </w:t>
      </w:r>
      <w:r w:rsidR="6C89DFA1" w:rsidRPr="71ABC54E">
        <w:rPr>
          <w:rFonts w:ascii="Calibri" w:eastAsia="Calibri" w:hAnsi="Calibri" w:cs="Calibri"/>
          <w:color w:val="000000" w:themeColor="text1"/>
        </w:rPr>
        <w:t xml:space="preserve">The QIU is tied to the completion of </w:t>
      </w:r>
      <w:r w:rsidR="5F6599E2" w:rsidRPr="71ABC54E">
        <w:rPr>
          <w:rFonts w:ascii="Calibri" w:eastAsia="Calibri" w:hAnsi="Calibri" w:cs="Calibri"/>
          <w:color w:val="000000" w:themeColor="text1"/>
        </w:rPr>
        <w:t>a</w:t>
      </w:r>
      <w:r w:rsidR="6C89DFA1" w:rsidRPr="71ABC54E">
        <w:rPr>
          <w:rFonts w:ascii="Calibri" w:eastAsia="Calibri" w:hAnsi="Calibri" w:cs="Calibri"/>
          <w:color w:val="000000" w:themeColor="text1"/>
        </w:rPr>
        <w:t xml:space="preserve"> workorder</w:t>
      </w:r>
      <w:r w:rsidR="4F21E5BD" w:rsidRPr="71ABC54E">
        <w:rPr>
          <w:rFonts w:ascii="Calibri" w:eastAsia="Calibri" w:hAnsi="Calibri" w:cs="Calibri"/>
          <w:color w:val="000000" w:themeColor="text1"/>
        </w:rPr>
        <w:t xml:space="preserve"> where</w:t>
      </w:r>
      <w:r w:rsidR="6C89DFA1" w:rsidRPr="71ABC54E">
        <w:rPr>
          <w:rFonts w:ascii="Calibri" w:eastAsia="Calibri" w:hAnsi="Calibri" w:cs="Calibri"/>
          <w:color w:val="000000" w:themeColor="text1"/>
        </w:rPr>
        <w:t xml:space="preserve"> the QDR is tied to the completion at a structure level.  </w:t>
      </w:r>
      <w:r w:rsidRPr="71ABC54E">
        <w:rPr>
          <w:rFonts w:ascii="Calibri" w:eastAsia="Calibri" w:hAnsi="Calibri" w:cs="Calibri"/>
          <w:color w:val="000000" w:themeColor="text1"/>
        </w:rPr>
        <w:t>This will be corrected in the 2022-Q1 submission</w:t>
      </w:r>
      <w:r w:rsidR="393F140F" w:rsidRPr="71ABC54E">
        <w:rPr>
          <w:rFonts w:ascii="Calibri" w:eastAsia="Calibri" w:hAnsi="Calibri" w:cs="Calibri"/>
          <w:color w:val="000000" w:themeColor="text1"/>
        </w:rPr>
        <w:t>.</w:t>
      </w:r>
    </w:p>
    <w:p w14:paraId="6C1EFF2F" w14:textId="0A3A54E2" w:rsidR="4BD6D48D" w:rsidRDefault="4BD6D48D" w:rsidP="004F2BC3">
      <w:pPr>
        <w:pStyle w:val="ListParagraph"/>
        <w:numPr>
          <w:ilvl w:val="0"/>
          <w:numId w:val="8"/>
        </w:numPr>
        <w:spacing w:line="257" w:lineRule="auto"/>
        <w:rPr>
          <w:color w:val="000000" w:themeColor="text1"/>
        </w:rPr>
      </w:pPr>
      <w:r w:rsidRPr="7D6EE555">
        <w:rPr>
          <w:rFonts w:ascii="Calibri" w:eastAsia="Calibri" w:hAnsi="Calibri" w:cs="Calibri"/>
          <w:color w:val="000000" w:themeColor="text1"/>
        </w:rPr>
        <w:t xml:space="preserve">The Risk Event Asset Log </w:t>
      </w:r>
      <w:r w:rsidR="0A816630" w:rsidRPr="7D6EE555">
        <w:rPr>
          <w:rFonts w:ascii="Calibri" w:eastAsia="Calibri" w:hAnsi="Calibri" w:cs="Calibri"/>
          <w:color w:val="000000" w:themeColor="text1"/>
        </w:rPr>
        <w:t>does not currently align the following identifiers</w:t>
      </w:r>
      <w:r w:rsidR="727E01AA" w:rsidRPr="7D6EE555">
        <w:rPr>
          <w:rFonts w:ascii="Calibri" w:eastAsia="Calibri" w:hAnsi="Calibri" w:cs="Calibri"/>
          <w:color w:val="000000" w:themeColor="text1"/>
        </w:rPr>
        <w:t xml:space="preserve"> due to the way the data is stored in the source systems.  This will be </w:t>
      </w:r>
      <w:proofErr w:type="gramStart"/>
      <w:r w:rsidR="727E01AA" w:rsidRPr="7D6EE555">
        <w:rPr>
          <w:rFonts w:ascii="Calibri" w:eastAsia="Calibri" w:hAnsi="Calibri" w:cs="Calibri"/>
          <w:color w:val="000000" w:themeColor="text1"/>
        </w:rPr>
        <w:t>reviewed</w:t>
      </w:r>
      <w:proofErr w:type="gramEnd"/>
      <w:r w:rsidR="727E01AA" w:rsidRPr="7D6EE555">
        <w:rPr>
          <w:rFonts w:ascii="Calibri" w:eastAsia="Calibri" w:hAnsi="Calibri" w:cs="Calibri"/>
          <w:color w:val="000000" w:themeColor="text1"/>
        </w:rPr>
        <w:t xml:space="preserve"> and SDG&amp;E will continue to work with the various groups to </w:t>
      </w:r>
      <w:r w:rsidR="3122E6DC" w:rsidRPr="7D6EE555">
        <w:rPr>
          <w:rFonts w:ascii="Calibri" w:eastAsia="Calibri" w:hAnsi="Calibri" w:cs="Calibri"/>
          <w:color w:val="000000" w:themeColor="text1"/>
        </w:rPr>
        <w:t>properly align the data</w:t>
      </w:r>
    </w:p>
    <w:p w14:paraId="19D969A9" w14:textId="4BCA974A" w:rsidR="727E01AA" w:rsidRDefault="727E01AA" w:rsidP="004F2BC3">
      <w:pPr>
        <w:pStyle w:val="ListParagraph"/>
        <w:numPr>
          <w:ilvl w:val="1"/>
          <w:numId w:val="8"/>
        </w:numPr>
        <w:spacing w:line="257" w:lineRule="auto"/>
        <w:rPr>
          <w:color w:val="000000" w:themeColor="text1"/>
        </w:rPr>
      </w:pPr>
      <w:proofErr w:type="spellStart"/>
      <w:r w:rsidRPr="7D6EE555">
        <w:rPr>
          <w:rFonts w:ascii="Calibri" w:eastAsia="Calibri" w:hAnsi="Calibri" w:cs="Calibri"/>
          <w:color w:val="000000" w:themeColor="text1"/>
        </w:rPr>
        <w:t>FromDeviceID</w:t>
      </w:r>
      <w:proofErr w:type="spellEnd"/>
    </w:p>
    <w:p w14:paraId="1FFD899F" w14:textId="68709A83" w:rsidR="727E01AA" w:rsidRDefault="727E01AA" w:rsidP="004F2BC3">
      <w:pPr>
        <w:pStyle w:val="ListParagraph"/>
        <w:numPr>
          <w:ilvl w:val="1"/>
          <w:numId w:val="8"/>
        </w:numPr>
        <w:spacing w:line="257" w:lineRule="auto"/>
        <w:rPr>
          <w:color w:val="000000" w:themeColor="text1"/>
        </w:rPr>
      </w:pPr>
      <w:proofErr w:type="spellStart"/>
      <w:r w:rsidRPr="7D6EE555">
        <w:rPr>
          <w:rFonts w:ascii="Calibri" w:eastAsia="Calibri" w:hAnsi="Calibri" w:cs="Calibri"/>
          <w:color w:val="000000" w:themeColor="text1"/>
        </w:rPr>
        <w:t>ToDeviceID</w:t>
      </w:r>
      <w:proofErr w:type="spellEnd"/>
    </w:p>
    <w:p w14:paraId="073E8BEE" w14:textId="6E7BB33D" w:rsidR="727E01AA" w:rsidRDefault="727E01AA" w:rsidP="004F2BC3">
      <w:pPr>
        <w:pStyle w:val="ListParagraph"/>
        <w:numPr>
          <w:ilvl w:val="1"/>
          <w:numId w:val="8"/>
        </w:numPr>
        <w:spacing w:line="257" w:lineRule="auto"/>
        <w:rPr>
          <w:color w:val="000000" w:themeColor="text1"/>
        </w:rPr>
      </w:pPr>
      <w:proofErr w:type="spellStart"/>
      <w:r w:rsidRPr="7D6EE555">
        <w:rPr>
          <w:rFonts w:ascii="Calibri" w:eastAsia="Calibri" w:hAnsi="Calibri" w:cs="Calibri"/>
          <w:color w:val="000000" w:themeColor="text1"/>
        </w:rPr>
        <w:t>IsolationDeviceID</w:t>
      </w:r>
      <w:proofErr w:type="spellEnd"/>
    </w:p>
    <w:p w14:paraId="2B424D5F" w14:textId="77777777" w:rsidR="002C1D90" w:rsidRPr="002C1D90" w:rsidRDefault="727E01AA" w:rsidP="002C1D90">
      <w:pPr>
        <w:pStyle w:val="ListParagraph"/>
        <w:numPr>
          <w:ilvl w:val="1"/>
          <w:numId w:val="8"/>
        </w:numPr>
        <w:spacing w:line="257" w:lineRule="auto"/>
      </w:pPr>
      <w:proofErr w:type="spellStart"/>
      <w:r w:rsidRPr="004F2BC3">
        <w:rPr>
          <w:rFonts w:ascii="Calibri" w:eastAsia="Calibri" w:hAnsi="Calibri" w:cs="Calibri"/>
          <w:color w:val="000000" w:themeColor="text1"/>
        </w:rPr>
        <w:t>DamageDeviceID</w:t>
      </w:r>
      <w:proofErr w:type="spellEnd"/>
    </w:p>
    <w:p w14:paraId="2040C48F" w14:textId="77777777" w:rsidR="002C1D90" w:rsidRPr="002C1D90" w:rsidRDefault="552F15D3" w:rsidP="002C1D90">
      <w:pPr>
        <w:pStyle w:val="ListParagraph"/>
        <w:numPr>
          <w:ilvl w:val="1"/>
          <w:numId w:val="8"/>
        </w:numPr>
        <w:spacing w:line="257" w:lineRule="auto"/>
      </w:pPr>
      <w:proofErr w:type="spellStart"/>
      <w:r w:rsidRPr="002C1D90">
        <w:rPr>
          <w:rFonts w:ascii="Calibri" w:eastAsia="Calibri" w:hAnsi="Calibri" w:cs="Calibri"/>
          <w:color w:val="000000" w:themeColor="text1"/>
        </w:rPr>
        <w:t>CircuitID</w:t>
      </w:r>
      <w:proofErr w:type="spellEnd"/>
    </w:p>
    <w:p w14:paraId="28274D31" w14:textId="64F2FCB5" w:rsidR="009D7C5B" w:rsidRDefault="507B507B" w:rsidP="00206C7A">
      <w:pPr>
        <w:rPr>
          <w:rFonts w:ascii="Calibri" w:eastAsia="Calibri" w:hAnsi="Calibri" w:cs="Calibri"/>
        </w:rPr>
      </w:pPr>
      <w:r>
        <w:t xml:space="preserve">SDG&amp;E has provided two Appendices to this cover letter.  Appendix A </w:t>
      </w:r>
      <w:r w:rsidRPr="002C1D90">
        <w:rPr>
          <w:rFonts w:ascii="Calibri" w:eastAsia="Calibri" w:hAnsi="Calibri" w:cs="Calibri"/>
          <w:color w:val="000000" w:themeColor="text1"/>
        </w:rPr>
        <w:t xml:space="preserve">addresses specific room for improvement and issues raised by Energy Safety in </w:t>
      </w:r>
      <w:r w:rsidRPr="002C1D90">
        <w:rPr>
          <w:rFonts w:ascii="Calibri" w:eastAsia="Calibri" w:hAnsi="Calibri" w:cs="Calibri"/>
          <w:i/>
          <w:iCs/>
          <w:color w:val="000000" w:themeColor="text1"/>
        </w:rPr>
        <w:t>Action Statement on 2021 Wildfire Mitigation Plan Update – San Diego Gas &amp; Electric</w:t>
      </w:r>
      <w:r w:rsidRPr="002C1D90">
        <w:rPr>
          <w:rFonts w:ascii="Calibri" w:eastAsia="Calibri" w:hAnsi="Calibri" w:cs="Calibri"/>
          <w:color w:val="000000" w:themeColor="text1"/>
        </w:rPr>
        <w:t xml:space="preserve">.  In section 5.7 of the Action Statement, Energy safety discusses the data governance section of the WMP Guidelines, and the associated room for improvement and issues and remedies for SDG&amp;E’s spatial data.  These items are addressed one by one in </w:t>
      </w:r>
      <w:r w:rsidR="11596986" w:rsidRPr="002C1D90">
        <w:rPr>
          <w:rFonts w:ascii="Calibri" w:eastAsia="Calibri" w:hAnsi="Calibri" w:cs="Calibri"/>
          <w:color w:val="000000" w:themeColor="text1"/>
        </w:rPr>
        <w:t xml:space="preserve">the document.  Appendix B </w:t>
      </w:r>
      <w:r w:rsidR="35332592" w:rsidRPr="002C1D90">
        <w:rPr>
          <w:rFonts w:ascii="Calibri" w:eastAsia="Calibri" w:hAnsi="Calibri" w:cs="Calibri"/>
          <w:color w:val="000000" w:themeColor="text1"/>
        </w:rPr>
        <w:t xml:space="preserve">provides more detail for specific items that SDG&amp;E has had difficulty addressing in the schema, along with suggestions on how these items can be resolved for SDG&amp;E’s source </w:t>
      </w:r>
      <w:r w:rsidR="1485982B" w:rsidRPr="002C1D90">
        <w:rPr>
          <w:rFonts w:ascii="Calibri" w:eastAsia="Calibri" w:hAnsi="Calibri" w:cs="Calibri"/>
          <w:color w:val="000000" w:themeColor="text1"/>
        </w:rPr>
        <w:t>systems.</w:t>
      </w:r>
    </w:p>
    <w:sectPr w:rsidR="009D7C5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C9898" w14:textId="77777777" w:rsidR="002824FE" w:rsidRDefault="002824FE" w:rsidP="00206C7A">
      <w:pPr>
        <w:spacing w:after="0" w:line="240" w:lineRule="auto"/>
      </w:pPr>
      <w:r>
        <w:separator/>
      </w:r>
    </w:p>
  </w:endnote>
  <w:endnote w:type="continuationSeparator" w:id="0">
    <w:p w14:paraId="336569A1" w14:textId="77777777" w:rsidR="002824FE" w:rsidRDefault="002824FE" w:rsidP="00206C7A">
      <w:pPr>
        <w:spacing w:after="0" w:line="240" w:lineRule="auto"/>
      </w:pPr>
      <w:r>
        <w:continuationSeparator/>
      </w:r>
    </w:p>
  </w:endnote>
  <w:endnote w:type="continuationNotice" w:id="1">
    <w:p w14:paraId="0524A70E" w14:textId="77777777" w:rsidR="002824FE" w:rsidRDefault="002824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8104375"/>
      <w:docPartObj>
        <w:docPartGallery w:val="Page Numbers (Bottom of Page)"/>
        <w:docPartUnique/>
      </w:docPartObj>
    </w:sdtPr>
    <w:sdtEndPr>
      <w:rPr>
        <w:noProof/>
      </w:rPr>
    </w:sdtEndPr>
    <w:sdtContent>
      <w:p w14:paraId="5ADA9D4E" w14:textId="77777777" w:rsidR="00206C7A" w:rsidRDefault="00206C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D18CE3" w14:textId="77777777" w:rsidR="00206C7A" w:rsidRDefault="00206C7A" w:rsidP="00AC1E2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210B0" w14:textId="77777777" w:rsidR="002824FE" w:rsidRDefault="002824FE" w:rsidP="00206C7A">
      <w:pPr>
        <w:spacing w:after="0" w:line="240" w:lineRule="auto"/>
      </w:pPr>
      <w:r>
        <w:separator/>
      </w:r>
    </w:p>
  </w:footnote>
  <w:footnote w:type="continuationSeparator" w:id="0">
    <w:p w14:paraId="32A4CFF8" w14:textId="77777777" w:rsidR="002824FE" w:rsidRDefault="002824FE" w:rsidP="00206C7A">
      <w:pPr>
        <w:spacing w:after="0" w:line="240" w:lineRule="auto"/>
      </w:pPr>
      <w:r>
        <w:continuationSeparator/>
      </w:r>
    </w:p>
  </w:footnote>
  <w:footnote w:type="continuationNotice" w:id="1">
    <w:p w14:paraId="47835D77" w14:textId="77777777" w:rsidR="002824FE" w:rsidRDefault="002824FE">
      <w:pPr>
        <w:spacing w:after="0" w:line="240" w:lineRule="auto"/>
      </w:pPr>
    </w:p>
  </w:footnote>
  <w:footnote w:id="2">
    <w:p w14:paraId="08183E30" w14:textId="77777777" w:rsidR="00206C7A" w:rsidRPr="00F442E6" w:rsidRDefault="00206C7A" w:rsidP="00206C7A">
      <w:pPr>
        <w:pStyle w:val="FootnoteText"/>
      </w:pPr>
      <w:r w:rsidRPr="1702D703">
        <w:rPr>
          <w:rStyle w:val="FootnoteReference"/>
        </w:rPr>
        <w:footnoteRef/>
      </w:r>
      <w:r w:rsidRPr="1702D703">
        <w:t xml:space="preserve"> </w:t>
      </w:r>
      <w:r>
        <w:t>SDG&amp;E notes that certain items have been clarified in response to data requests since the 2021 WMP Update was filed.  Specifically, SDG&amp;E stated, “SDG&amp;E has identified approximately 390,000 accounts that may have customers with access or functional needs, of which approximately 185,000 reside in the HFTD, utilizing programs or services.” (p.99)</w:t>
      </w:r>
      <w:proofErr w:type="gramStart"/>
      <w:r>
        <w:t xml:space="preserve">. </w:t>
      </w:r>
      <w:proofErr w:type="gramEnd"/>
      <w:r>
        <w:t>The correct number of AFN customers that reside in the HFTD is 40,000.  Additionally, SDG&amp;E clarified the number of tree-trimming activities performed in 2020 in response to a Substation Vegetation Management data request to the Wildfire Safety Division.</w:t>
      </w:r>
    </w:p>
  </w:footnote>
  <w:footnote w:id="3">
    <w:p w14:paraId="2516691E" w14:textId="77777777" w:rsidR="00206C7A" w:rsidRDefault="00206C7A" w:rsidP="00206C7A">
      <w:pPr>
        <w:pStyle w:val="FootnoteText"/>
      </w:pPr>
      <w:r>
        <w:rPr>
          <w:rStyle w:val="FootnoteReference"/>
        </w:rPr>
        <w:footnoteRef/>
      </w:r>
      <w:r>
        <w:t xml:space="preserve"> </w:t>
      </w:r>
      <w:r w:rsidRPr="00233E83">
        <w:t>California Office of Energy Infrastructure Safety – Data Submission Procedures (July 27,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B67C8" w14:textId="77777777" w:rsidR="00206C7A" w:rsidRDefault="00206C7A" w:rsidP="00AC1E21">
    <w:pP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E51DB"/>
    <w:multiLevelType w:val="hybridMultilevel"/>
    <w:tmpl w:val="0C3E2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426E69"/>
    <w:multiLevelType w:val="hybridMultilevel"/>
    <w:tmpl w:val="FFFFFFFF"/>
    <w:lvl w:ilvl="0" w:tplc="2522FB5C">
      <w:start w:val="1"/>
      <w:numFmt w:val="bullet"/>
      <w:lvlText w:val=""/>
      <w:lvlJc w:val="left"/>
      <w:pPr>
        <w:ind w:left="720" w:hanging="360"/>
      </w:pPr>
      <w:rPr>
        <w:rFonts w:ascii="Symbol" w:hAnsi="Symbol" w:hint="default"/>
      </w:rPr>
    </w:lvl>
    <w:lvl w:ilvl="1" w:tplc="9CFC0164">
      <w:start w:val="1"/>
      <w:numFmt w:val="bullet"/>
      <w:lvlText w:val="o"/>
      <w:lvlJc w:val="left"/>
      <w:pPr>
        <w:ind w:left="1440" w:hanging="360"/>
      </w:pPr>
      <w:rPr>
        <w:rFonts w:ascii="Courier New" w:hAnsi="Courier New" w:hint="default"/>
      </w:rPr>
    </w:lvl>
    <w:lvl w:ilvl="2" w:tplc="A880C792">
      <w:start w:val="1"/>
      <w:numFmt w:val="bullet"/>
      <w:lvlText w:val=""/>
      <w:lvlJc w:val="left"/>
      <w:pPr>
        <w:ind w:left="2160" w:hanging="360"/>
      </w:pPr>
      <w:rPr>
        <w:rFonts w:ascii="Wingdings" w:hAnsi="Wingdings" w:hint="default"/>
      </w:rPr>
    </w:lvl>
    <w:lvl w:ilvl="3" w:tplc="ACBE63E4">
      <w:start w:val="1"/>
      <w:numFmt w:val="bullet"/>
      <w:lvlText w:val=""/>
      <w:lvlJc w:val="left"/>
      <w:pPr>
        <w:ind w:left="2880" w:hanging="360"/>
      </w:pPr>
      <w:rPr>
        <w:rFonts w:ascii="Symbol" w:hAnsi="Symbol" w:hint="default"/>
      </w:rPr>
    </w:lvl>
    <w:lvl w:ilvl="4" w:tplc="82A0B2C0">
      <w:start w:val="1"/>
      <w:numFmt w:val="bullet"/>
      <w:lvlText w:val="o"/>
      <w:lvlJc w:val="left"/>
      <w:pPr>
        <w:ind w:left="3600" w:hanging="360"/>
      </w:pPr>
      <w:rPr>
        <w:rFonts w:ascii="Courier New" w:hAnsi="Courier New" w:hint="default"/>
      </w:rPr>
    </w:lvl>
    <w:lvl w:ilvl="5" w:tplc="EC30A91A">
      <w:start w:val="1"/>
      <w:numFmt w:val="bullet"/>
      <w:lvlText w:val=""/>
      <w:lvlJc w:val="left"/>
      <w:pPr>
        <w:ind w:left="4320" w:hanging="360"/>
      </w:pPr>
      <w:rPr>
        <w:rFonts w:ascii="Wingdings" w:hAnsi="Wingdings" w:hint="default"/>
      </w:rPr>
    </w:lvl>
    <w:lvl w:ilvl="6" w:tplc="B7F60B28">
      <w:start w:val="1"/>
      <w:numFmt w:val="bullet"/>
      <w:lvlText w:val=""/>
      <w:lvlJc w:val="left"/>
      <w:pPr>
        <w:ind w:left="5040" w:hanging="360"/>
      </w:pPr>
      <w:rPr>
        <w:rFonts w:ascii="Symbol" w:hAnsi="Symbol" w:hint="default"/>
      </w:rPr>
    </w:lvl>
    <w:lvl w:ilvl="7" w:tplc="4C6C3E52">
      <w:start w:val="1"/>
      <w:numFmt w:val="bullet"/>
      <w:lvlText w:val="o"/>
      <w:lvlJc w:val="left"/>
      <w:pPr>
        <w:ind w:left="5760" w:hanging="360"/>
      </w:pPr>
      <w:rPr>
        <w:rFonts w:ascii="Courier New" w:hAnsi="Courier New" w:hint="default"/>
      </w:rPr>
    </w:lvl>
    <w:lvl w:ilvl="8" w:tplc="252E986E">
      <w:start w:val="1"/>
      <w:numFmt w:val="bullet"/>
      <w:lvlText w:val=""/>
      <w:lvlJc w:val="left"/>
      <w:pPr>
        <w:ind w:left="6480" w:hanging="360"/>
      </w:pPr>
      <w:rPr>
        <w:rFonts w:ascii="Wingdings" w:hAnsi="Wingdings" w:hint="default"/>
      </w:rPr>
    </w:lvl>
  </w:abstractNum>
  <w:abstractNum w:abstractNumId="2" w15:restartNumberingAfterBreak="0">
    <w:nsid w:val="44E54C78"/>
    <w:multiLevelType w:val="hybridMultilevel"/>
    <w:tmpl w:val="A9B2A620"/>
    <w:lvl w:ilvl="0" w:tplc="8384083C">
      <w:start w:val="1"/>
      <w:numFmt w:val="bullet"/>
      <w:lvlText w:val=""/>
      <w:lvlJc w:val="left"/>
      <w:pPr>
        <w:ind w:left="720" w:hanging="360"/>
      </w:pPr>
      <w:rPr>
        <w:rFonts w:ascii="Symbol" w:hAnsi="Symbol" w:hint="default"/>
      </w:rPr>
    </w:lvl>
    <w:lvl w:ilvl="1" w:tplc="2752C830">
      <w:start w:val="1"/>
      <w:numFmt w:val="bullet"/>
      <w:lvlText w:val="o"/>
      <w:lvlJc w:val="left"/>
      <w:pPr>
        <w:ind w:left="1440" w:hanging="360"/>
      </w:pPr>
      <w:rPr>
        <w:rFonts w:ascii="Courier New" w:hAnsi="Courier New" w:hint="default"/>
      </w:rPr>
    </w:lvl>
    <w:lvl w:ilvl="2" w:tplc="5FFC9ED6">
      <w:start w:val="1"/>
      <w:numFmt w:val="bullet"/>
      <w:lvlText w:val=""/>
      <w:lvlJc w:val="left"/>
      <w:pPr>
        <w:ind w:left="2160" w:hanging="360"/>
      </w:pPr>
      <w:rPr>
        <w:rFonts w:ascii="Wingdings" w:hAnsi="Wingdings" w:hint="default"/>
      </w:rPr>
    </w:lvl>
    <w:lvl w:ilvl="3" w:tplc="2272EB44">
      <w:start w:val="1"/>
      <w:numFmt w:val="bullet"/>
      <w:lvlText w:val=""/>
      <w:lvlJc w:val="left"/>
      <w:pPr>
        <w:ind w:left="2880" w:hanging="360"/>
      </w:pPr>
      <w:rPr>
        <w:rFonts w:ascii="Symbol" w:hAnsi="Symbol" w:hint="default"/>
      </w:rPr>
    </w:lvl>
    <w:lvl w:ilvl="4" w:tplc="3DC2B308">
      <w:start w:val="1"/>
      <w:numFmt w:val="bullet"/>
      <w:lvlText w:val="o"/>
      <w:lvlJc w:val="left"/>
      <w:pPr>
        <w:ind w:left="3600" w:hanging="360"/>
      </w:pPr>
      <w:rPr>
        <w:rFonts w:ascii="Courier New" w:hAnsi="Courier New" w:hint="default"/>
      </w:rPr>
    </w:lvl>
    <w:lvl w:ilvl="5" w:tplc="B98CA4D8">
      <w:start w:val="1"/>
      <w:numFmt w:val="bullet"/>
      <w:lvlText w:val=""/>
      <w:lvlJc w:val="left"/>
      <w:pPr>
        <w:ind w:left="4320" w:hanging="360"/>
      </w:pPr>
      <w:rPr>
        <w:rFonts w:ascii="Wingdings" w:hAnsi="Wingdings" w:hint="default"/>
      </w:rPr>
    </w:lvl>
    <w:lvl w:ilvl="6" w:tplc="8AB6E0DC">
      <w:start w:val="1"/>
      <w:numFmt w:val="bullet"/>
      <w:lvlText w:val=""/>
      <w:lvlJc w:val="left"/>
      <w:pPr>
        <w:ind w:left="5040" w:hanging="360"/>
      </w:pPr>
      <w:rPr>
        <w:rFonts w:ascii="Symbol" w:hAnsi="Symbol" w:hint="default"/>
      </w:rPr>
    </w:lvl>
    <w:lvl w:ilvl="7" w:tplc="1700BAA2">
      <w:start w:val="1"/>
      <w:numFmt w:val="bullet"/>
      <w:lvlText w:val="o"/>
      <w:lvlJc w:val="left"/>
      <w:pPr>
        <w:ind w:left="5760" w:hanging="360"/>
      </w:pPr>
      <w:rPr>
        <w:rFonts w:ascii="Courier New" w:hAnsi="Courier New" w:hint="default"/>
      </w:rPr>
    </w:lvl>
    <w:lvl w:ilvl="8" w:tplc="694CF398">
      <w:start w:val="1"/>
      <w:numFmt w:val="bullet"/>
      <w:lvlText w:val=""/>
      <w:lvlJc w:val="left"/>
      <w:pPr>
        <w:ind w:left="6480" w:hanging="360"/>
      </w:pPr>
      <w:rPr>
        <w:rFonts w:ascii="Wingdings" w:hAnsi="Wingdings" w:hint="default"/>
      </w:rPr>
    </w:lvl>
  </w:abstractNum>
  <w:abstractNum w:abstractNumId="3" w15:restartNumberingAfterBreak="0">
    <w:nsid w:val="46002DB1"/>
    <w:multiLevelType w:val="hybridMultilevel"/>
    <w:tmpl w:val="F3D0F304"/>
    <w:lvl w:ilvl="0" w:tplc="99C47FC4">
      <w:start w:val="1"/>
      <w:numFmt w:val="upperLetter"/>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C715ED"/>
    <w:multiLevelType w:val="hybridMultilevel"/>
    <w:tmpl w:val="CADA9488"/>
    <w:lvl w:ilvl="0" w:tplc="8A766956">
      <w:start w:val="1"/>
      <w:numFmt w:val="bullet"/>
      <w:lvlText w:val=""/>
      <w:lvlJc w:val="left"/>
      <w:pPr>
        <w:ind w:left="720" w:hanging="360"/>
      </w:pPr>
      <w:rPr>
        <w:rFonts w:ascii="Symbol" w:hAnsi="Symbol" w:hint="default"/>
      </w:rPr>
    </w:lvl>
    <w:lvl w:ilvl="1" w:tplc="84C64128">
      <w:start w:val="1"/>
      <w:numFmt w:val="bullet"/>
      <w:lvlText w:val="o"/>
      <w:lvlJc w:val="left"/>
      <w:pPr>
        <w:ind w:left="1440" w:hanging="360"/>
      </w:pPr>
      <w:rPr>
        <w:rFonts w:ascii="Courier New" w:hAnsi="Courier New" w:cs="Times New Roman" w:hint="default"/>
      </w:rPr>
    </w:lvl>
    <w:lvl w:ilvl="2" w:tplc="133E8764">
      <w:start w:val="1"/>
      <w:numFmt w:val="bullet"/>
      <w:lvlText w:val=""/>
      <w:lvlJc w:val="left"/>
      <w:pPr>
        <w:ind w:left="2160" w:hanging="360"/>
      </w:pPr>
      <w:rPr>
        <w:rFonts w:ascii="Wingdings" w:hAnsi="Wingdings" w:hint="default"/>
      </w:rPr>
    </w:lvl>
    <w:lvl w:ilvl="3" w:tplc="9C84196E">
      <w:start w:val="1"/>
      <w:numFmt w:val="bullet"/>
      <w:lvlText w:val=""/>
      <w:lvlJc w:val="left"/>
      <w:pPr>
        <w:ind w:left="2880" w:hanging="360"/>
      </w:pPr>
      <w:rPr>
        <w:rFonts w:ascii="Symbol" w:hAnsi="Symbol" w:hint="default"/>
      </w:rPr>
    </w:lvl>
    <w:lvl w:ilvl="4" w:tplc="15303D8E">
      <w:start w:val="1"/>
      <w:numFmt w:val="bullet"/>
      <w:lvlText w:val="o"/>
      <w:lvlJc w:val="left"/>
      <w:pPr>
        <w:ind w:left="3600" w:hanging="360"/>
      </w:pPr>
      <w:rPr>
        <w:rFonts w:ascii="Courier New" w:hAnsi="Courier New" w:cs="Times New Roman" w:hint="default"/>
      </w:rPr>
    </w:lvl>
    <w:lvl w:ilvl="5" w:tplc="040ED8EA">
      <w:start w:val="1"/>
      <w:numFmt w:val="bullet"/>
      <w:lvlText w:val=""/>
      <w:lvlJc w:val="left"/>
      <w:pPr>
        <w:ind w:left="4320" w:hanging="360"/>
      </w:pPr>
      <w:rPr>
        <w:rFonts w:ascii="Wingdings" w:hAnsi="Wingdings" w:hint="default"/>
      </w:rPr>
    </w:lvl>
    <w:lvl w:ilvl="6" w:tplc="1F50A2B6">
      <w:start w:val="1"/>
      <w:numFmt w:val="bullet"/>
      <w:lvlText w:val=""/>
      <w:lvlJc w:val="left"/>
      <w:pPr>
        <w:ind w:left="5040" w:hanging="360"/>
      </w:pPr>
      <w:rPr>
        <w:rFonts w:ascii="Symbol" w:hAnsi="Symbol" w:hint="default"/>
      </w:rPr>
    </w:lvl>
    <w:lvl w:ilvl="7" w:tplc="A6544F32">
      <w:start w:val="1"/>
      <w:numFmt w:val="bullet"/>
      <w:lvlText w:val="o"/>
      <w:lvlJc w:val="left"/>
      <w:pPr>
        <w:ind w:left="5760" w:hanging="360"/>
      </w:pPr>
      <w:rPr>
        <w:rFonts w:ascii="Courier New" w:hAnsi="Courier New" w:cs="Times New Roman" w:hint="default"/>
      </w:rPr>
    </w:lvl>
    <w:lvl w:ilvl="8" w:tplc="C340E52E">
      <w:start w:val="1"/>
      <w:numFmt w:val="bullet"/>
      <w:lvlText w:val=""/>
      <w:lvlJc w:val="left"/>
      <w:pPr>
        <w:ind w:left="6480" w:hanging="360"/>
      </w:pPr>
      <w:rPr>
        <w:rFonts w:ascii="Wingdings" w:hAnsi="Wingdings" w:hint="default"/>
      </w:rPr>
    </w:lvl>
  </w:abstractNum>
  <w:abstractNum w:abstractNumId="5" w15:restartNumberingAfterBreak="0">
    <w:nsid w:val="4DD34B19"/>
    <w:multiLevelType w:val="hybridMultilevel"/>
    <w:tmpl w:val="8F72725E"/>
    <w:lvl w:ilvl="0" w:tplc="0C92BF18">
      <w:start w:val="1"/>
      <w:numFmt w:val="bullet"/>
      <w:lvlText w:val="-"/>
      <w:lvlJc w:val="left"/>
      <w:pPr>
        <w:ind w:left="720" w:hanging="360"/>
      </w:pPr>
      <w:rPr>
        <w:rFonts w:ascii="Calibri" w:hAnsi="Calibri" w:hint="default"/>
      </w:rPr>
    </w:lvl>
    <w:lvl w:ilvl="1" w:tplc="6BE47418">
      <w:start w:val="1"/>
      <w:numFmt w:val="bullet"/>
      <w:lvlText w:val="o"/>
      <w:lvlJc w:val="left"/>
      <w:pPr>
        <w:ind w:left="1440" w:hanging="360"/>
      </w:pPr>
      <w:rPr>
        <w:rFonts w:ascii="Courier New" w:hAnsi="Courier New" w:hint="default"/>
      </w:rPr>
    </w:lvl>
    <w:lvl w:ilvl="2" w:tplc="520892EC">
      <w:start w:val="1"/>
      <w:numFmt w:val="bullet"/>
      <w:lvlText w:val=""/>
      <w:lvlJc w:val="left"/>
      <w:pPr>
        <w:ind w:left="2160" w:hanging="360"/>
      </w:pPr>
      <w:rPr>
        <w:rFonts w:ascii="Wingdings" w:hAnsi="Wingdings" w:hint="default"/>
      </w:rPr>
    </w:lvl>
    <w:lvl w:ilvl="3" w:tplc="CDCCB378">
      <w:start w:val="1"/>
      <w:numFmt w:val="bullet"/>
      <w:lvlText w:val=""/>
      <w:lvlJc w:val="left"/>
      <w:pPr>
        <w:ind w:left="2880" w:hanging="360"/>
      </w:pPr>
      <w:rPr>
        <w:rFonts w:ascii="Symbol" w:hAnsi="Symbol" w:hint="default"/>
      </w:rPr>
    </w:lvl>
    <w:lvl w:ilvl="4" w:tplc="74B4B9A0">
      <w:start w:val="1"/>
      <w:numFmt w:val="bullet"/>
      <w:lvlText w:val="o"/>
      <w:lvlJc w:val="left"/>
      <w:pPr>
        <w:ind w:left="3600" w:hanging="360"/>
      </w:pPr>
      <w:rPr>
        <w:rFonts w:ascii="Courier New" w:hAnsi="Courier New" w:hint="default"/>
      </w:rPr>
    </w:lvl>
    <w:lvl w:ilvl="5" w:tplc="CA825832">
      <w:start w:val="1"/>
      <w:numFmt w:val="bullet"/>
      <w:lvlText w:val=""/>
      <w:lvlJc w:val="left"/>
      <w:pPr>
        <w:ind w:left="4320" w:hanging="360"/>
      </w:pPr>
      <w:rPr>
        <w:rFonts w:ascii="Wingdings" w:hAnsi="Wingdings" w:hint="default"/>
      </w:rPr>
    </w:lvl>
    <w:lvl w:ilvl="6" w:tplc="C9D22A3E">
      <w:start w:val="1"/>
      <w:numFmt w:val="bullet"/>
      <w:lvlText w:val=""/>
      <w:lvlJc w:val="left"/>
      <w:pPr>
        <w:ind w:left="5040" w:hanging="360"/>
      </w:pPr>
      <w:rPr>
        <w:rFonts w:ascii="Symbol" w:hAnsi="Symbol" w:hint="default"/>
      </w:rPr>
    </w:lvl>
    <w:lvl w:ilvl="7" w:tplc="DF4E54E8">
      <w:start w:val="1"/>
      <w:numFmt w:val="bullet"/>
      <w:lvlText w:val="o"/>
      <w:lvlJc w:val="left"/>
      <w:pPr>
        <w:ind w:left="5760" w:hanging="360"/>
      </w:pPr>
      <w:rPr>
        <w:rFonts w:ascii="Courier New" w:hAnsi="Courier New" w:hint="default"/>
      </w:rPr>
    </w:lvl>
    <w:lvl w:ilvl="8" w:tplc="B36CD612">
      <w:start w:val="1"/>
      <w:numFmt w:val="bullet"/>
      <w:lvlText w:val=""/>
      <w:lvlJc w:val="left"/>
      <w:pPr>
        <w:ind w:left="6480" w:hanging="360"/>
      </w:pPr>
      <w:rPr>
        <w:rFonts w:ascii="Wingdings" w:hAnsi="Wingdings" w:hint="default"/>
      </w:rPr>
    </w:lvl>
  </w:abstractNum>
  <w:abstractNum w:abstractNumId="6" w15:restartNumberingAfterBreak="0">
    <w:nsid w:val="4E612EEF"/>
    <w:multiLevelType w:val="hybridMultilevel"/>
    <w:tmpl w:val="FFFFFFFF"/>
    <w:lvl w:ilvl="0" w:tplc="8C8655B8">
      <w:start w:val="1"/>
      <w:numFmt w:val="bullet"/>
      <w:lvlText w:val=""/>
      <w:lvlJc w:val="left"/>
      <w:pPr>
        <w:ind w:left="720" w:hanging="360"/>
      </w:pPr>
      <w:rPr>
        <w:rFonts w:ascii="Symbol" w:hAnsi="Symbol" w:hint="default"/>
      </w:rPr>
    </w:lvl>
    <w:lvl w:ilvl="1" w:tplc="EFCADF38">
      <w:start w:val="1"/>
      <w:numFmt w:val="bullet"/>
      <w:lvlText w:val="o"/>
      <w:lvlJc w:val="left"/>
      <w:pPr>
        <w:ind w:left="1440" w:hanging="360"/>
      </w:pPr>
      <w:rPr>
        <w:rFonts w:ascii="Courier New" w:hAnsi="Courier New" w:hint="default"/>
      </w:rPr>
    </w:lvl>
    <w:lvl w:ilvl="2" w:tplc="208A9760">
      <w:start w:val="1"/>
      <w:numFmt w:val="bullet"/>
      <w:lvlText w:val=""/>
      <w:lvlJc w:val="left"/>
      <w:pPr>
        <w:ind w:left="2160" w:hanging="360"/>
      </w:pPr>
      <w:rPr>
        <w:rFonts w:ascii="Wingdings" w:hAnsi="Wingdings" w:hint="default"/>
      </w:rPr>
    </w:lvl>
    <w:lvl w:ilvl="3" w:tplc="E598974C">
      <w:start w:val="1"/>
      <w:numFmt w:val="bullet"/>
      <w:lvlText w:val=""/>
      <w:lvlJc w:val="left"/>
      <w:pPr>
        <w:ind w:left="2880" w:hanging="360"/>
      </w:pPr>
      <w:rPr>
        <w:rFonts w:ascii="Symbol" w:hAnsi="Symbol" w:hint="default"/>
      </w:rPr>
    </w:lvl>
    <w:lvl w:ilvl="4" w:tplc="AC70C0A2">
      <w:start w:val="1"/>
      <w:numFmt w:val="bullet"/>
      <w:lvlText w:val="o"/>
      <w:lvlJc w:val="left"/>
      <w:pPr>
        <w:ind w:left="3600" w:hanging="360"/>
      </w:pPr>
      <w:rPr>
        <w:rFonts w:ascii="Courier New" w:hAnsi="Courier New" w:hint="default"/>
      </w:rPr>
    </w:lvl>
    <w:lvl w:ilvl="5" w:tplc="77CC3DF8">
      <w:start w:val="1"/>
      <w:numFmt w:val="bullet"/>
      <w:lvlText w:val=""/>
      <w:lvlJc w:val="left"/>
      <w:pPr>
        <w:ind w:left="4320" w:hanging="360"/>
      </w:pPr>
      <w:rPr>
        <w:rFonts w:ascii="Wingdings" w:hAnsi="Wingdings" w:hint="default"/>
      </w:rPr>
    </w:lvl>
    <w:lvl w:ilvl="6" w:tplc="DD243B88">
      <w:start w:val="1"/>
      <w:numFmt w:val="bullet"/>
      <w:lvlText w:val=""/>
      <w:lvlJc w:val="left"/>
      <w:pPr>
        <w:ind w:left="5040" w:hanging="360"/>
      </w:pPr>
      <w:rPr>
        <w:rFonts w:ascii="Symbol" w:hAnsi="Symbol" w:hint="default"/>
      </w:rPr>
    </w:lvl>
    <w:lvl w:ilvl="7" w:tplc="32DC88DA">
      <w:start w:val="1"/>
      <w:numFmt w:val="bullet"/>
      <w:lvlText w:val="o"/>
      <w:lvlJc w:val="left"/>
      <w:pPr>
        <w:ind w:left="5760" w:hanging="360"/>
      </w:pPr>
      <w:rPr>
        <w:rFonts w:ascii="Courier New" w:hAnsi="Courier New" w:hint="default"/>
      </w:rPr>
    </w:lvl>
    <w:lvl w:ilvl="8" w:tplc="72A49A3E">
      <w:start w:val="1"/>
      <w:numFmt w:val="bullet"/>
      <w:lvlText w:val=""/>
      <w:lvlJc w:val="left"/>
      <w:pPr>
        <w:ind w:left="6480" w:hanging="360"/>
      </w:pPr>
      <w:rPr>
        <w:rFonts w:ascii="Wingdings" w:hAnsi="Wingdings" w:hint="default"/>
      </w:rPr>
    </w:lvl>
  </w:abstractNum>
  <w:abstractNum w:abstractNumId="7" w15:restartNumberingAfterBreak="0">
    <w:nsid w:val="72E054D9"/>
    <w:multiLevelType w:val="hybridMultilevel"/>
    <w:tmpl w:val="7D300A8E"/>
    <w:lvl w:ilvl="0" w:tplc="91D41F36">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3C3EF9"/>
    <w:multiLevelType w:val="hybridMultilevel"/>
    <w:tmpl w:val="FFFFFFFF"/>
    <w:lvl w:ilvl="0" w:tplc="1C2ABACE">
      <w:start w:val="1"/>
      <w:numFmt w:val="bullet"/>
      <w:lvlText w:val="-"/>
      <w:lvlJc w:val="left"/>
      <w:pPr>
        <w:ind w:left="720" w:hanging="360"/>
      </w:pPr>
      <w:rPr>
        <w:rFonts w:ascii="Calibri" w:hAnsi="Calibri" w:hint="default"/>
      </w:rPr>
    </w:lvl>
    <w:lvl w:ilvl="1" w:tplc="FF82B8A0">
      <w:start w:val="1"/>
      <w:numFmt w:val="bullet"/>
      <w:lvlText w:val="o"/>
      <w:lvlJc w:val="left"/>
      <w:pPr>
        <w:ind w:left="1440" w:hanging="360"/>
      </w:pPr>
      <w:rPr>
        <w:rFonts w:ascii="Courier New" w:hAnsi="Courier New" w:hint="default"/>
      </w:rPr>
    </w:lvl>
    <w:lvl w:ilvl="2" w:tplc="54C43AEC">
      <w:start w:val="1"/>
      <w:numFmt w:val="bullet"/>
      <w:lvlText w:val=""/>
      <w:lvlJc w:val="left"/>
      <w:pPr>
        <w:ind w:left="2160" w:hanging="360"/>
      </w:pPr>
      <w:rPr>
        <w:rFonts w:ascii="Wingdings" w:hAnsi="Wingdings" w:hint="default"/>
      </w:rPr>
    </w:lvl>
    <w:lvl w:ilvl="3" w:tplc="BB5ADEDA">
      <w:start w:val="1"/>
      <w:numFmt w:val="bullet"/>
      <w:lvlText w:val=""/>
      <w:lvlJc w:val="left"/>
      <w:pPr>
        <w:ind w:left="2880" w:hanging="360"/>
      </w:pPr>
      <w:rPr>
        <w:rFonts w:ascii="Symbol" w:hAnsi="Symbol" w:hint="default"/>
      </w:rPr>
    </w:lvl>
    <w:lvl w:ilvl="4" w:tplc="01E88396">
      <w:start w:val="1"/>
      <w:numFmt w:val="bullet"/>
      <w:lvlText w:val="o"/>
      <w:lvlJc w:val="left"/>
      <w:pPr>
        <w:ind w:left="3600" w:hanging="360"/>
      </w:pPr>
      <w:rPr>
        <w:rFonts w:ascii="Courier New" w:hAnsi="Courier New" w:hint="default"/>
      </w:rPr>
    </w:lvl>
    <w:lvl w:ilvl="5" w:tplc="AF04DDA8">
      <w:start w:val="1"/>
      <w:numFmt w:val="bullet"/>
      <w:lvlText w:val=""/>
      <w:lvlJc w:val="left"/>
      <w:pPr>
        <w:ind w:left="4320" w:hanging="360"/>
      </w:pPr>
      <w:rPr>
        <w:rFonts w:ascii="Wingdings" w:hAnsi="Wingdings" w:hint="default"/>
      </w:rPr>
    </w:lvl>
    <w:lvl w:ilvl="6" w:tplc="35403FD8">
      <w:start w:val="1"/>
      <w:numFmt w:val="bullet"/>
      <w:lvlText w:val=""/>
      <w:lvlJc w:val="left"/>
      <w:pPr>
        <w:ind w:left="5040" w:hanging="360"/>
      </w:pPr>
      <w:rPr>
        <w:rFonts w:ascii="Symbol" w:hAnsi="Symbol" w:hint="default"/>
      </w:rPr>
    </w:lvl>
    <w:lvl w:ilvl="7" w:tplc="8F0A014E">
      <w:start w:val="1"/>
      <w:numFmt w:val="bullet"/>
      <w:lvlText w:val="o"/>
      <w:lvlJc w:val="left"/>
      <w:pPr>
        <w:ind w:left="5760" w:hanging="360"/>
      </w:pPr>
      <w:rPr>
        <w:rFonts w:ascii="Courier New" w:hAnsi="Courier New" w:hint="default"/>
      </w:rPr>
    </w:lvl>
    <w:lvl w:ilvl="8" w:tplc="71E26AC8">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0"/>
  </w:num>
  <w:num w:numId="4">
    <w:abstractNumId w:val="4"/>
  </w:num>
  <w:num w:numId="5">
    <w:abstractNumId w:val="1"/>
  </w:num>
  <w:num w:numId="6">
    <w:abstractNumId w:val="2"/>
  </w:num>
  <w:num w:numId="7">
    <w:abstractNumId w:val="5"/>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1E77E8F"/>
    <w:rsid w:val="00054D08"/>
    <w:rsid w:val="00143BE1"/>
    <w:rsid w:val="00181A4F"/>
    <w:rsid w:val="001A4B78"/>
    <w:rsid w:val="001E2C13"/>
    <w:rsid w:val="00201F1C"/>
    <w:rsid w:val="00206C7A"/>
    <w:rsid w:val="002824FE"/>
    <w:rsid w:val="002C1D90"/>
    <w:rsid w:val="002D6E2F"/>
    <w:rsid w:val="002F27D1"/>
    <w:rsid w:val="003631F3"/>
    <w:rsid w:val="003C6AE9"/>
    <w:rsid w:val="003D67B6"/>
    <w:rsid w:val="004F2BC3"/>
    <w:rsid w:val="005968D0"/>
    <w:rsid w:val="005E7311"/>
    <w:rsid w:val="005E7CFA"/>
    <w:rsid w:val="00661900"/>
    <w:rsid w:val="006F5329"/>
    <w:rsid w:val="007F27CE"/>
    <w:rsid w:val="00885FCB"/>
    <w:rsid w:val="00895407"/>
    <w:rsid w:val="0097137E"/>
    <w:rsid w:val="00982B06"/>
    <w:rsid w:val="009C1A15"/>
    <w:rsid w:val="009D7C5B"/>
    <w:rsid w:val="00A354FC"/>
    <w:rsid w:val="00AD0104"/>
    <w:rsid w:val="00AE1AB2"/>
    <w:rsid w:val="00B2413E"/>
    <w:rsid w:val="00B32D64"/>
    <w:rsid w:val="00BB5E3A"/>
    <w:rsid w:val="00BC000C"/>
    <w:rsid w:val="00C9349C"/>
    <w:rsid w:val="00CD44CA"/>
    <w:rsid w:val="00D12781"/>
    <w:rsid w:val="00D41672"/>
    <w:rsid w:val="00DA3FC6"/>
    <w:rsid w:val="00EE4A35"/>
    <w:rsid w:val="00EF56E5"/>
    <w:rsid w:val="0117D595"/>
    <w:rsid w:val="0151959F"/>
    <w:rsid w:val="020B030A"/>
    <w:rsid w:val="024F7821"/>
    <w:rsid w:val="02B0841A"/>
    <w:rsid w:val="02BEBD34"/>
    <w:rsid w:val="036A211C"/>
    <w:rsid w:val="03865306"/>
    <w:rsid w:val="03B4420F"/>
    <w:rsid w:val="0431ED44"/>
    <w:rsid w:val="047C2658"/>
    <w:rsid w:val="04B51B02"/>
    <w:rsid w:val="04E358F1"/>
    <w:rsid w:val="05457351"/>
    <w:rsid w:val="0597F609"/>
    <w:rsid w:val="05C49697"/>
    <w:rsid w:val="05CDBDA5"/>
    <w:rsid w:val="06470F52"/>
    <w:rsid w:val="0652ABC7"/>
    <w:rsid w:val="06608995"/>
    <w:rsid w:val="075065A9"/>
    <w:rsid w:val="07AA3A50"/>
    <w:rsid w:val="08079A48"/>
    <w:rsid w:val="0817A170"/>
    <w:rsid w:val="08624920"/>
    <w:rsid w:val="08854482"/>
    <w:rsid w:val="0892E85C"/>
    <w:rsid w:val="08E7D8C0"/>
    <w:rsid w:val="09055E67"/>
    <w:rsid w:val="0991E21E"/>
    <w:rsid w:val="099F7659"/>
    <w:rsid w:val="09D962A0"/>
    <w:rsid w:val="0A816630"/>
    <w:rsid w:val="0AF25487"/>
    <w:rsid w:val="0BA6F5E0"/>
    <w:rsid w:val="0BCF5F30"/>
    <w:rsid w:val="0CBBE1F7"/>
    <w:rsid w:val="0CD9DE18"/>
    <w:rsid w:val="0D6FD684"/>
    <w:rsid w:val="0ECF8C7A"/>
    <w:rsid w:val="0F6F77C8"/>
    <w:rsid w:val="0F9A7A30"/>
    <w:rsid w:val="0FCE5290"/>
    <w:rsid w:val="1012141D"/>
    <w:rsid w:val="1076F5B9"/>
    <w:rsid w:val="109D1769"/>
    <w:rsid w:val="10E3707E"/>
    <w:rsid w:val="11596986"/>
    <w:rsid w:val="1296FF2F"/>
    <w:rsid w:val="13AC1F62"/>
    <w:rsid w:val="1418ED79"/>
    <w:rsid w:val="1485982B"/>
    <w:rsid w:val="15CC5204"/>
    <w:rsid w:val="168920B2"/>
    <w:rsid w:val="16D78A83"/>
    <w:rsid w:val="17239A5C"/>
    <w:rsid w:val="172BB762"/>
    <w:rsid w:val="17528F4E"/>
    <w:rsid w:val="186A7423"/>
    <w:rsid w:val="188DF79D"/>
    <w:rsid w:val="18C7F014"/>
    <w:rsid w:val="18FF0899"/>
    <w:rsid w:val="1960B897"/>
    <w:rsid w:val="199B3799"/>
    <w:rsid w:val="1A0F4524"/>
    <w:rsid w:val="1AA617BB"/>
    <w:rsid w:val="1B9853F4"/>
    <w:rsid w:val="1BAB1585"/>
    <w:rsid w:val="1BF20E1B"/>
    <w:rsid w:val="1C348594"/>
    <w:rsid w:val="1C3487A3"/>
    <w:rsid w:val="1DE41F49"/>
    <w:rsid w:val="1E9C024D"/>
    <w:rsid w:val="1EF787F4"/>
    <w:rsid w:val="1F46643E"/>
    <w:rsid w:val="1F7988DE"/>
    <w:rsid w:val="1F8212A2"/>
    <w:rsid w:val="202FEA9E"/>
    <w:rsid w:val="20A4A528"/>
    <w:rsid w:val="20FC30E2"/>
    <w:rsid w:val="2115593F"/>
    <w:rsid w:val="2221177F"/>
    <w:rsid w:val="222522F0"/>
    <w:rsid w:val="22980143"/>
    <w:rsid w:val="22CC3F3C"/>
    <w:rsid w:val="22D7E023"/>
    <w:rsid w:val="22F02C42"/>
    <w:rsid w:val="236C4A9B"/>
    <w:rsid w:val="236DDD37"/>
    <w:rsid w:val="23B6F0B8"/>
    <w:rsid w:val="23CCE01C"/>
    <w:rsid w:val="24084C22"/>
    <w:rsid w:val="25013CBB"/>
    <w:rsid w:val="25018DF5"/>
    <w:rsid w:val="25EF312E"/>
    <w:rsid w:val="26987940"/>
    <w:rsid w:val="277B73B5"/>
    <w:rsid w:val="2808BE41"/>
    <w:rsid w:val="28589EFC"/>
    <w:rsid w:val="28657A2F"/>
    <w:rsid w:val="28892412"/>
    <w:rsid w:val="28F55415"/>
    <w:rsid w:val="29C73F0A"/>
    <w:rsid w:val="2A162DF4"/>
    <w:rsid w:val="2A26323C"/>
    <w:rsid w:val="2A2B6BDB"/>
    <w:rsid w:val="2B1BA9CC"/>
    <w:rsid w:val="2B903FBE"/>
    <w:rsid w:val="2BBCA442"/>
    <w:rsid w:val="2BEABBBE"/>
    <w:rsid w:val="2C0B1CD9"/>
    <w:rsid w:val="2C856AA4"/>
    <w:rsid w:val="2CE37A41"/>
    <w:rsid w:val="2D12E7C2"/>
    <w:rsid w:val="2DD3FF15"/>
    <w:rsid w:val="2DEAB539"/>
    <w:rsid w:val="2EDAC848"/>
    <w:rsid w:val="2F3B9762"/>
    <w:rsid w:val="2F5F671C"/>
    <w:rsid w:val="2FD7D55D"/>
    <w:rsid w:val="3001E91A"/>
    <w:rsid w:val="30AC697B"/>
    <w:rsid w:val="30CE9EA2"/>
    <w:rsid w:val="3122E6DC"/>
    <w:rsid w:val="312A4381"/>
    <w:rsid w:val="31A7BD50"/>
    <w:rsid w:val="34487434"/>
    <w:rsid w:val="3466ED95"/>
    <w:rsid w:val="34BD2C8A"/>
    <w:rsid w:val="3505DE14"/>
    <w:rsid w:val="35332592"/>
    <w:rsid w:val="35993E2A"/>
    <w:rsid w:val="35E14275"/>
    <w:rsid w:val="35E66058"/>
    <w:rsid w:val="363683D1"/>
    <w:rsid w:val="365D4099"/>
    <w:rsid w:val="36756279"/>
    <w:rsid w:val="37532C50"/>
    <w:rsid w:val="3788F932"/>
    <w:rsid w:val="378FA50C"/>
    <w:rsid w:val="378FEA82"/>
    <w:rsid w:val="37CDAF50"/>
    <w:rsid w:val="37E123A3"/>
    <w:rsid w:val="37EC9C17"/>
    <w:rsid w:val="380460D1"/>
    <w:rsid w:val="38855A72"/>
    <w:rsid w:val="388E8180"/>
    <w:rsid w:val="3891BD48"/>
    <w:rsid w:val="38C29012"/>
    <w:rsid w:val="38EE588B"/>
    <w:rsid w:val="39355566"/>
    <w:rsid w:val="393F140F"/>
    <w:rsid w:val="3A44438C"/>
    <w:rsid w:val="3B0B5343"/>
    <w:rsid w:val="3B1EE6CA"/>
    <w:rsid w:val="3BEA19D6"/>
    <w:rsid w:val="3BF43B9A"/>
    <w:rsid w:val="3C3F70F6"/>
    <w:rsid w:val="3C783515"/>
    <w:rsid w:val="3CB2F1B9"/>
    <w:rsid w:val="3D15A5A6"/>
    <w:rsid w:val="3E198807"/>
    <w:rsid w:val="3E274AC0"/>
    <w:rsid w:val="3FEA61BF"/>
    <w:rsid w:val="4092CDE6"/>
    <w:rsid w:val="40A9CAEA"/>
    <w:rsid w:val="40BD8FF7"/>
    <w:rsid w:val="40BF6DAA"/>
    <w:rsid w:val="4110AC95"/>
    <w:rsid w:val="415EEB82"/>
    <w:rsid w:val="41B27673"/>
    <w:rsid w:val="41E77E8F"/>
    <w:rsid w:val="436F6B4E"/>
    <w:rsid w:val="439DD02B"/>
    <w:rsid w:val="43C6E232"/>
    <w:rsid w:val="4427C7CD"/>
    <w:rsid w:val="448197F0"/>
    <w:rsid w:val="44AF5799"/>
    <w:rsid w:val="453292AD"/>
    <w:rsid w:val="45568B98"/>
    <w:rsid w:val="456EAE0E"/>
    <w:rsid w:val="45F590A6"/>
    <w:rsid w:val="45FEDEFC"/>
    <w:rsid w:val="46706279"/>
    <w:rsid w:val="46E25799"/>
    <w:rsid w:val="475E05DF"/>
    <w:rsid w:val="4784A7EB"/>
    <w:rsid w:val="47C3B0C5"/>
    <w:rsid w:val="47F370CE"/>
    <w:rsid w:val="4A65E30F"/>
    <w:rsid w:val="4AA41743"/>
    <w:rsid w:val="4AE2292A"/>
    <w:rsid w:val="4BC59B46"/>
    <w:rsid w:val="4BD6D48D"/>
    <w:rsid w:val="4BFBAB95"/>
    <w:rsid w:val="4CD57519"/>
    <w:rsid w:val="4CF5F874"/>
    <w:rsid w:val="4D30D256"/>
    <w:rsid w:val="4DA404A1"/>
    <w:rsid w:val="4DC29C07"/>
    <w:rsid w:val="4DD86B7B"/>
    <w:rsid w:val="4DF73160"/>
    <w:rsid w:val="4E0EE06F"/>
    <w:rsid w:val="4E105F08"/>
    <w:rsid w:val="4E145CF9"/>
    <w:rsid w:val="4E52B103"/>
    <w:rsid w:val="4EB58039"/>
    <w:rsid w:val="4EE99CAB"/>
    <w:rsid w:val="4EEFEA66"/>
    <w:rsid w:val="4F21E5BD"/>
    <w:rsid w:val="4F812551"/>
    <w:rsid w:val="4F84EF22"/>
    <w:rsid w:val="5008730F"/>
    <w:rsid w:val="504E212D"/>
    <w:rsid w:val="507B507B"/>
    <w:rsid w:val="510DFEB3"/>
    <w:rsid w:val="5116443A"/>
    <w:rsid w:val="514F6212"/>
    <w:rsid w:val="51B8C638"/>
    <w:rsid w:val="51C4DE8F"/>
    <w:rsid w:val="524B9ED4"/>
    <w:rsid w:val="52E1209F"/>
    <w:rsid w:val="53560335"/>
    <w:rsid w:val="5365FE8A"/>
    <w:rsid w:val="53C35B89"/>
    <w:rsid w:val="552F15D3"/>
    <w:rsid w:val="553F9CC1"/>
    <w:rsid w:val="555677BC"/>
    <w:rsid w:val="5676EA4A"/>
    <w:rsid w:val="5677B493"/>
    <w:rsid w:val="568BA7EA"/>
    <w:rsid w:val="56BAB2B7"/>
    <w:rsid w:val="56DB6D22"/>
    <w:rsid w:val="570496CE"/>
    <w:rsid w:val="57AA9F55"/>
    <w:rsid w:val="57E7069A"/>
    <w:rsid w:val="58773D83"/>
    <w:rsid w:val="5896CCAC"/>
    <w:rsid w:val="5955C156"/>
    <w:rsid w:val="59962CF8"/>
    <w:rsid w:val="5A59A3B3"/>
    <w:rsid w:val="5AB2867F"/>
    <w:rsid w:val="5AEF8DAB"/>
    <w:rsid w:val="5AFA986E"/>
    <w:rsid w:val="5BB27346"/>
    <w:rsid w:val="5C5746BD"/>
    <w:rsid w:val="5D6A3DCF"/>
    <w:rsid w:val="5D7899D4"/>
    <w:rsid w:val="5D8FA062"/>
    <w:rsid w:val="5E822468"/>
    <w:rsid w:val="5E8B99D9"/>
    <w:rsid w:val="5F23B0A9"/>
    <w:rsid w:val="5F6599E2"/>
    <w:rsid w:val="5FF36A57"/>
    <w:rsid w:val="605B90D4"/>
    <w:rsid w:val="61184E19"/>
    <w:rsid w:val="61363438"/>
    <w:rsid w:val="614CE372"/>
    <w:rsid w:val="61EA7514"/>
    <w:rsid w:val="61FD64F0"/>
    <w:rsid w:val="62112FCC"/>
    <w:rsid w:val="62FD42AB"/>
    <w:rsid w:val="6315C8A0"/>
    <w:rsid w:val="6346BA50"/>
    <w:rsid w:val="63813838"/>
    <w:rsid w:val="64186071"/>
    <w:rsid w:val="6428429B"/>
    <w:rsid w:val="643008E3"/>
    <w:rsid w:val="6432B850"/>
    <w:rsid w:val="6497DD61"/>
    <w:rsid w:val="656E0308"/>
    <w:rsid w:val="65C4D1F9"/>
    <w:rsid w:val="65E500A6"/>
    <w:rsid w:val="661973ED"/>
    <w:rsid w:val="6764C3E0"/>
    <w:rsid w:val="67F5552E"/>
    <w:rsid w:val="68698D16"/>
    <w:rsid w:val="68E6119F"/>
    <w:rsid w:val="690A37A1"/>
    <w:rsid w:val="691D6BB1"/>
    <w:rsid w:val="6938164E"/>
    <w:rsid w:val="699A4C9D"/>
    <w:rsid w:val="6B4D9908"/>
    <w:rsid w:val="6C89DFA1"/>
    <w:rsid w:val="6CACBEB3"/>
    <w:rsid w:val="6D3ED688"/>
    <w:rsid w:val="6D4F55C4"/>
    <w:rsid w:val="6F512FE5"/>
    <w:rsid w:val="6F6959BE"/>
    <w:rsid w:val="6FF065C4"/>
    <w:rsid w:val="700FF4ED"/>
    <w:rsid w:val="7049D728"/>
    <w:rsid w:val="704AD544"/>
    <w:rsid w:val="71ABC54E"/>
    <w:rsid w:val="727E01AA"/>
    <w:rsid w:val="72EC18B3"/>
    <w:rsid w:val="7430F179"/>
    <w:rsid w:val="74B3D87C"/>
    <w:rsid w:val="750E05B2"/>
    <w:rsid w:val="766FA897"/>
    <w:rsid w:val="76919567"/>
    <w:rsid w:val="7733AB81"/>
    <w:rsid w:val="78174F73"/>
    <w:rsid w:val="78475D0E"/>
    <w:rsid w:val="78A24B8F"/>
    <w:rsid w:val="78A88812"/>
    <w:rsid w:val="79DD9383"/>
    <w:rsid w:val="7A2A4D0D"/>
    <w:rsid w:val="7AFCABEC"/>
    <w:rsid w:val="7B5A93F3"/>
    <w:rsid w:val="7C0530FF"/>
    <w:rsid w:val="7C571535"/>
    <w:rsid w:val="7C5FE9B3"/>
    <w:rsid w:val="7C734E40"/>
    <w:rsid w:val="7C7F1B8D"/>
    <w:rsid w:val="7CBC54F5"/>
    <w:rsid w:val="7D3ACD59"/>
    <w:rsid w:val="7D6EE555"/>
    <w:rsid w:val="7EA2E7D0"/>
    <w:rsid w:val="7F54CD6C"/>
    <w:rsid w:val="7F8B8379"/>
    <w:rsid w:val="7FFA4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77E8F"/>
  <w15:chartTrackingRefBased/>
  <w15:docId w15:val="{91D5737F-3CCD-4D02-AF64-856A84303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6C7A"/>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6C7A"/>
    <w:pPr>
      <w:keepNext/>
      <w:keepLines/>
      <w:numPr>
        <w:numId w:val="1"/>
      </w:numPr>
      <w:spacing w:before="120"/>
      <w:outlineLvl w:val="1"/>
    </w:pPr>
    <w:rPr>
      <w:rFonts w:asciiTheme="majorHAnsi" w:eastAsiaTheme="majorEastAsia" w:hAnsiTheme="majorHAnsi" w:cstheme="majorBidi"/>
      <w:b/>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C7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06C7A"/>
    <w:rPr>
      <w:rFonts w:asciiTheme="majorHAnsi" w:eastAsiaTheme="majorEastAsia" w:hAnsiTheme="majorHAnsi" w:cstheme="majorBidi"/>
      <w:b/>
      <w:color w:val="2F5496" w:themeColor="accent1" w:themeShade="BF"/>
      <w:sz w:val="26"/>
      <w:szCs w:val="26"/>
    </w:rPr>
  </w:style>
  <w:style w:type="paragraph" w:styleId="ListParagraph">
    <w:name w:val="List Paragraph"/>
    <w:basedOn w:val="Normal"/>
    <w:uiPriority w:val="34"/>
    <w:qFormat/>
    <w:rsid w:val="00206C7A"/>
    <w:pPr>
      <w:ind w:left="720"/>
      <w:contextualSpacing/>
    </w:pPr>
  </w:style>
  <w:style w:type="paragraph" w:styleId="Footer">
    <w:name w:val="footer"/>
    <w:basedOn w:val="Normal"/>
    <w:link w:val="FooterChar"/>
    <w:uiPriority w:val="99"/>
    <w:unhideWhenUsed/>
    <w:rsid w:val="00206C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C7A"/>
  </w:style>
  <w:style w:type="paragraph" w:styleId="FootnoteText">
    <w:name w:val="footnote text"/>
    <w:basedOn w:val="Normal"/>
    <w:link w:val="FootnoteTextChar"/>
    <w:uiPriority w:val="99"/>
    <w:unhideWhenUsed/>
    <w:rsid w:val="00206C7A"/>
    <w:pPr>
      <w:spacing w:after="0" w:line="240" w:lineRule="auto"/>
    </w:pPr>
    <w:rPr>
      <w:sz w:val="20"/>
      <w:szCs w:val="20"/>
    </w:rPr>
  </w:style>
  <w:style w:type="character" w:customStyle="1" w:styleId="FootnoteTextChar">
    <w:name w:val="Footnote Text Char"/>
    <w:basedOn w:val="DefaultParagraphFont"/>
    <w:link w:val="FootnoteText"/>
    <w:uiPriority w:val="99"/>
    <w:rsid w:val="00206C7A"/>
    <w:rPr>
      <w:sz w:val="20"/>
      <w:szCs w:val="20"/>
    </w:rPr>
  </w:style>
  <w:style w:type="character" w:styleId="FootnoteReference">
    <w:name w:val="footnote reference"/>
    <w:basedOn w:val="DefaultParagraphFont"/>
    <w:semiHidden/>
    <w:unhideWhenUsed/>
    <w:rsid w:val="00206C7A"/>
    <w:rPr>
      <w:vertAlign w:val="superscript"/>
    </w:rPr>
  </w:style>
  <w:style w:type="character" w:styleId="CommentReference">
    <w:name w:val="annotation reference"/>
    <w:basedOn w:val="DefaultParagraphFont"/>
    <w:uiPriority w:val="99"/>
    <w:semiHidden/>
    <w:unhideWhenUsed/>
    <w:rsid w:val="007F27CE"/>
    <w:rPr>
      <w:sz w:val="16"/>
      <w:szCs w:val="16"/>
    </w:rPr>
  </w:style>
  <w:style w:type="paragraph" w:styleId="CommentText">
    <w:name w:val="annotation text"/>
    <w:basedOn w:val="Normal"/>
    <w:link w:val="CommentTextChar"/>
    <w:uiPriority w:val="99"/>
    <w:semiHidden/>
    <w:unhideWhenUsed/>
    <w:rsid w:val="007F27CE"/>
    <w:pPr>
      <w:spacing w:line="240" w:lineRule="auto"/>
    </w:pPr>
    <w:rPr>
      <w:sz w:val="20"/>
      <w:szCs w:val="20"/>
    </w:rPr>
  </w:style>
  <w:style w:type="character" w:customStyle="1" w:styleId="CommentTextChar">
    <w:name w:val="Comment Text Char"/>
    <w:basedOn w:val="DefaultParagraphFont"/>
    <w:link w:val="CommentText"/>
    <w:uiPriority w:val="99"/>
    <w:semiHidden/>
    <w:rsid w:val="007F27CE"/>
    <w:rPr>
      <w:sz w:val="20"/>
      <w:szCs w:val="20"/>
    </w:rPr>
  </w:style>
  <w:style w:type="paragraph" w:styleId="CommentSubject">
    <w:name w:val="annotation subject"/>
    <w:basedOn w:val="CommentText"/>
    <w:next w:val="CommentText"/>
    <w:link w:val="CommentSubjectChar"/>
    <w:uiPriority w:val="99"/>
    <w:semiHidden/>
    <w:unhideWhenUsed/>
    <w:rsid w:val="007F27CE"/>
    <w:rPr>
      <w:b/>
      <w:bCs/>
    </w:rPr>
  </w:style>
  <w:style w:type="character" w:customStyle="1" w:styleId="CommentSubjectChar">
    <w:name w:val="Comment Subject Char"/>
    <w:basedOn w:val="CommentTextChar"/>
    <w:link w:val="CommentSubject"/>
    <w:uiPriority w:val="99"/>
    <w:semiHidden/>
    <w:rsid w:val="007F27CE"/>
    <w:rPr>
      <w:b/>
      <w:bCs/>
      <w:sz w:val="20"/>
      <w:szCs w:val="20"/>
    </w:rPr>
  </w:style>
  <w:style w:type="character" w:styleId="UnresolvedMention">
    <w:name w:val="Unresolved Mention"/>
    <w:basedOn w:val="DefaultParagraphFont"/>
    <w:uiPriority w:val="99"/>
    <w:unhideWhenUsed/>
    <w:rsid w:val="00BC000C"/>
    <w:rPr>
      <w:color w:val="605E5C"/>
      <w:shd w:val="clear" w:color="auto" w:fill="E1DFDD"/>
    </w:rPr>
  </w:style>
  <w:style w:type="character" w:styleId="Mention">
    <w:name w:val="Mention"/>
    <w:basedOn w:val="DefaultParagraphFont"/>
    <w:uiPriority w:val="99"/>
    <w:unhideWhenUsed/>
    <w:rsid w:val="00BC000C"/>
    <w:rPr>
      <w:color w:val="2B579A"/>
      <w:shd w:val="clear" w:color="auto" w:fill="E1DFDD"/>
    </w:rPr>
  </w:style>
  <w:style w:type="paragraph" w:styleId="Header">
    <w:name w:val="header"/>
    <w:basedOn w:val="Normal"/>
    <w:link w:val="HeaderChar"/>
    <w:uiPriority w:val="99"/>
    <w:semiHidden/>
    <w:unhideWhenUsed/>
    <w:rsid w:val="00C9349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9349C"/>
  </w:style>
  <w:style w:type="paragraph" w:styleId="Revision">
    <w:name w:val="Revision"/>
    <w:hidden/>
    <w:uiPriority w:val="99"/>
    <w:semiHidden/>
    <w:rsid w:val="00C934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19/05/relationships/documenttasks" Target="documenttasks/documenttasks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4C1E8A1-2636-4601-84DE-836FC10BCC6B}">
    <t:Anchor>
      <t:Comment id="784688488"/>
    </t:Anchor>
    <t:History>
      <t:Event id="{D4E36E7C-627E-45B2-A891-52A7B3784592}" time="2022-01-31T16:48:31.208Z">
        <t:Attribution userId="S::cbertoli@sdge.com::2bdc80e3-bc7b-4c93-8b7a-6afad63e179f" userProvider="AD" userName="Bertolini, Crystal A"/>
        <t:Anchor>
          <t:Comment id="1381373990"/>
        </t:Anchor>
        <t:Create/>
      </t:Event>
      <t:Event id="{71BC0ED7-9D61-445C-9FC2-AAFD5B715E08}" time="2022-01-31T16:48:31.208Z">
        <t:Attribution userId="S::cbertoli@sdge.com::2bdc80e3-bc7b-4c93-8b7a-6afad63e179f" userProvider="AD" userName="Bertolini, Crystal A"/>
        <t:Anchor>
          <t:Comment id="1381373990"/>
        </t:Anchor>
        <t:Assign userId="S::MStrutner@semprautilities.com::dbeacb95-872f-47ba-b4b3-05f7ec4c6cf9" userProvider="AD" userName="Strutner, Maddy"/>
      </t:Event>
      <t:Event id="{B916421F-2CDA-455E-88F2-52CCB095C9FC}" time="2022-01-31T16:48:31.208Z">
        <t:Attribution userId="S::cbertoli@sdge.com::2bdc80e3-bc7b-4c93-8b7a-6afad63e179f" userProvider="AD" userName="Bertolini, Crystal A"/>
        <t:Anchor>
          <t:Comment id="1381373990"/>
        </t:Anchor>
        <t:SetTitle title="@Strutner, Maddy I am not sure who wrote this but let me do some digging to see what I can find. I will get back to you soonest."/>
      </t:Event>
      <t:Event id="{29E7B71D-6A51-4606-BA19-24054A9A5A63}" time="2022-01-31T16:56:22.602Z">
        <t:Attribution userId="S::cbertoli@sdge.com::2bdc80e3-bc7b-4c93-8b7a-6afad63e179f" userProvider="AD" userName="Bertolini, Crystal A"/>
        <t:Anchor>
          <t:Comment id="205996263"/>
        </t:Anchor>
        <t:UnassignAll/>
      </t:Event>
      <t:Event id="{895C6AC3-28E0-401B-856F-90577B243077}" time="2022-01-31T16:56:22.602Z">
        <t:Attribution userId="S::cbertoli@sdge.com::2bdc80e3-bc7b-4c93-8b7a-6afad63e179f" userProvider="AD" userName="Bertolini, Crystal A"/>
        <t:Anchor>
          <t:Comment id="205996263"/>
        </t:Anchor>
        <t:Assign userId="S::YCui@sdge.com::d39256f2-8ddb-4dfb-ad7c-faa229e5ee88" userProvider="AD" userName="Cui, Landy Ye"/>
      </t:Event>
      <t:Event id="{72C878D2-8218-4784-9BA3-84C42AC40110}" time="2022-01-31T20:04:46.751Z">
        <t:Attribution userId="S::mstrutner@semprautilities.com::dbeacb95-872f-47ba-b4b3-05f7ec4c6cf9" userProvider="AD" userName="Strutner, Madd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C5B34FB2B05C498322EC0E0E7F8BBD" ma:contentTypeVersion="13" ma:contentTypeDescription="Create a new document." ma:contentTypeScope="" ma:versionID="35348b1fb14a9f36c67915547cc06658">
  <xsd:schema xmlns:xsd="http://www.w3.org/2001/XMLSchema" xmlns:xs="http://www.w3.org/2001/XMLSchema" xmlns:p="http://schemas.microsoft.com/office/2006/metadata/properties" xmlns:ns2="2104ad18-0c40-4759-978d-9031b6355d10" xmlns:ns3="80a17f64-e774-4a01-b2f5-de7df872f7b3" targetNamespace="http://schemas.microsoft.com/office/2006/metadata/properties" ma:root="true" ma:fieldsID="a74602aa40dd929294faf41716f5ba75" ns2:_="" ns3:_="">
    <xsd:import namespace="2104ad18-0c40-4759-978d-9031b6355d10"/>
    <xsd:import namespace="80a17f64-e774-4a01-b2f5-de7df872f7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04ad18-0c40-4759-978d-9031b6355d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a17f64-e774-4a01-b2f5-de7df872f7b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DE738D-1339-4D42-9B51-278D8430E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04ad18-0c40-4759-978d-9031b6355d10"/>
    <ds:schemaRef ds:uri="80a17f64-e774-4a01-b2f5-de7df872f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2D19A3-F8B1-4F11-91AB-93E1C87D6EA2}">
  <ds:schemaRefs>
    <ds:schemaRef ds:uri="http://schemas.microsoft.com/office/2006/documentManagement/types"/>
    <ds:schemaRef ds:uri="2104ad18-0c40-4759-978d-9031b6355d10"/>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80a17f64-e774-4a01-b2f5-de7df872f7b3"/>
    <ds:schemaRef ds:uri="http://www.w3.org/XML/1998/namespace"/>
    <ds:schemaRef ds:uri="http://purl.org/dc/dcmitype/"/>
  </ds:schemaRefs>
</ds:datastoreItem>
</file>

<file path=customXml/itemProps3.xml><?xml version="1.0" encoding="utf-8"?>
<ds:datastoreItem xmlns:ds="http://schemas.openxmlformats.org/officeDocument/2006/customXml" ds:itemID="{6025833F-0BBF-4E7B-9136-A1F77C3695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1191</Words>
  <Characters>6790</Characters>
  <Application>Microsoft Office Word</Application>
  <DocSecurity>0</DocSecurity>
  <Lines>56</Lines>
  <Paragraphs>15</Paragraphs>
  <ScaleCrop>false</ScaleCrop>
  <Company/>
  <LinksUpToDate>false</LinksUpToDate>
  <CharactersWithSpaces>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Strutner, Maddy</dc:creator>
  <cp:keywords/>
  <dc:description/>
  <cp:lastModifiedBy>Strutner, Maddy</cp:lastModifiedBy>
  <cp:revision>23</cp:revision>
  <dcterms:created xsi:type="dcterms:W3CDTF">2022-01-10T22:07:00Z</dcterms:created>
  <dcterms:modified xsi:type="dcterms:W3CDTF">2022-02-01T16:17:00Z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0x0101007BC5B34FB2B05C498322EC0E0E7F8BBD</vt:lpwstr>
  </property>
</Properties>
</file>